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wordWrap w:val="0"/>
        <w:spacing w:line="600" w:lineRule="exact"/>
        <w:ind w:firstLine="720" w:firstLineChars="200"/>
        <w:jc w:val="center"/>
        <w:rPr>
          <w:rFonts w:hint="eastAsia" w:ascii="黑体" w:hAnsi="黑体" w:eastAsia="黑体" w:cs="黑体"/>
          <w:bCs/>
          <w:color w:val="333333"/>
          <w:sz w:val="36"/>
          <w:szCs w:val="36"/>
        </w:rPr>
      </w:pPr>
    </w:p>
    <w:p>
      <w:pPr>
        <w:shd w:val="clear" w:color="auto" w:fill="FFFFFF"/>
        <w:wordWrap w:val="0"/>
        <w:spacing w:line="600" w:lineRule="exact"/>
        <w:ind w:firstLine="720" w:firstLineChars="200"/>
        <w:jc w:val="center"/>
        <w:rPr>
          <w:rFonts w:ascii="黑体" w:hAnsi="黑体" w:eastAsia="黑体" w:cs="黑体"/>
          <w:bCs/>
          <w:color w:val="333333"/>
          <w:sz w:val="36"/>
          <w:szCs w:val="36"/>
        </w:rPr>
      </w:pPr>
      <w:bookmarkStart w:id="0" w:name="_GoBack"/>
      <w:bookmarkEnd w:id="0"/>
      <w:r>
        <w:rPr>
          <w:rFonts w:hint="eastAsia" w:ascii="黑体" w:hAnsi="黑体" w:eastAsia="黑体" w:cs="黑体"/>
          <w:bCs/>
          <w:color w:val="333333"/>
          <w:sz w:val="36"/>
          <w:szCs w:val="36"/>
        </w:rPr>
        <w:t>益阳市赫山区泉交河镇人民政府2021年度</w:t>
      </w:r>
    </w:p>
    <w:p>
      <w:pPr>
        <w:shd w:val="clear" w:color="auto" w:fill="FFFFFF"/>
        <w:wordWrap w:val="0"/>
        <w:spacing w:line="600" w:lineRule="exact"/>
        <w:ind w:firstLine="720" w:firstLineChars="200"/>
        <w:jc w:val="center"/>
        <w:rPr>
          <w:rFonts w:ascii="黑体" w:hAnsi="黑体" w:eastAsia="黑体" w:cs="黑体"/>
          <w:bCs/>
          <w:color w:val="333333"/>
          <w:sz w:val="36"/>
          <w:szCs w:val="36"/>
        </w:rPr>
      </w:pPr>
      <w:r>
        <w:rPr>
          <w:rFonts w:hint="eastAsia" w:ascii="黑体" w:hAnsi="黑体" w:eastAsia="黑体" w:cs="黑体"/>
          <w:bCs/>
          <w:color w:val="333333"/>
          <w:sz w:val="36"/>
          <w:szCs w:val="36"/>
        </w:rPr>
        <w:t>部门整体支出绩效评价报告</w:t>
      </w:r>
    </w:p>
    <w:p>
      <w:pPr>
        <w:shd w:val="clear" w:color="auto" w:fill="FFFFFF"/>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sz w:val="30"/>
          <w:szCs w:val="30"/>
        </w:rPr>
        <w:t>根据《中共中央国务院关于全面实施预算绩效管理的意见》（中发〔2018〕34 号）、《财政部关于印发&lt;项目支出绩效评价管理办法&gt;的通知》（财预〔2020〕10 号）和《中共湖南省委办公厅湖南省人民政府办公厅关于全面实施预算绩效管理的实施意见》（湘政发〔2019〕10 号）等有关文件精神,泉交河镇人民政府认真负责、客观公正地对2021年度部门整体支出绩效进行了全面综合评价，自评得分为92.5分，现将相关情况报告如下：</w:t>
      </w:r>
    </w:p>
    <w:p>
      <w:pPr>
        <w:shd w:val="clear" w:color="auto" w:fill="FFFFFF"/>
        <w:wordWrap w:val="0"/>
        <w:spacing w:line="600" w:lineRule="exact"/>
        <w:ind w:firstLine="600" w:firstLineChars="200"/>
        <w:rPr>
          <w:rFonts w:ascii="黑体" w:hAnsi="黑体" w:eastAsia="黑体" w:cs="黑体"/>
          <w:bCs/>
          <w:color w:val="333333"/>
          <w:sz w:val="30"/>
          <w:szCs w:val="30"/>
        </w:rPr>
      </w:pPr>
      <w:r>
        <w:rPr>
          <w:rFonts w:hint="eastAsia" w:ascii="黑体" w:hAnsi="黑体" w:eastAsia="黑体" w:cs="黑体"/>
          <w:bCs/>
          <w:color w:val="333333"/>
          <w:sz w:val="30"/>
          <w:szCs w:val="30"/>
        </w:rPr>
        <w:t>一、基本情况</w:t>
      </w:r>
    </w:p>
    <w:p>
      <w:pPr>
        <w:shd w:val="clear" w:color="auto" w:fill="FFFFFF"/>
        <w:spacing w:line="600" w:lineRule="exact"/>
        <w:ind w:firstLine="600" w:firstLineChars="200"/>
        <w:jc w:val="left"/>
        <w:rPr>
          <w:rFonts w:hint="eastAsia" w:ascii="仿宋" w:hAnsi="仿宋" w:eastAsia="仿宋" w:cs="仿宋"/>
          <w:color w:val="333333"/>
          <w:sz w:val="30"/>
          <w:szCs w:val="30"/>
        </w:rPr>
      </w:pPr>
      <w:r>
        <w:rPr>
          <w:rFonts w:hint="eastAsia" w:ascii="仿宋" w:hAnsi="仿宋" w:eastAsia="仿宋" w:cs="仿宋"/>
          <w:color w:val="333333"/>
          <w:sz w:val="30"/>
          <w:szCs w:val="30"/>
        </w:rPr>
        <w:t>益阳市泉交河镇人民政府主要负责拟定镇区发展规划、产业政策和优惠政策以及各项具体管理办法、服务工作规定并组织实施。负责管理、协调涉及规划、建设、环保、国土等行政职能部门的相关工作；管理协调全镇企业项目建设，承担镇区内各项基础设施、公用设施及建设项目的管理责任，组织实施镇区内基础设施及公用设施的建设管理工作。负责镇区内项目招商引资工作。负责镇区农业、民政、社会保障、社会治安、卫生和计划生育、文化等社会事务工作。承担镇区内的征地折迁及安置工作。负责镇区企业和施工项目安全生产工作和经区安全生产监管机构依法依程序委托的有关工作。协调、管理有关部门设在镇区内的派出机构或分支机构。完成上级政府交办的其它事项。</w:t>
      </w:r>
    </w:p>
    <w:p>
      <w:pPr>
        <w:shd w:val="clear" w:color="auto" w:fill="FFFFFF"/>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sz w:val="30"/>
          <w:szCs w:val="30"/>
        </w:rPr>
        <w:t>2021年泉交河镇政府内设机构12个，分别是泉交河镇党政办公室、党建办公室、经济发展办公室、社会事务办公室，自然资源和生态环境办公室、社会治安和应急管理办公室、财政财务管理办公室、综合执法大队、社会事务综合服务中心、农业综合服务中心，党群和政务服务中心、退役军人服务站。目前，</w:t>
      </w:r>
      <w:r>
        <w:rPr>
          <w:rFonts w:hint="eastAsia" w:ascii="仿宋" w:hAnsi="仿宋" w:eastAsia="仿宋" w:cs="仿宋"/>
          <w:color w:val="414141"/>
          <w:sz w:val="30"/>
          <w:szCs w:val="30"/>
        </w:rPr>
        <w:t>在职编制人数98人，其中：行政编制31人，事业编制67人。退休人数80人，其中：</w:t>
      </w:r>
      <w:r>
        <w:rPr>
          <w:rFonts w:hint="eastAsia" w:ascii="仿宋" w:hAnsi="仿宋" w:eastAsia="仿宋" w:cs="仿宋"/>
          <w:color w:val="333333"/>
          <w:sz w:val="30"/>
          <w:szCs w:val="30"/>
        </w:rPr>
        <w:t>行政编制退休：35人，事业编制退休：45人。分流人员63。遗属15人。</w:t>
      </w:r>
    </w:p>
    <w:p>
      <w:pPr>
        <w:shd w:val="clear" w:color="auto" w:fill="FFFFFF"/>
        <w:wordWrap w:val="0"/>
        <w:spacing w:line="600" w:lineRule="exact"/>
        <w:ind w:firstLine="600" w:firstLineChars="200"/>
        <w:rPr>
          <w:rFonts w:ascii="黑体" w:hAnsi="黑体" w:eastAsia="黑体" w:cs="黑体"/>
          <w:bCs/>
          <w:color w:val="333333"/>
          <w:sz w:val="30"/>
          <w:szCs w:val="30"/>
        </w:rPr>
      </w:pPr>
      <w:r>
        <w:rPr>
          <w:rFonts w:hint="eastAsia" w:ascii="黑体" w:hAnsi="黑体" w:eastAsia="黑体" w:cs="黑体"/>
          <w:bCs/>
          <w:color w:val="333333"/>
          <w:sz w:val="30"/>
          <w:szCs w:val="30"/>
        </w:rPr>
        <w:t>二、一般公共预算支出情况</w:t>
      </w:r>
    </w:p>
    <w:p>
      <w:pPr>
        <w:shd w:val="clear" w:color="auto" w:fill="FFFFFF"/>
        <w:spacing w:line="600" w:lineRule="exact"/>
        <w:ind w:firstLine="602" w:firstLineChars="200"/>
        <w:jc w:val="left"/>
        <w:rPr>
          <w:rFonts w:ascii="仿宋" w:hAnsi="仿宋" w:eastAsia="仿宋" w:cs="仿宋"/>
          <w:b/>
          <w:color w:val="333333"/>
          <w:sz w:val="30"/>
          <w:szCs w:val="30"/>
          <w:shd w:val="clear" w:color="auto" w:fill="FFFFFF"/>
        </w:rPr>
      </w:pPr>
      <w:r>
        <w:rPr>
          <w:rFonts w:hint="eastAsia" w:ascii="仿宋" w:hAnsi="仿宋" w:eastAsia="仿宋" w:cs="仿宋"/>
          <w:b/>
          <w:color w:val="333333"/>
          <w:sz w:val="30"/>
          <w:szCs w:val="30"/>
          <w:shd w:val="clear" w:color="auto" w:fill="FFFFFF"/>
        </w:rPr>
        <w:t>（一）基本支出情况</w:t>
      </w:r>
    </w:p>
    <w:p>
      <w:pPr>
        <w:shd w:val="clear" w:color="auto" w:fill="FFFFFF"/>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i w:val="0"/>
          <w:caps w:val="0"/>
          <w:color w:val="333333"/>
          <w:spacing w:val="0"/>
          <w:kern w:val="0"/>
          <w:sz w:val="30"/>
          <w:szCs w:val="30"/>
          <w:shd w:val="clear" w:fill="FFFFFF"/>
          <w:lang w:val="en-US" w:eastAsia="zh-CN" w:bidi="ar"/>
        </w:rPr>
        <w:t>基本支出是指为保障单位机构正常运转、完成日常工作任务而发生的各项支出，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w:t>
      </w:r>
      <w:r>
        <w:rPr>
          <w:rFonts w:hint="eastAsia" w:ascii="仿宋" w:hAnsi="仿宋" w:eastAsia="仿宋" w:cs="仿宋"/>
          <w:sz w:val="30"/>
          <w:szCs w:val="30"/>
          <w:lang w:val="en-US" w:eastAsia="zh-CN"/>
        </w:rPr>
        <w:t>基本</w:t>
      </w:r>
      <w:r>
        <w:rPr>
          <w:rFonts w:hint="eastAsia" w:ascii="仿宋" w:hAnsi="仿宋" w:eastAsia="仿宋" w:cs="仿宋"/>
          <w:sz w:val="30"/>
          <w:szCs w:val="30"/>
        </w:rPr>
        <w:t>支出为</w:t>
      </w:r>
      <w:r>
        <w:rPr>
          <w:rFonts w:hint="eastAsia" w:ascii="仿宋" w:hAnsi="仿宋" w:eastAsia="仿宋" w:cs="仿宋"/>
          <w:color w:val="333333"/>
          <w:sz w:val="30"/>
          <w:szCs w:val="30"/>
        </w:rPr>
        <w:t>227</w:t>
      </w:r>
      <w:r>
        <w:rPr>
          <w:rFonts w:hint="eastAsia" w:ascii="仿宋" w:hAnsi="仿宋" w:eastAsia="仿宋" w:cs="仿宋"/>
          <w:color w:val="333333"/>
          <w:sz w:val="30"/>
          <w:szCs w:val="30"/>
          <w:lang w:val="en-US" w:eastAsia="zh-CN"/>
        </w:rPr>
        <w:t>2.12</w:t>
      </w:r>
      <w:r>
        <w:rPr>
          <w:rFonts w:hint="eastAsia" w:ascii="仿宋" w:hAnsi="仿宋" w:eastAsia="仿宋" w:cs="仿宋"/>
          <w:color w:val="333333"/>
          <w:sz w:val="30"/>
          <w:szCs w:val="30"/>
        </w:rPr>
        <w:t>万元，</w:t>
      </w:r>
      <w:r>
        <w:rPr>
          <w:rFonts w:hint="eastAsia" w:ascii="仿宋" w:hAnsi="仿宋" w:eastAsia="仿宋" w:cs="仿宋"/>
          <w:color w:val="333333"/>
          <w:sz w:val="30"/>
          <w:szCs w:val="30"/>
          <w:lang w:val="en-US" w:eastAsia="zh-CN"/>
        </w:rPr>
        <w:t>较上年</w:t>
      </w:r>
      <w:r>
        <w:rPr>
          <w:rFonts w:hint="eastAsia" w:ascii="仿宋" w:hAnsi="仿宋" w:eastAsia="仿宋" w:cs="仿宋"/>
          <w:color w:val="333333"/>
          <w:sz w:val="30"/>
          <w:szCs w:val="30"/>
        </w:rPr>
        <w:t>一般公共预算基本支出2245</w:t>
      </w:r>
      <w:r>
        <w:rPr>
          <w:rFonts w:hint="eastAsia" w:ascii="仿宋" w:hAnsi="仿宋" w:eastAsia="仿宋" w:cs="仿宋"/>
          <w:color w:val="333333"/>
          <w:sz w:val="30"/>
          <w:szCs w:val="30"/>
          <w:lang w:val="en-US" w:eastAsia="zh-CN"/>
        </w:rPr>
        <w:t>.61</w:t>
      </w:r>
      <w:r>
        <w:rPr>
          <w:rFonts w:hint="eastAsia" w:ascii="仿宋" w:hAnsi="仿宋" w:eastAsia="仿宋" w:cs="仿宋"/>
          <w:color w:val="333333"/>
          <w:sz w:val="30"/>
          <w:szCs w:val="30"/>
        </w:rPr>
        <w:t>万元，</w:t>
      </w:r>
      <w:r>
        <w:rPr>
          <w:rFonts w:hint="eastAsia" w:ascii="仿宋" w:hAnsi="仿宋" w:eastAsia="仿宋" w:cs="仿宋"/>
          <w:color w:val="333333"/>
          <w:sz w:val="30"/>
          <w:szCs w:val="30"/>
          <w:lang w:val="en-US" w:eastAsia="zh-CN"/>
        </w:rPr>
        <w:t>增加26.51万元，</w:t>
      </w:r>
      <w:r>
        <w:rPr>
          <w:rFonts w:hint="eastAsia" w:ascii="仿宋" w:hAnsi="仿宋" w:eastAsia="仿宋" w:cs="仿宋"/>
          <w:color w:val="333333"/>
          <w:sz w:val="30"/>
          <w:szCs w:val="30"/>
        </w:rPr>
        <w:t>增加1.</w:t>
      </w:r>
      <w:r>
        <w:rPr>
          <w:rFonts w:hint="eastAsia" w:ascii="仿宋" w:hAnsi="仿宋" w:eastAsia="仿宋" w:cs="仿宋"/>
          <w:color w:val="333333"/>
          <w:sz w:val="30"/>
          <w:szCs w:val="30"/>
          <w:lang w:val="en-US" w:eastAsia="zh-CN"/>
        </w:rPr>
        <w:t>18</w:t>
      </w:r>
      <w:r>
        <w:rPr>
          <w:rFonts w:hint="eastAsia" w:ascii="仿宋" w:hAnsi="仿宋" w:eastAsia="仿宋" w:cs="仿宋"/>
          <w:color w:val="333333"/>
          <w:sz w:val="30"/>
          <w:szCs w:val="30"/>
        </w:rPr>
        <w:t>%，</w:t>
      </w:r>
      <w:r>
        <w:rPr>
          <w:rFonts w:hint="eastAsia" w:ascii="仿宋" w:hAnsi="仿宋" w:eastAsia="仿宋" w:cs="仿宋"/>
          <w:color w:val="333333"/>
          <w:sz w:val="30"/>
          <w:szCs w:val="30"/>
          <w:lang w:val="en-US" w:eastAsia="zh-CN"/>
        </w:rPr>
        <w:t>基本持平，</w:t>
      </w:r>
      <w:r>
        <w:rPr>
          <w:rFonts w:hint="eastAsia" w:ascii="仿宋" w:hAnsi="仿宋" w:eastAsia="仿宋" w:cs="仿宋"/>
          <w:color w:val="333333"/>
          <w:sz w:val="30"/>
          <w:szCs w:val="30"/>
        </w:rPr>
        <w:t>其中人员经费1581</w:t>
      </w:r>
      <w:r>
        <w:rPr>
          <w:rFonts w:hint="eastAsia" w:ascii="仿宋" w:hAnsi="仿宋" w:eastAsia="仿宋" w:cs="仿宋"/>
          <w:color w:val="333333"/>
          <w:sz w:val="30"/>
          <w:szCs w:val="30"/>
          <w:lang w:val="en-US" w:eastAsia="zh-CN"/>
        </w:rPr>
        <w:t>.27</w:t>
      </w:r>
      <w:r>
        <w:rPr>
          <w:rFonts w:hint="eastAsia" w:ascii="仿宋" w:hAnsi="仿宋" w:eastAsia="仿宋" w:cs="仿宋"/>
          <w:color w:val="333333"/>
          <w:sz w:val="30"/>
          <w:szCs w:val="30"/>
        </w:rPr>
        <w:t>万元，占比69.5</w:t>
      </w:r>
      <w:r>
        <w:rPr>
          <w:rFonts w:hint="eastAsia" w:ascii="仿宋" w:hAnsi="仿宋" w:eastAsia="仿宋" w:cs="仿宋"/>
          <w:color w:val="333333"/>
          <w:sz w:val="30"/>
          <w:szCs w:val="30"/>
          <w:lang w:val="en-US" w:eastAsia="zh-CN"/>
        </w:rPr>
        <w:t>9</w:t>
      </w:r>
      <w:r>
        <w:rPr>
          <w:rFonts w:hint="eastAsia" w:ascii="仿宋" w:hAnsi="仿宋" w:eastAsia="仿宋" w:cs="仿宋"/>
          <w:color w:val="333333"/>
          <w:sz w:val="30"/>
          <w:szCs w:val="30"/>
        </w:rPr>
        <w:t>%；公用经费69</w:t>
      </w:r>
      <w:r>
        <w:rPr>
          <w:rFonts w:hint="eastAsia" w:ascii="仿宋" w:hAnsi="仿宋" w:eastAsia="仿宋" w:cs="仿宋"/>
          <w:color w:val="333333"/>
          <w:sz w:val="30"/>
          <w:szCs w:val="30"/>
          <w:lang w:val="en-US" w:eastAsia="zh-CN"/>
        </w:rPr>
        <w:t>0.85</w:t>
      </w:r>
      <w:r>
        <w:rPr>
          <w:rFonts w:hint="eastAsia" w:ascii="仿宋" w:hAnsi="仿宋" w:eastAsia="仿宋" w:cs="仿宋"/>
          <w:color w:val="333333"/>
          <w:sz w:val="30"/>
          <w:szCs w:val="30"/>
        </w:rPr>
        <w:t>万元，占比30.4</w:t>
      </w:r>
      <w:r>
        <w:rPr>
          <w:rFonts w:hint="eastAsia" w:ascii="仿宋" w:hAnsi="仿宋" w:eastAsia="仿宋" w:cs="仿宋"/>
          <w:color w:val="333333"/>
          <w:sz w:val="30"/>
          <w:szCs w:val="30"/>
          <w:lang w:val="en-US" w:eastAsia="zh-CN"/>
        </w:rPr>
        <w:t>1</w:t>
      </w:r>
      <w:r>
        <w:rPr>
          <w:rFonts w:hint="eastAsia" w:ascii="仿宋" w:hAnsi="仿宋" w:eastAsia="仿宋" w:cs="仿宋"/>
          <w:color w:val="333333"/>
          <w:sz w:val="30"/>
          <w:szCs w:val="30"/>
        </w:rPr>
        <w:t>%。 </w:t>
      </w:r>
    </w:p>
    <w:p>
      <w:pPr>
        <w:shd w:val="clear" w:color="auto" w:fill="FFFFFF"/>
        <w:spacing w:line="600" w:lineRule="exact"/>
        <w:ind w:firstLine="602" w:firstLineChars="200"/>
        <w:jc w:val="left"/>
        <w:rPr>
          <w:rFonts w:ascii="仿宋" w:hAnsi="仿宋" w:eastAsia="仿宋" w:cs="仿宋"/>
          <w:b/>
          <w:color w:val="333333"/>
          <w:sz w:val="30"/>
          <w:szCs w:val="30"/>
          <w:shd w:val="clear" w:color="auto" w:fill="FFFFFF"/>
        </w:rPr>
      </w:pPr>
      <w:r>
        <w:rPr>
          <w:rFonts w:hint="eastAsia" w:ascii="仿宋" w:hAnsi="仿宋" w:eastAsia="仿宋" w:cs="仿宋"/>
          <w:b/>
          <w:color w:val="333333"/>
          <w:sz w:val="30"/>
          <w:szCs w:val="30"/>
          <w:shd w:val="clear" w:color="auto" w:fill="FFFFFF"/>
        </w:rPr>
        <w:t>（二）项目支出情况</w:t>
      </w:r>
    </w:p>
    <w:p>
      <w:pPr>
        <w:shd w:val="clear" w:color="auto" w:fill="FFFFFF"/>
        <w:spacing w:line="600" w:lineRule="exact"/>
        <w:ind w:firstLine="600" w:firstLineChars="200"/>
        <w:jc w:val="left"/>
        <w:rPr>
          <w:rFonts w:hint="eastAsia" w:ascii="仿宋" w:hAnsi="仿宋" w:eastAsia="仿宋" w:cs="仿宋"/>
          <w:color w:val="333333"/>
          <w:sz w:val="30"/>
          <w:szCs w:val="30"/>
          <w:lang w:eastAsia="zh-CN"/>
        </w:rPr>
      </w:pPr>
      <w:r>
        <w:rPr>
          <w:rFonts w:hint="eastAsia" w:ascii="仿宋" w:hAnsi="仿宋" w:eastAsia="仿宋" w:cs="仿宋"/>
          <w:i w:val="0"/>
          <w:caps w:val="0"/>
          <w:color w:val="333333"/>
          <w:spacing w:val="0"/>
          <w:kern w:val="0"/>
          <w:sz w:val="30"/>
          <w:szCs w:val="30"/>
          <w:shd w:val="clear" w:fill="FFFFFF"/>
          <w:lang w:val="en-US" w:eastAsia="zh-CN" w:bidi="ar"/>
        </w:rPr>
        <w:t>项目支出是指单位为完成特定行政工作任务或事业发展目标而发生的支出。2021年项目支出</w:t>
      </w:r>
      <w:r>
        <w:rPr>
          <w:rFonts w:hint="eastAsia" w:ascii="仿宋" w:hAnsi="仿宋" w:eastAsia="仿宋" w:cs="仿宋"/>
          <w:color w:val="333333"/>
          <w:sz w:val="30"/>
          <w:szCs w:val="30"/>
        </w:rPr>
        <w:t>186</w:t>
      </w:r>
      <w:r>
        <w:rPr>
          <w:rFonts w:hint="eastAsia" w:ascii="仿宋" w:hAnsi="仿宋" w:eastAsia="仿宋" w:cs="仿宋"/>
          <w:color w:val="333333"/>
          <w:sz w:val="30"/>
          <w:szCs w:val="30"/>
          <w:lang w:val="en-US" w:eastAsia="zh-CN"/>
        </w:rPr>
        <w:t>6.10</w:t>
      </w:r>
      <w:r>
        <w:rPr>
          <w:rFonts w:hint="eastAsia" w:ascii="仿宋" w:hAnsi="仿宋" w:eastAsia="仿宋" w:cs="仿宋"/>
          <w:color w:val="333333"/>
          <w:sz w:val="30"/>
          <w:szCs w:val="30"/>
        </w:rPr>
        <w:t>万元，</w:t>
      </w:r>
      <w:r>
        <w:rPr>
          <w:rFonts w:hint="eastAsia" w:ascii="仿宋" w:hAnsi="仿宋" w:eastAsia="仿宋" w:cs="仿宋"/>
          <w:color w:val="333333"/>
          <w:sz w:val="30"/>
          <w:szCs w:val="30"/>
          <w:lang w:val="en-US" w:eastAsia="zh-CN"/>
        </w:rPr>
        <w:t>较上年</w:t>
      </w:r>
      <w:r>
        <w:rPr>
          <w:rFonts w:hint="eastAsia" w:ascii="仿宋" w:hAnsi="仿宋" w:eastAsia="仿宋" w:cs="仿宋"/>
          <w:color w:val="333333"/>
          <w:sz w:val="30"/>
          <w:szCs w:val="30"/>
        </w:rPr>
        <w:t>一般公共预算项目支出218</w:t>
      </w:r>
      <w:r>
        <w:rPr>
          <w:rFonts w:hint="eastAsia" w:ascii="仿宋" w:hAnsi="仿宋" w:eastAsia="仿宋" w:cs="仿宋"/>
          <w:color w:val="333333"/>
          <w:sz w:val="30"/>
          <w:szCs w:val="30"/>
          <w:lang w:val="en-US" w:eastAsia="zh-CN"/>
        </w:rPr>
        <w:t>4.17</w:t>
      </w:r>
      <w:r>
        <w:rPr>
          <w:rFonts w:hint="eastAsia" w:ascii="仿宋" w:hAnsi="仿宋" w:eastAsia="仿宋" w:cs="仿宋"/>
          <w:color w:val="333333"/>
          <w:sz w:val="30"/>
          <w:szCs w:val="30"/>
        </w:rPr>
        <w:t>万元</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减少318.07万元，</w:t>
      </w:r>
      <w:r>
        <w:rPr>
          <w:rFonts w:hint="eastAsia" w:ascii="仿宋" w:hAnsi="仿宋" w:eastAsia="仿宋" w:cs="仿宋"/>
          <w:color w:val="333333"/>
          <w:sz w:val="30"/>
          <w:szCs w:val="30"/>
        </w:rPr>
        <w:t>减少</w:t>
      </w:r>
      <w:r>
        <w:rPr>
          <w:rFonts w:hint="eastAsia" w:ascii="仿宋" w:hAnsi="仿宋" w:eastAsia="仿宋" w:cs="仿宋"/>
          <w:color w:val="333333"/>
          <w:sz w:val="30"/>
          <w:szCs w:val="30"/>
          <w:lang w:val="en-US" w:eastAsia="zh-CN"/>
        </w:rPr>
        <w:t>14.56</w:t>
      </w:r>
      <w:r>
        <w:rPr>
          <w:rFonts w:hint="eastAsia" w:ascii="仿宋" w:hAnsi="仿宋" w:eastAsia="仿宋" w:cs="仿宋"/>
          <w:color w:val="333333"/>
          <w:sz w:val="30"/>
          <w:szCs w:val="30"/>
        </w:rPr>
        <w:t>%，减少的主要原因是洞庭湖生态环境专项整治；抗疫特别国债资金；撇洪河流域治理工程等项目的减少</w:t>
      </w:r>
      <w:r>
        <w:rPr>
          <w:rFonts w:hint="eastAsia" w:ascii="仿宋" w:hAnsi="仿宋" w:eastAsia="仿宋" w:cs="仿宋"/>
          <w:color w:val="333333"/>
          <w:sz w:val="30"/>
          <w:szCs w:val="30"/>
          <w:lang w:eastAsia="zh-CN"/>
        </w:rPr>
        <w:t>。</w:t>
      </w:r>
    </w:p>
    <w:p>
      <w:pPr>
        <w:shd w:val="clear" w:color="auto" w:fill="FFFFFF"/>
        <w:wordWrap w:val="0"/>
        <w:spacing w:line="600" w:lineRule="exact"/>
        <w:ind w:firstLine="600" w:firstLineChars="200"/>
        <w:rPr>
          <w:rFonts w:ascii="黑体" w:hAnsi="黑体" w:eastAsia="黑体" w:cs="黑体"/>
          <w:bCs/>
          <w:color w:val="333333"/>
          <w:sz w:val="30"/>
          <w:szCs w:val="30"/>
        </w:rPr>
      </w:pPr>
      <w:r>
        <w:rPr>
          <w:rFonts w:hint="eastAsia" w:ascii="黑体" w:hAnsi="黑体" w:eastAsia="黑体" w:cs="黑体"/>
          <w:bCs/>
          <w:color w:val="333333"/>
          <w:sz w:val="30"/>
          <w:szCs w:val="30"/>
        </w:rPr>
        <w:t>三、政府性基金预算支出情况</w:t>
      </w:r>
    </w:p>
    <w:p>
      <w:pPr>
        <w:shd w:val="clear" w:color="auto" w:fill="FFFFFF"/>
        <w:spacing w:line="600" w:lineRule="exact"/>
        <w:ind w:firstLine="600" w:firstLineChars="200"/>
        <w:jc w:val="left"/>
        <w:rPr>
          <w:rFonts w:hint="eastAsia" w:ascii="仿宋" w:hAnsi="仿宋" w:eastAsia="仿宋" w:cs="仿宋"/>
          <w:color w:val="333333"/>
          <w:sz w:val="30"/>
          <w:szCs w:val="30"/>
        </w:rPr>
      </w:pPr>
      <w:r>
        <w:rPr>
          <w:rFonts w:hint="eastAsia" w:ascii="仿宋" w:hAnsi="仿宋" w:eastAsia="仿宋" w:cs="仿宋"/>
          <w:color w:val="333333"/>
          <w:sz w:val="30"/>
          <w:szCs w:val="30"/>
        </w:rPr>
        <w:t>2021年政府性基金预算支出61.2万元，2020年政府性基金预算支出198万元，同比减少69.09%.减少的主要原因是抗疫特别国债资金；社会福利的彩票公益金支出的减少。</w:t>
      </w:r>
    </w:p>
    <w:p>
      <w:pPr>
        <w:shd w:val="clear" w:color="auto" w:fill="FFFFFF"/>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sz w:val="30"/>
          <w:szCs w:val="30"/>
        </w:rPr>
        <w:t>其中专项抗疫特别国债支出10万元，城乡社区支出42.2万元，其他支出9万元，结余0万元。</w:t>
      </w:r>
    </w:p>
    <w:p>
      <w:pPr>
        <w:shd w:val="clear" w:color="auto" w:fill="FFFFFF"/>
        <w:wordWrap w:val="0"/>
        <w:spacing w:line="600" w:lineRule="exact"/>
        <w:ind w:firstLine="600" w:firstLineChars="200"/>
        <w:rPr>
          <w:rFonts w:ascii="黑体" w:hAnsi="黑体" w:eastAsia="黑体" w:cs="黑体"/>
          <w:bCs/>
          <w:color w:val="333333"/>
          <w:sz w:val="30"/>
          <w:szCs w:val="30"/>
        </w:rPr>
      </w:pPr>
      <w:r>
        <w:rPr>
          <w:rFonts w:hint="eastAsia" w:ascii="黑体" w:hAnsi="黑体" w:eastAsia="黑体" w:cs="黑体"/>
          <w:bCs/>
          <w:color w:val="333333"/>
          <w:sz w:val="30"/>
          <w:szCs w:val="30"/>
        </w:rPr>
        <w:t>四、国有资本经营预算支出情况</w:t>
      </w:r>
    </w:p>
    <w:p>
      <w:pPr>
        <w:shd w:val="clear" w:color="auto" w:fill="FFFFFF"/>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sz w:val="30"/>
          <w:szCs w:val="30"/>
          <w:shd w:val="clear" w:color="auto" w:fill="FFFFFF"/>
        </w:rPr>
        <w:t> </w:t>
      </w:r>
      <w:r>
        <w:rPr>
          <w:rFonts w:hint="eastAsia" w:ascii="仿宋" w:hAnsi="仿宋" w:eastAsia="仿宋" w:cs="仿宋"/>
          <w:color w:val="333333"/>
          <w:sz w:val="30"/>
          <w:szCs w:val="30"/>
        </w:rPr>
        <w:t>无国有资本经营预算收支。</w:t>
      </w:r>
    </w:p>
    <w:p>
      <w:pPr>
        <w:shd w:val="clear" w:color="auto" w:fill="FFFFFF"/>
        <w:wordWrap w:val="0"/>
        <w:spacing w:line="600" w:lineRule="exact"/>
        <w:ind w:firstLine="600" w:firstLineChars="200"/>
        <w:rPr>
          <w:rFonts w:ascii="黑体" w:hAnsi="黑体" w:eastAsia="黑体" w:cs="黑体"/>
          <w:bCs/>
          <w:color w:val="333333"/>
          <w:sz w:val="30"/>
          <w:szCs w:val="30"/>
        </w:rPr>
      </w:pPr>
      <w:r>
        <w:rPr>
          <w:rFonts w:hint="eastAsia" w:ascii="黑体" w:hAnsi="黑体" w:eastAsia="黑体" w:cs="黑体"/>
          <w:bCs/>
          <w:color w:val="333333"/>
          <w:sz w:val="30"/>
          <w:szCs w:val="30"/>
        </w:rPr>
        <w:t>五、社会保险基金预算支出情况</w:t>
      </w:r>
    </w:p>
    <w:p>
      <w:pPr>
        <w:shd w:val="clear" w:color="auto" w:fill="FFFFFF"/>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sz w:val="30"/>
          <w:szCs w:val="30"/>
          <w:shd w:val="clear" w:color="auto" w:fill="FFFFFF"/>
        </w:rPr>
        <w:t>  </w:t>
      </w:r>
      <w:r>
        <w:rPr>
          <w:rFonts w:hint="eastAsia" w:ascii="仿宋" w:hAnsi="仿宋" w:eastAsia="仿宋" w:cs="仿宋"/>
          <w:color w:val="333333"/>
          <w:sz w:val="30"/>
          <w:szCs w:val="30"/>
        </w:rPr>
        <w:t> 无社会保险基金预算收支</w:t>
      </w:r>
      <w:r>
        <w:rPr>
          <w:rFonts w:hint="eastAsia" w:ascii="仿宋" w:hAnsi="仿宋" w:eastAsia="仿宋" w:cs="仿宋"/>
          <w:color w:val="333333"/>
          <w:sz w:val="30"/>
          <w:szCs w:val="30"/>
          <w:shd w:val="clear" w:color="auto" w:fill="FFFFFF"/>
        </w:rPr>
        <w:t>。</w:t>
      </w:r>
    </w:p>
    <w:p>
      <w:pPr>
        <w:shd w:val="clear" w:color="auto" w:fill="FFFFFF"/>
        <w:wordWrap w:val="0"/>
        <w:spacing w:line="600" w:lineRule="exact"/>
        <w:ind w:firstLine="600" w:firstLineChars="200"/>
        <w:rPr>
          <w:rFonts w:ascii="黑体" w:hAnsi="黑体" w:eastAsia="黑体" w:cs="黑体"/>
          <w:bCs/>
          <w:color w:val="333333"/>
          <w:sz w:val="30"/>
          <w:szCs w:val="30"/>
        </w:rPr>
      </w:pPr>
      <w:r>
        <w:rPr>
          <w:rFonts w:hint="eastAsia" w:ascii="黑体" w:hAnsi="黑体" w:eastAsia="黑体" w:cs="黑体"/>
          <w:bCs/>
          <w:color w:val="333333"/>
          <w:sz w:val="30"/>
          <w:szCs w:val="30"/>
        </w:rPr>
        <w:t>六、部门整体支出绩效情况</w:t>
      </w:r>
    </w:p>
    <w:p>
      <w:pPr>
        <w:spacing w:line="600" w:lineRule="exact"/>
        <w:ind w:firstLine="602" w:firstLineChars="200"/>
        <w:rPr>
          <w:rFonts w:ascii="仿宋" w:hAnsi="仿宋" w:eastAsia="仿宋" w:cs="仿宋"/>
          <w:b/>
          <w:bCs/>
          <w:color w:val="333333"/>
          <w:sz w:val="30"/>
          <w:szCs w:val="30"/>
        </w:rPr>
      </w:pPr>
      <w:r>
        <w:rPr>
          <w:rFonts w:hint="eastAsia" w:ascii="仿宋" w:hAnsi="仿宋" w:eastAsia="仿宋" w:cs="仿宋"/>
          <w:b/>
          <w:bCs/>
          <w:color w:val="333333"/>
          <w:sz w:val="30"/>
          <w:szCs w:val="30"/>
        </w:rPr>
        <w:t>（一）部门整体支出绩效目标</w:t>
      </w:r>
    </w:p>
    <w:p>
      <w:pPr>
        <w:shd w:val="clear" w:color="auto" w:fill="FFFFFF"/>
        <w:spacing w:line="600" w:lineRule="exact"/>
        <w:ind w:firstLine="600" w:firstLineChars="200"/>
        <w:jc w:val="left"/>
        <w:rPr>
          <w:rFonts w:ascii="仿宋" w:hAnsi="仿宋" w:eastAsia="仿宋" w:cs="仿宋"/>
          <w:color w:val="333333"/>
          <w:sz w:val="30"/>
          <w:szCs w:val="30"/>
          <w:shd w:val="clear" w:color="auto" w:fill="FFFFFF"/>
        </w:rPr>
      </w:pPr>
      <w:r>
        <w:rPr>
          <w:rFonts w:ascii="仿宋" w:hAnsi="仿宋" w:eastAsia="仿宋" w:cs="仿宋"/>
          <w:color w:val="333333"/>
          <w:sz w:val="30"/>
          <w:szCs w:val="30"/>
          <w:shd w:val="clear" w:color="auto" w:fill="FFFFFF"/>
        </w:rPr>
        <w:t>1.</w:t>
      </w:r>
      <w:r>
        <w:rPr>
          <w:rFonts w:hint="eastAsia" w:ascii="仿宋" w:hAnsi="仿宋" w:eastAsia="仿宋" w:cs="仿宋"/>
          <w:color w:val="333333"/>
          <w:sz w:val="30"/>
          <w:szCs w:val="30"/>
          <w:shd w:val="clear" w:color="auto" w:fill="FFFFFF"/>
        </w:rPr>
        <w:t>预决算编制情况。预算编制工作严格遵循合法性、真实性、完整性、重点性、绩效性，实行零基预算，按定额标准编制部门。专项预算细化，按规定及时公示了部门预算。及时清理，准确反映结余结转资金，严格执行结余结转资金的管理规定。决算编审工作中严格按照“真实、准确、完整、及时”的要求，正确理解和掌握决算报表的口径和相关指标，部门决算报表的内容涵盖单位的全部收支，做到了数据真实，计算准确，内容完整。按规定及时公示了部门决算。</w:t>
      </w:r>
    </w:p>
    <w:p>
      <w:pPr>
        <w:shd w:val="clear" w:color="auto" w:fill="FFFFFF"/>
        <w:spacing w:line="600" w:lineRule="exact"/>
        <w:ind w:firstLine="600" w:firstLineChars="200"/>
        <w:jc w:val="left"/>
        <w:rPr>
          <w:rFonts w:ascii="仿宋" w:hAnsi="仿宋" w:eastAsia="仿宋" w:cs="仿宋"/>
          <w:color w:val="333333"/>
          <w:sz w:val="30"/>
          <w:szCs w:val="30"/>
          <w:shd w:val="clear" w:color="auto" w:fill="FFFFFF"/>
        </w:rPr>
      </w:pPr>
      <w:r>
        <w:rPr>
          <w:rFonts w:ascii="仿宋" w:hAnsi="仿宋" w:eastAsia="仿宋" w:cs="仿宋"/>
          <w:color w:val="333333"/>
          <w:sz w:val="30"/>
          <w:szCs w:val="30"/>
          <w:shd w:val="clear" w:color="auto" w:fill="FFFFFF"/>
        </w:rPr>
        <w:t>2.</w:t>
      </w:r>
      <w:r>
        <w:rPr>
          <w:rFonts w:hint="eastAsia" w:ascii="仿宋" w:hAnsi="仿宋" w:eastAsia="仿宋" w:cs="仿宋"/>
          <w:color w:val="333333"/>
          <w:sz w:val="30"/>
          <w:szCs w:val="30"/>
          <w:shd w:val="clear" w:color="auto" w:fill="FFFFFF"/>
        </w:rPr>
        <w:t>三公经费控制情况。贯彻落实上级有关精神，严格控制“三公经费”支出，取得了良好效果。2021年全年单位未购置公务用车，年末开支运行维护费的公务用车保有量2辆。2021年度公务接待费全部取消，公务用车运行及维护费9万元。无因公出国（境）费。同时，按照区级财政的要求，在政府网站上对“三公”经费情况进行了公示。</w:t>
      </w:r>
    </w:p>
    <w:p>
      <w:pPr>
        <w:shd w:val="clear" w:color="auto" w:fill="FFFFFF"/>
        <w:spacing w:line="600" w:lineRule="exact"/>
        <w:ind w:firstLine="600" w:firstLineChars="200"/>
        <w:jc w:val="left"/>
        <w:rPr>
          <w:rFonts w:ascii="仿宋" w:hAnsi="仿宋" w:eastAsia="仿宋" w:cs="仿宋"/>
          <w:color w:val="333333"/>
          <w:sz w:val="30"/>
          <w:szCs w:val="30"/>
          <w:shd w:val="clear" w:color="auto" w:fill="FFFFFF"/>
        </w:rPr>
      </w:pPr>
      <w:r>
        <w:rPr>
          <w:rFonts w:ascii="仿宋" w:hAnsi="仿宋" w:eastAsia="仿宋" w:cs="仿宋"/>
          <w:color w:val="333333"/>
          <w:sz w:val="30"/>
          <w:szCs w:val="30"/>
          <w:shd w:val="clear" w:color="auto" w:fill="FFFFFF"/>
        </w:rPr>
        <w:t>3.</w:t>
      </w:r>
      <w:r>
        <w:rPr>
          <w:rFonts w:hint="eastAsia" w:ascii="仿宋" w:hAnsi="仿宋" w:eastAsia="仿宋" w:cs="仿宋"/>
          <w:color w:val="333333"/>
          <w:sz w:val="30"/>
          <w:szCs w:val="30"/>
          <w:shd w:val="clear" w:color="auto" w:fill="FFFFFF"/>
        </w:rPr>
        <w:t>项目资金管理情况。机关建立和健全项目资金管理制度和管理办法。严格资金的使用和划拨流程，确保资金使用安全、公平、合理。项目资金做到了专款专用，及时拨付。资金的划拨均通过银行转帐的方式，直接支付到企业,切实保障了资金使用的准确性和安全性。</w:t>
      </w:r>
    </w:p>
    <w:p>
      <w:pPr>
        <w:shd w:val="clear" w:color="auto" w:fill="FFFFFF"/>
        <w:spacing w:line="600" w:lineRule="exact"/>
        <w:ind w:firstLine="600" w:firstLineChars="200"/>
        <w:jc w:val="left"/>
        <w:rPr>
          <w:rFonts w:ascii="仿宋" w:hAnsi="仿宋" w:eastAsia="仿宋" w:cs="仿宋"/>
          <w:color w:val="333333"/>
          <w:sz w:val="30"/>
          <w:szCs w:val="30"/>
          <w:shd w:val="clear" w:color="auto" w:fill="FFFFFF"/>
        </w:rPr>
      </w:pPr>
      <w:r>
        <w:rPr>
          <w:rFonts w:ascii="仿宋" w:hAnsi="仿宋" w:eastAsia="仿宋" w:cs="仿宋"/>
          <w:color w:val="333333"/>
          <w:sz w:val="30"/>
          <w:szCs w:val="30"/>
          <w:shd w:val="clear" w:color="auto" w:fill="FFFFFF"/>
        </w:rPr>
        <w:t>4.</w:t>
      </w:r>
      <w:r>
        <w:rPr>
          <w:rFonts w:hint="eastAsia" w:ascii="仿宋" w:hAnsi="仿宋" w:eastAsia="仿宋" w:cs="仿宋"/>
          <w:color w:val="333333"/>
          <w:sz w:val="30"/>
          <w:szCs w:val="30"/>
          <w:shd w:val="clear" w:color="auto" w:fill="FFFFFF"/>
        </w:rPr>
        <w:t>整体绩效及执行管理情况</w:t>
      </w:r>
    </w:p>
    <w:p>
      <w:pPr>
        <w:shd w:val="clear" w:color="auto" w:fill="FFFFFF"/>
        <w:spacing w:line="600" w:lineRule="exact"/>
        <w:ind w:firstLine="600" w:firstLineChars="200"/>
        <w:jc w:val="left"/>
        <w:rPr>
          <w:rFonts w:ascii="仿宋" w:hAnsi="仿宋" w:eastAsia="仿宋" w:cs="仿宋"/>
          <w:color w:val="333333"/>
          <w:sz w:val="30"/>
          <w:szCs w:val="30"/>
          <w:shd w:val="clear" w:color="auto" w:fill="FFFFFF"/>
        </w:rPr>
      </w:pPr>
      <w:r>
        <w:rPr>
          <w:rFonts w:ascii="仿宋" w:hAnsi="仿宋" w:eastAsia="仿宋" w:cs="仿宋"/>
          <w:color w:val="333333"/>
          <w:sz w:val="30"/>
          <w:szCs w:val="30"/>
          <w:shd w:val="clear" w:color="auto" w:fill="FFFFFF"/>
        </w:rPr>
        <w:t>5.</w:t>
      </w:r>
      <w:r>
        <w:rPr>
          <w:rFonts w:hint="eastAsia" w:ascii="仿宋" w:hAnsi="仿宋" w:eastAsia="仿宋" w:cs="仿宋"/>
          <w:color w:val="333333"/>
          <w:sz w:val="30"/>
          <w:szCs w:val="30"/>
          <w:shd w:val="clear" w:color="auto" w:fill="FFFFFF"/>
        </w:rPr>
        <w:t>2021年，我单位积极履职，强化管理，较好的完成了年度工作目标。通过加强预算收支管理，不断建立健全内部管理制度，梳理内部管理流程，部门整体支出管理水平得到提升。基本支出严格按部门预算均衡执行，根据批复的预算安排各项收支，确保预算严格有效执行。</w:t>
      </w:r>
    </w:p>
    <w:p>
      <w:pPr>
        <w:shd w:val="clear" w:color="auto" w:fill="FFFFFF"/>
        <w:wordWrap w:val="0"/>
        <w:spacing w:line="600" w:lineRule="exact"/>
        <w:ind w:firstLine="602" w:firstLineChars="200"/>
        <w:rPr>
          <w:rFonts w:ascii="仿宋" w:hAnsi="仿宋" w:eastAsia="仿宋" w:cs="仿宋"/>
          <w:b/>
          <w:bCs/>
          <w:color w:val="333333"/>
          <w:sz w:val="30"/>
          <w:szCs w:val="30"/>
        </w:rPr>
      </w:pPr>
      <w:r>
        <w:rPr>
          <w:rFonts w:hint="eastAsia" w:ascii="仿宋" w:hAnsi="仿宋" w:eastAsia="仿宋" w:cs="仿宋"/>
          <w:b/>
          <w:bCs/>
          <w:color w:val="333333"/>
          <w:sz w:val="30"/>
          <w:szCs w:val="30"/>
        </w:rPr>
        <w:t>（二）绩效评价工作情况</w:t>
      </w:r>
    </w:p>
    <w:p>
      <w:pPr>
        <w:shd w:val="clear" w:color="auto" w:fill="FFFFFF"/>
        <w:wordWrap w:val="0"/>
        <w:spacing w:line="600"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1.绩效评价目的。通过绩效评价，树立绩效意识、成本意识和责任意识，完善预算编制、执行、监督体系，提升绩效管理质量，提高财政资金使用效益，促进更好地履职尽责。</w:t>
      </w:r>
    </w:p>
    <w:p>
      <w:pPr>
        <w:shd w:val="clear" w:color="auto" w:fill="FFFFFF"/>
        <w:wordWrap w:val="0"/>
        <w:spacing w:line="600"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2.绩效评价工作过程。泉交河镇部门预算整体绩效评价本着客观、科学、实用的原则，成立了泉交河镇政府项目绩效评估领导小组，镇党委书记任组长，镇长为副组长，纪委书记、人大主席、财政所长等为成员。评估小组根据年初项目绩效申报内容对年终项目实施情况绩效评估考核。针对2021年初部门整体支出绩效涉及到的资金进行财务核实，按照年初整体支出绩效申报表的一、二、三级指标逐项调查、核实、对比，对泉交河镇2021年部门整体支出绩效分为投入（20分）、过程（30分）、产出（30分）、效果（20分）4个一级指标进行评价，4个一指标下共设7个二级指标和27个三级指标，通过细化逐项进行了评估。</w:t>
      </w:r>
    </w:p>
    <w:p>
      <w:pPr>
        <w:shd w:val="clear" w:color="auto" w:fill="FFFFFF"/>
        <w:wordWrap w:val="0"/>
        <w:spacing w:line="600" w:lineRule="exact"/>
        <w:ind w:firstLine="602" w:firstLineChars="200"/>
        <w:rPr>
          <w:rFonts w:ascii="仿宋" w:hAnsi="仿宋" w:eastAsia="仿宋" w:cs="仿宋"/>
          <w:b/>
          <w:bCs/>
          <w:color w:val="333333"/>
          <w:sz w:val="30"/>
          <w:szCs w:val="30"/>
        </w:rPr>
      </w:pPr>
      <w:r>
        <w:rPr>
          <w:rFonts w:hint="eastAsia" w:ascii="仿宋" w:hAnsi="仿宋" w:eastAsia="仿宋" w:cs="仿宋"/>
          <w:b/>
          <w:bCs/>
          <w:color w:val="333333"/>
          <w:sz w:val="30"/>
          <w:szCs w:val="30"/>
        </w:rPr>
        <w:t>（三）主要绩效及评价结论</w:t>
      </w:r>
    </w:p>
    <w:p>
      <w:pPr>
        <w:shd w:val="clear" w:color="auto" w:fill="FFFFFF"/>
        <w:wordWrap w:val="0"/>
        <w:spacing w:line="600"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1.评价结论。泉交河镇政府项目绩效评估领导小组通过评估，泉交河部门整体支出绩效得分92.5分。</w:t>
      </w:r>
    </w:p>
    <w:p>
      <w:pPr>
        <w:shd w:val="clear" w:color="auto" w:fill="FFFFFF"/>
        <w:wordWrap w:val="0"/>
        <w:spacing w:line="600"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2.绩效分析</w:t>
      </w:r>
    </w:p>
    <w:p>
      <w:pPr>
        <w:shd w:val="clear" w:color="auto" w:fill="FFFFFF"/>
        <w:wordWrap w:val="0"/>
        <w:spacing w:line="600"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1）投入得20分，基础信息更新按照区级部门预算编制通知和有关要求，按时完成基础库、项目库报送工作，预算编制准确，部门预算审查合法，部门整体绩效目标编制完整、合理，项目绩效目标编制明确、量化。</w:t>
      </w:r>
    </w:p>
    <w:p>
      <w:pPr>
        <w:shd w:val="clear" w:color="auto" w:fill="FFFFFF"/>
        <w:wordWrap w:val="0"/>
        <w:spacing w:line="600"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（2）过程得27.5分，按规定及时分配上级财力专项预算，部门按要求严格预算执行管理，行政成本严格执行节能降耗、严格执行“三公经费”预算。</w:t>
      </w:r>
    </w:p>
    <w:p>
      <w:pPr>
        <w:shd w:val="clear" w:color="auto" w:fill="FFFFFF"/>
        <w:wordWrap w:val="0"/>
        <w:spacing w:line="600"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3）产出得26分，按规定做好政府性债务还本付息工作，部门和单位将国有资产纳入资产信息系统管理，按要求及时、准确、全面开展资产清查工作，报国有资产报表数据的真实、准确、全面，内部控制度健全完整，信息公开在财政部门批复二十日内向社会公开本部门预算、决算、绩效，部门实施绩效评价项目数量占部门申报绩效目标项目数量的比重，用以反映和考核部门实施绩效评价项目资金覆盖情况。</w:t>
      </w:r>
    </w:p>
    <w:p>
      <w:pPr>
        <w:shd w:val="clear" w:color="auto" w:fill="FFFFFF"/>
        <w:wordWrap w:val="0"/>
        <w:spacing w:line="600"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4）效果得19分，履行法定职责，完成区委、区政府决策部署和重大工作任务完成好，部门实施重大项目的经济、社会效益好，密切联系群众、服务群众情况，办理人大代表建议、政协提案情况，妥善处理群众来信来访、化解社会矛盾情况，加强政风行风建设、解决损害群众利益情况。</w:t>
      </w:r>
    </w:p>
    <w:p>
      <w:pPr>
        <w:shd w:val="clear" w:color="auto" w:fill="FFFFFF"/>
        <w:wordWrap w:val="0"/>
        <w:spacing w:line="600" w:lineRule="exact"/>
        <w:ind w:firstLine="600" w:firstLineChars="200"/>
        <w:rPr>
          <w:rFonts w:ascii="黑体" w:hAnsi="黑体" w:eastAsia="黑体" w:cs="黑体"/>
          <w:bCs/>
          <w:color w:val="333333"/>
          <w:sz w:val="30"/>
          <w:szCs w:val="30"/>
        </w:rPr>
      </w:pPr>
      <w:r>
        <w:rPr>
          <w:rFonts w:hint="eastAsia" w:ascii="黑体" w:hAnsi="黑体" w:eastAsia="黑体" w:cs="黑体"/>
          <w:bCs/>
          <w:color w:val="333333"/>
          <w:sz w:val="30"/>
          <w:szCs w:val="30"/>
        </w:rPr>
        <w:t>七、存在的问题及原因分析</w:t>
      </w:r>
    </w:p>
    <w:p>
      <w:pPr>
        <w:shd w:val="clear" w:color="auto" w:fill="FFFFFF"/>
        <w:wordWrap w:val="0"/>
        <w:spacing w:line="600" w:lineRule="exact"/>
        <w:ind w:firstLine="602" w:firstLineChars="200"/>
        <w:rPr>
          <w:rFonts w:ascii="仿宋" w:hAnsi="仿宋" w:eastAsia="仿宋" w:cs="仿宋"/>
          <w:color w:val="333333"/>
          <w:sz w:val="30"/>
          <w:szCs w:val="30"/>
        </w:rPr>
      </w:pPr>
      <w:r>
        <w:rPr>
          <w:rFonts w:hint="eastAsia" w:ascii="仿宋" w:hAnsi="仿宋" w:eastAsia="仿宋" w:cs="仿宋"/>
          <w:b/>
          <w:bCs/>
          <w:color w:val="333333"/>
          <w:sz w:val="30"/>
          <w:szCs w:val="30"/>
        </w:rPr>
        <w:t>（一）预算编制工作有待细化。</w:t>
      </w:r>
      <w:r>
        <w:rPr>
          <w:rFonts w:hint="eastAsia" w:ascii="仿宋" w:hAnsi="仿宋" w:eastAsia="仿宋" w:cs="仿宋"/>
          <w:color w:val="333333"/>
          <w:sz w:val="30"/>
          <w:szCs w:val="30"/>
        </w:rPr>
        <w:t>预算编制不够精确和细化，预算编制的合理性需要提高，预算执行力度还需进一步加强。</w:t>
      </w:r>
    </w:p>
    <w:p>
      <w:pPr>
        <w:shd w:val="clear" w:color="auto" w:fill="FFFFFF"/>
        <w:wordWrap w:val="0"/>
        <w:spacing w:line="600" w:lineRule="exact"/>
        <w:ind w:firstLine="602" w:firstLineChars="200"/>
        <w:rPr>
          <w:rFonts w:ascii="仿宋" w:hAnsi="仿宋" w:eastAsia="仿宋" w:cs="仿宋"/>
          <w:color w:val="333333"/>
          <w:sz w:val="30"/>
          <w:szCs w:val="30"/>
        </w:rPr>
      </w:pPr>
      <w:r>
        <w:rPr>
          <w:rFonts w:hint="eastAsia" w:ascii="仿宋" w:hAnsi="仿宋" w:eastAsia="仿宋" w:cs="仿宋"/>
          <w:b/>
          <w:bCs/>
          <w:color w:val="333333"/>
          <w:sz w:val="30"/>
          <w:szCs w:val="30"/>
        </w:rPr>
        <w:t>（二）资产管理有待加强。</w:t>
      </w:r>
      <w:r>
        <w:rPr>
          <w:rFonts w:hint="eastAsia" w:ascii="仿宋" w:hAnsi="仿宋" w:eastAsia="仿宋" w:cs="仿宋"/>
          <w:color w:val="333333"/>
          <w:sz w:val="30"/>
          <w:szCs w:val="30"/>
        </w:rPr>
        <w:t>政府办后勤管理制度中专门明确了资产管理制度，但由于多方面的原因，资产入账、报废未能及时处理，资产领用登记台账不健全。</w:t>
      </w:r>
    </w:p>
    <w:p>
      <w:pPr>
        <w:shd w:val="clear" w:color="auto" w:fill="FFFFFF"/>
        <w:wordWrap w:val="0"/>
        <w:spacing w:line="600" w:lineRule="exact"/>
        <w:ind w:firstLine="600" w:firstLineChars="200"/>
        <w:rPr>
          <w:rFonts w:ascii="黑体" w:hAnsi="黑体" w:eastAsia="黑体" w:cs="黑体"/>
          <w:bCs/>
          <w:color w:val="333333"/>
          <w:sz w:val="30"/>
          <w:szCs w:val="30"/>
        </w:rPr>
      </w:pPr>
      <w:r>
        <w:rPr>
          <w:rFonts w:hint="eastAsia" w:ascii="黑体" w:hAnsi="黑体" w:eastAsia="黑体" w:cs="黑体"/>
          <w:bCs/>
          <w:color w:val="333333"/>
          <w:sz w:val="30"/>
          <w:szCs w:val="30"/>
        </w:rPr>
        <w:t>八、进一步改进措施</w:t>
      </w:r>
    </w:p>
    <w:p>
      <w:pPr>
        <w:shd w:val="clear" w:color="auto" w:fill="FFFFFF"/>
        <w:wordWrap w:val="0"/>
        <w:spacing w:line="600"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（一）细化预算编制工作，进一步加强内设机构的预算管理意识，严格按照预算编制的相关制度和要求进行预算编制。</w:t>
      </w:r>
    </w:p>
    <w:p>
      <w:pPr>
        <w:shd w:val="clear" w:color="auto" w:fill="FFFFFF"/>
        <w:wordWrap w:val="0"/>
        <w:spacing w:line="600"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二）加强财务管理，严格财务审核。加强单位财务管理，健全单位财务管理制度体系，规范单位财务行为。在费用报账支付时，按照预算规定的费用项目和用途进行资金使用审核、财务严格核算，杜绝超支现象的发生。</w:t>
      </w:r>
    </w:p>
    <w:p>
      <w:pPr>
        <w:shd w:val="clear" w:color="auto" w:fill="FFFFFF"/>
        <w:wordWrap w:val="0"/>
        <w:spacing w:line="600"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（三）合理安排会计岗位，增加业务知识培训，加强决算工作与账务处理工作衔接。</w:t>
      </w:r>
    </w:p>
    <w:p>
      <w:pPr>
        <w:shd w:val="clear" w:color="auto" w:fill="FFFFFF"/>
        <w:wordWrap w:val="0"/>
        <w:spacing w:line="600" w:lineRule="exact"/>
        <w:ind w:firstLine="600" w:firstLineChars="200"/>
        <w:rPr>
          <w:rFonts w:ascii="黑体" w:hAnsi="黑体" w:eastAsia="黑体" w:cs="黑体"/>
          <w:bCs/>
          <w:color w:val="333333"/>
          <w:sz w:val="30"/>
          <w:szCs w:val="30"/>
        </w:rPr>
      </w:pPr>
      <w:r>
        <w:rPr>
          <w:rFonts w:hint="eastAsia" w:ascii="黑体" w:hAnsi="黑体" w:eastAsia="黑体" w:cs="黑体"/>
          <w:bCs/>
          <w:color w:val="333333"/>
          <w:sz w:val="30"/>
          <w:szCs w:val="30"/>
        </w:rPr>
        <w:t>九、其他需要说明的问题</w:t>
      </w:r>
    </w:p>
    <w:p>
      <w:pPr>
        <w:shd w:val="clear" w:color="auto" w:fill="FFFFFF"/>
        <w:wordWrap w:val="0"/>
        <w:spacing w:line="600"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无其他需要说明的问题</w:t>
      </w:r>
    </w:p>
    <w:p>
      <w:pPr>
        <w:shd w:val="clear" w:color="auto" w:fill="FFFFFF"/>
        <w:wordWrap w:val="0"/>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sz w:val="30"/>
          <w:szCs w:val="30"/>
        </w:rPr>
        <w:t xml:space="preserve"> 附件：2021年度部门整体支出绩效自评指标计分表</w:t>
      </w:r>
    </w:p>
    <w:p>
      <w:pPr>
        <w:shd w:val="clear" w:color="auto" w:fill="FFFFFF"/>
        <w:wordWrap w:val="0"/>
        <w:spacing w:line="600" w:lineRule="exact"/>
        <w:ind w:firstLine="600" w:firstLineChars="200"/>
        <w:jc w:val="center"/>
        <w:rPr>
          <w:rFonts w:ascii="仿宋" w:hAnsi="仿宋" w:eastAsia="仿宋" w:cs="仿宋"/>
          <w:color w:val="333333"/>
          <w:sz w:val="30"/>
          <w:szCs w:val="30"/>
        </w:rPr>
      </w:pPr>
    </w:p>
    <w:p>
      <w:pPr>
        <w:shd w:val="clear" w:color="auto" w:fill="FFFFFF"/>
        <w:wordWrap w:val="0"/>
        <w:spacing w:line="600" w:lineRule="exact"/>
        <w:ind w:firstLine="600" w:firstLineChars="200"/>
        <w:jc w:val="center"/>
        <w:rPr>
          <w:rFonts w:ascii="仿宋" w:hAnsi="仿宋" w:eastAsia="仿宋" w:cs="仿宋"/>
          <w:color w:val="333333"/>
          <w:sz w:val="30"/>
          <w:szCs w:val="30"/>
        </w:rPr>
      </w:pPr>
    </w:p>
    <w:p>
      <w:pPr>
        <w:shd w:val="clear" w:color="auto" w:fill="FFFFFF"/>
        <w:wordWrap w:val="0"/>
        <w:spacing w:line="600" w:lineRule="exact"/>
        <w:ind w:firstLine="600" w:firstLineChars="200"/>
        <w:jc w:val="center"/>
        <w:rPr>
          <w:rFonts w:ascii="仿宋" w:hAnsi="仿宋" w:eastAsia="仿宋" w:cs="仿宋"/>
          <w:color w:val="333333"/>
          <w:sz w:val="30"/>
          <w:szCs w:val="30"/>
        </w:rPr>
      </w:pPr>
    </w:p>
    <w:p>
      <w:pPr>
        <w:shd w:val="clear" w:color="auto" w:fill="FFFFFF"/>
        <w:wordWrap w:val="0"/>
        <w:spacing w:line="600" w:lineRule="exact"/>
        <w:ind w:firstLine="600" w:firstLineChars="200"/>
        <w:jc w:val="center"/>
        <w:rPr>
          <w:rFonts w:ascii="仿宋" w:hAnsi="仿宋" w:eastAsia="仿宋" w:cs="仿宋"/>
          <w:color w:val="333333"/>
          <w:sz w:val="30"/>
          <w:szCs w:val="30"/>
        </w:rPr>
      </w:pPr>
    </w:p>
    <w:p>
      <w:pPr>
        <w:shd w:val="clear" w:color="auto" w:fill="FFFFFF"/>
        <w:wordWrap w:val="0"/>
        <w:spacing w:line="600" w:lineRule="exact"/>
        <w:ind w:firstLine="600" w:firstLineChars="200"/>
        <w:jc w:val="center"/>
        <w:rPr>
          <w:rFonts w:ascii="仿宋" w:hAnsi="仿宋" w:eastAsia="仿宋" w:cs="仿宋"/>
          <w:color w:val="333333"/>
          <w:sz w:val="30"/>
          <w:szCs w:val="30"/>
        </w:rPr>
      </w:pPr>
    </w:p>
    <w:p>
      <w:pPr>
        <w:shd w:val="clear" w:color="auto" w:fill="FFFFFF"/>
        <w:wordWrap w:val="0"/>
        <w:spacing w:line="600" w:lineRule="exact"/>
        <w:ind w:firstLine="600" w:firstLineChars="200"/>
        <w:jc w:val="center"/>
        <w:rPr>
          <w:rFonts w:ascii="仿宋" w:hAnsi="仿宋" w:eastAsia="仿宋" w:cs="仿宋"/>
          <w:color w:val="333333"/>
          <w:sz w:val="30"/>
          <w:szCs w:val="30"/>
        </w:rPr>
      </w:pPr>
    </w:p>
    <w:p>
      <w:pPr>
        <w:shd w:val="clear" w:color="auto" w:fill="FFFFFF"/>
        <w:wordWrap w:val="0"/>
        <w:spacing w:line="600" w:lineRule="exact"/>
        <w:ind w:firstLine="600" w:firstLineChars="200"/>
        <w:jc w:val="center"/>
        <w:rPr>
          <w:rFonts w:ascii="仿宋" w:hAnsi="仿宋" w:eastAsia="仿宋" w:cs="仿宋"/>
          <w:color w:val="333333"/>
          <w:sz w:val="30"/>
          <w:szCs w:val="30"/>
        </w:rPr>
      </w:pPr>
    </w:p>
    <w:p>
      <w:pPr>
        <w:shd w:val="clear" w:color="auto" w:fill="FFFFFF"/>
        <w:wordWrap w:val="0"/>
        <w:spacing w:line="600" w:lineRule="exact"/>
        <w:ind w:firstLine="600" w:firstLineChars="200"/>
        <w:jc w:val="center"/>
        <w:rPr>
          <w:rFonts w:ascii="仿宋" w:hAnsi="仿宋" w:eastAsia="仿宋" w:cs="仿宋"/>
          <w:color w:val="333333"/>
          <w:sz w:val="30"/>
          <w:szCs w:val="30"/>
        </w:rPr>
      </w:pPr>
    </w:p>
    <w:p>
      <w:pPr>
        <w:shd w:val="clear" w:color="auto" w:fill="FFFFFF"/>
        <w:wordWrap w:val="0"/>
        <w:spacing w:line="600" w:lineRule="exact"/>
        <w:jc w:val="both"/>
        <w:rPr>
          <w:rFonts w:ascii="仿宋" w:hAnsi="仿宋" w:eastAsia="仿宋" w:cs="仿宋"/>
          <w:color w:val="333333"/>
          <w:sz w:val="30"/>
          <w:szCs w:val="30"/>
        </w:rPr>
      </w:pPr>
    </w:p>
    <w:p>
      <w:pPr>
        <w:shd w:val="clear" w:color="auto" w:fill="FFFFFF"/>
        <w:wordWrap w:val="0"/>
        <w:spacing w:line="600" w:lineRule="exact"/>
        <w:ind w:firstLine="600" w:firstLineChars="200"/>
        <w:jc w:val="center"/>
        <w:rPr>
          <w:rFonts w:ascii="黑体" w:hAnsi="黑体" w:eastAsia="黑体" w:cs="黑体"/>
          <w:color w:val="333333"/>
          <w:sz w:val="30"/>
          <w:szCs w:val="30"/>
        </w:rPr>
      </w:pPr>
      <w:r>
        <w:rPr>
          <w:rFonts w:hint="eastAsia" w:ascii="黑体" w:hAnsi="黑体" w:eastAsia="黑体" w:cs="黑体"/>
          <w:color w:val="333333"/>
          <w:sz w:val="30"/>
          <w:szCs w:val="30"/>
        </w:rPr>
        <w:t>2021年度部门整体支出绩效自评指标计分表</w:t>
      </w:r>
    </w:p>
    <w:p>
      <w:pPr>
        <w:shd w:val="clear" w:color="auto" w:fill="FFFFFF"/>
        <w:wordWrap w:val="0"/>
        <w:spacing w:line="600" w:lineRule="exact"/>
        <w:ind w:firstLine="480" w:firstLineChars="200"/>
        <w:jc w:val="left"/>
        <w:rPr>
          <w:rFonts w:ascii="仿宋" w:hAnsi="仿宋" w:eastAsia="仿宋" w:cs="仿宋"/>
          <w:color w:val="333333"/>
          <w:sz w:val="24"/>
          <w:szCs w:val="24"/>
        </w:rPr>
      </w:pPr>
      <w:r>
        <w:rPr>
          <w:rFonts w:hint="eastAsia" w:ascii="仿宋" w:hAnsi="仿宋" w:eastAsia="仿宋" w:cs="仿宋"/>
          <w:color w:val="333333"/>
          <w:sz w:val="24"/>
          <w:szCs w:val="24"/>
        </w:rPr>
        <w:t>益阳市泉交河镇人民政府</w:t>
      </w:r>
    </w:p>
    <w:tbl>
      <w:tblPr>
        <w:tblStyle w:val="2"/>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570"/>
        <w:gridCol w:w="703"/>
        <w:gridCol w:w="530"/>
        <w:gridCol w:w="2892"/>
        <w:gridCol w:w="3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一级</w:t>
            </w:r>
            <w:r>
              <w:rPr>
                <w:rFonts w:ascii="微软雅黑" w:hAnsi="&quot;microsoft yahei&quot;" w:eastAsia="&quot;microsoft yahei&quot;"/>
                <w:color w:val="333333"/>
              </w:rPr>
              <w:br w:type="textWrapping"/>
            </w:r>
            <w:r>
              <w:rPr>
                <w:rFonts w:ascii="微软雅黑" w:hAnsi="&quot;microsoft yahei&quot;" w:eastAsia="&quot;microsoft yahei&quot;"/>
                <w:color w:val="333333"/>
              </w:rPr>
              <w:t>指标</w:t>
            </w:r>
          </w:p>
        </w:tc>
        <w:tc>
          <w:tcPr>
            <w:tcW w:w="57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二级指标</w:t>
            </w: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三级指标</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自评分</w:t>
            </w:r>
          </w:p>
        </w:tc>
        <w:tc>
          <w:tcPr>
            <w:tcW w:w="2892"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指标解释</w:t>
            </w:r>
          </w:p>
        </w:tc>
        <w:tc>
          <w:tcPr>
            <w:tcW w:w="3721"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restart"/>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投   入（20分）</w:t>
            </w:r>
          </w:p>
        </w:tc>
        <w:tc>
          <w:tcPr>
            <w:tcW w:w="570" w:type="dxa"/>
            <w:vMerge w:val="restart"/>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目标</w:t>
            </w:r>
            <w:r>
              <w:rPr>
                <w:rFonts w:ascii="微软雅黑" w:hAnsi="&quot;microsoft yahei&quot;" w:eastAsia="&quot;microsoft yahei&quot;"/>
                <w:color w:val="333333"/>
              </w:rPr>
              <w:br w:type="textWrapping"/>
            </w:r>
            <w:r>
              <w:rPr>
                <w:rFonts w:ascii="微软雅黑" w:hAnsi="&quot;microsoft yahei&quot;" w:eastAsia="&quot;microsoft yahei&quot;"/>
                <w:color w:val="333333"/>
              </w:rPr>
              <w:t>设定（5分）</w:t>
            </w: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绩效目标合理性（2分）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2</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部门所设立的整体绩效目标依据是否充分，是否符合客观实际，用以反映和考核部门整体绩效目标与部门履职、年度工作任务的相符性情况。</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①符合国家法律法规、国民经济和社会发展总体规划计1分；②符合部门“三定”方案确定的职责计0.5分；③是否符合部门制定的中长期实施规划计0.5分。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绩效指标明确性（3分）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3</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部门依据整体绩效目标所设定的绩效指标是否清晰、细化、可衡量，用以反映和考核部门整体绩效目标的明细化情况。</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restart"/>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预算</w:t>
            </w:r>
            <w:r>
              <w:rPr>
                <w:rFonts w:ascii="微软雅黑" w:hAnsi="&quot;microsoft yahei&quot;" w:eastAsia="&quot;microsoft yahei&quot;"/>
                <w:color w:val="333333"/>
              </w:rPr>
              <w:br w:type="textWrapping"/>
            </w:r>
            <w:r>
              <w:rPr>
                <w:rFonts w:ascii="微软雅黑" w:hAnsi="&quot;microsoft yahei&quot;" w:eastAsia="&quot;microsoft yahei&quot;"/>
                <w:color w:val="333333"/>
              </w:rPr>
              <w:t>配置（15分）</w:t>
            </w: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在职人员控制率（5分）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5</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部门本年度实际在职人员数与编制数的比率，用以反映和考核部门对人员成本的控制程度。</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“三公经费”</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变动率（5分）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5</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部门本年度“三公经费”预算数与上年度“三公经费”预算数的变动比率，用以反映和考核部门对控制重点行政成本的努力程度。</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重点支出安排率（5分）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5</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部门本年度预算安排的重点项目支出与部门项目总支出的比率，用以反映和考核部门对履行主要职责或完成重点任务的保障程度。</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restart"/>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过             程（30分）</w:t>
            </w:r>
          </w:p>
        </w:tc>
        <w:tc>
          <w:tcPr>
            <w:tcW w:w="570" w:type="dxa"/>
            <w:vMerge w:val="restart"/>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预算</w:t>
            </w:r>
            <w:r>
              <w:rPr>
                <w:rFonts w:ascii="微软雅黑" w:hAnsi="&quot;microsoft yahei&quot;" w:eastAsia="&quot;microsoft yahei&quot;"/>
                <w:color w:val="333333"/>
              </w:rPr>
              <w:br w:type="textWrapping"/>
            </w:r>
            <w:r>
              <w:rPr>
                <w:rFonts w:ascii="微软雅黑" w:hAnsi="&quot;microsoft yahei&quot;" w:eastAsia="&quot;microsoft yahei&quot;"/>
                <w:color w:val="333333"/>
              </w:rPr>
              <w:t>执行</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（20分）</w:t>
            </w: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预算完成率（4分）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4</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部门本年度预算完成数与预算数的比率，用以反映和考核部门预算完成程度。</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预算完成率=（预算完成数/预算数）×100%。完成年初预算计4分，未完成年初预算按比例扣减，预算完成数：部门本年度实际完成的预算数。预算数：财政部门批复的本年度部门预算数。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预算调整率（2分）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2</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部门本年度预算调整数与预算数的比率，用以反映和考核部门预算的调整程度。</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支付进度率（2分）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2</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部门实际支付进度与既定支付进度的比率，用以反映和考核部门预算执行的及时性和均衡性程度。</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结转结余控制率（4分）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3</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部门本年度结转结余总额与上年结转结余总额增减比例，用以反映和考核部门对存量资金的实际控制程度。</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公用经费</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控制率（2分）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2</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部门本年度实际支出的公用经费总额与预算安排的公用经费总额的比率，用以反映和考核部门对机构运转成本的实际控制程度。</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公用经费控制率=（实际支出公用经费总额/预算安排公用经费总额）×100%。为100%的计2分，每超过1个百分点扣0.1分，扣完为止。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“三公经费”控制率（2分）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2</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部门本年度“三公经费”实际支出数与预算安排数的比率，用以反映和考核部门对“三公经费”的实际控制程度。</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“三公经费”控制率=（“三公经费”实际支出数/“三公经费”预算安排数）×100%。为100%的计2分，每超过1个百分点扣0.5分，扣完为止。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政府采购</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执行率（4分）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3</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部门本年度实际政府采购金额与年初政府采购预算的比率，用以反映和考核部门政府采购预算执行情况。</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restart"/>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预算</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管理</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（5分）</w:t>
            </w: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管理制度</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健全性（2分）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1.5</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部门为加强预算管理、规范财务行为而制定的管理制度是否健全完整，用以反映和考核部门预算管理制度对完成主要职责或促进事业发展的保障情况。</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已制定或具有预算资金管理办法、内部财务管理制度、会计核算制度等管理制度计1分；相关管理制度合法、合规、完整计0.5分；相关管理制度得到有效执行计0.5分。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资金使用</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合规性（1分）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1</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部门使用预算资金是否符合相关的预算财务管理制度的规定，用以反映和考核部门预算资金的规范运行情况。</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预决算信</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息公开性（1分）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1</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部门是否按照政府信息公开有关规定公开相关预决算信息，用以反映和考核部门预决算管理的公开透明情况。</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①按规定内容公开预决算信息计0.5分；②按规定时限公开预决算信息计0.5分。预决算信息是指与部门预算、执行、决算、监督、绩效等管理相关的信息。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基础信息</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完善性（1分）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1</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部门基础信息是否完善，用以反映和考核基础信息对预算管理工作的支撑情况。</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①基础数据信息和会计信息资料真实计0.4分；②基础数据信息和会计信息资料完整计0.3分；③基础数据信息和会计信息资料准确计0.3分。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restart"/>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资产</w:t>
            </w:r>
            <w:r>
              <w:rPr>
                <w:rFonts w:ascii="微软雅黑" w:hAnsi="&quot;microsoft yahei&quot;" w:eastAsia="&quot;microsoft yahei&quot;"/>
                <w:color w:val="333333"/>
              </w:rPr>
              <w:br w:type="textWrapping"/>
            </w:r>
            <w:r>
              <w:rPr>
                <w:rFonts w:ascii="微软雅黑" w:hAnsi="&quot;microsoft yahei&quot;" w:eastAsia="&quot;microsoft yahei&quot;"/>
                <w:color w:val="333333"/>
              </w:rPr>
              <w:t>管理</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（5分）</w:t>
            </w: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管理制度</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健全性（2分）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2</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部门为加强资产管理、规范资产管理行为而制定的管理制度是否健全完整，用以反映和考核部门资产管理制度对完成主要职责或促进社会发展的保障情况。</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①制定或具有资产管理制度计1分；②相关资金管理制度合法、合规、完整计0.5分；③相关资产管理制度得到有效执行计0.5分。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资产管理</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安全性（2分）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2</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部门的资产是否保存完整、使用合规、配置合理、处置规范、收入及时足额上缴，用以反映和考核部门资产安全运行情况。</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①资产保存完整计0.4分；②资产配置合理计0.4分；③资产处置规范计0.4分；④资产账务管理合规、帐实相符计0.4分；⑤资产有偿使用及处置收入及时足额上缴计0.4分。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固定资产</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利用率（1分）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1</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部门实际在用固定资产总额与所有固定资产总额的比率，用以反映和考核部门固定资产使用效率程度。</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固定资产利用率=（实际在用固定资产总额/所有固定资产总额）×100%。利用率为100%的计1分，每降1个百分点扣0.1分，扣完为止。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restart"/>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产   出（30分）</w:t>
            </w:r>
          </w:p>
        </w:tc>
        <w:tc>
          <w:tcPr>
            <w:tcW w:w="570" w:type="dxa"/>
            <w:vMerge w:val="restart"/>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职责</w:t>
            </w:r>
            <w:r>
              <w:rPr>
                <w:rFonts w:ascii="微软雅黑" w:hAnsi="&quot;microsoft yahei&quot;" w:eastAsia="&quot;microsoft yahei&quot;"/>
                <w:color w:val="333333"/>
              </w:rPr>
              <w:br w:type="textWrapping"/>
            </w:r>
            <w:r>
              <w:rPr>
                <w:rFonts w:ascii="微软雅黑" w:hAnsi="&quot;microsoft yahei&quot;" w:eastAsia="&quot;microsoft yahei&quot;"/>
                <w:color w:val="333333"/>
              </w:rPr>
              <w:t>履行</w:t>
            </w: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实际完成率（8分）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7</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部门履行职责而实际完成工作数与计划工作数的比率，用以反映和考核部门履职工作任务目标的实现程度。</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实际完成率得分=完成市委市政府绩效考核得分或上级主管部门考核指标得分/指标分值*8分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完成及时率（4分）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3</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部门在规定时限内及时完成的实际工作数与计划工作数的比率,用以反映和考核部门履职时效目标的实现程度。</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完成及时率=（及时完成实际工作数/计划工作数）×100%。1-4季度各得1分</w:t>
            </w:r>
            <w:r>
              <w:rPr>
                <w:rFonts w:ascii="微软雅黑" w:hAnsi="&quot;microsoft yahei&quot;" w:eastAsia="&quot;microsoft yahei&quot;"/>
                <w:color w:val="333333"/>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质量达标率（8分）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7</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达到质量标准（绩效标准值）的实际工作数与计划工作数的比率,用以反映和考核部门履职质量目标的实现程度。</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质量达标率=（质量达标实际工作数/计划工作数）×100%。实际得分=达标率*8分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重点工作</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办结率（10分）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hint="eastAsia" w:ascii="微软雅黑" w:hAnsi="&quot;microsoft yahei&quot;" w:eastAsia="&quot;microsoft yahei&quot;"/>
                <w:color w:val="333333"/>
              </w:rPr>
              <w:t>9</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部门年度重点工作实际完成数与交办或下达数的比率，用以反映部门对重点工作的办理落实程度。</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重点工作办结率=（重点工作实际完成数/交办或下达数）×100%。实际得分=办结率*10分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restart"/>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效   果（20分）</w:t>
            </w:r>
          </w:p>
        </w:tc>
        <w:tc>
          <w:tcPr>
            <w:tcW w:w="570" w:type="dxa"/>
            <w:vMerge w:val="restart"/>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履职</w:t>
            </w:r>
            <w:r>
              <w:rPr>
                <w:rFonts w:ascii="微软雅黑" w:hAnsi="&quot;microsoft yahei&quot;" w:eastAsia="&quot;microsoft yahei&quot;"/>
                <w:color w:val="333333"/>
              </w:rPr>
              <w:br w:type="textWrapping"/>
            </w:r>
            <w:r>
              <w:rPr>
                <w:rFonts w:ascii="微软雅黑" w:hAnsi="&quot;microsoft yahei&quot;" w:eastAsia="&quot;microsoft yahei&quot;"/>
                <w:color w:val="333333"/>
              </w:rPr>
              <w:t>效益（20分）</w:t>
            </w: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经济效益（5分）</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4</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部门履行职责对经济发展所带来的直接或间接影响。</w:t>
            </w:r>
          </w:p>
        </w:tc>
        <w:tc>
          <w:tcPr>
            <w:tcW w:w="3721" w:type="dxa"/>
            <w:vMerge w:val="restart"/>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按经济效益实现程度计算得分（5分）；按社会效益实现程度计算得分（5分）；按生态效益实现程度计算得分（5分）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社会效益（5分）</w:t>
            </w:r>
          </w:p>
        </w:tc>
        <w:tc>
          <w:tcPr>
            <w:tcW w:w="530" w:type="dxa"/>
            <w:tcBorders>
              <w:tl2br w:val="nil"/>
              <w:tr2bl w:val="nil"/>
            </w:tcBorders>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5</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部门履行职责对社会发展所带来的直接或间接影响。</w:t>
            </w:r>
          </w:p>
        </w:tc>
        <w:tc>
          <w:tcPr>
            <w:tcW w:w="3721"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生态效益（5分）</w:t>
            </w:r>
          </w:p>
        </w:tc>
        <w:tc>
          <w:tcPr>
            <w:tcW w:w="530" w:type="dxa"/>
            <w:tcBorders>
              <w:tl2br w:val="nil"/>
              <w:tr2bl w:val="nil"/>
            </w:tcBorders>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5</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部门履行职责对生态环境所带来的直接或间接影响。</w:t>
            </w:r>
          </w:p>
        </w:tc>
        <w:tc>
          <w:tcPr>
            <w:tcW w:w="3721"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547" w:type="dxa"/>
            <w:vMerge w:val="continue"/>
            <w:tcBorders>
              <w:tl2br w:val="nil"/>
              <w:tr2bl w:val="nil"/>
            </w:tcBorders>
            <w:vAlign w:val="center"/>
          </w:tcPr>
          <w:p/>
        </w:tc>
        <w:tc>
          <w:tcPr>
            <w:tcW w:w="570" w:type="dxa"/>
            <w:vMerge w:val="continue"/>
            <w:tcBorders>
              <w:tl2br w:val="nil"/>
              <w:tr2bl w:val="nil"/>
            </w:tcBorders>
            <w:vAlign w:val="center"/>
          </w:tcPr>
          <w:p/>
        </w:tc>
        <w:tc>
          <w:tcPr>
            <w:tcW w:w="703"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社会公众</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或服务对</w:t>
            </w:r>
          </w:p>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象满意</w:t>
            </w: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5</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社会公众或部门的服务对象对部门履职效果的满意程度。</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按收集到的服务对象的满意率计算得分（5分）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47" w:type="dxa"/>
            <w:tcBorders>
              <w:tl2br w:val="nil"/>
              <w:tr2bl w:val="nil"/>
            </w:tcBorders>
            <w:vAlign w:val="center"/>
          </w:tcPr>
          <w:p>
            <w:pPr>
              <w:wordWrap w:val="0"/>
              <w:spacing w:line="240" w:lineRule="atLeast"/>
              <w:ind w:left="113"/>
              <w:jc w:val="center"/>
              <w:rPr>
                <w:rFonts w:ascii="微软雅黑" w:hAnsi="&quot;microsoft yahei&quot;" w:eastAsia="&quot;microsoft yahei&quot;"/>
                <w:color w:val="333333"/>
              </w:rPr>
            </w:pPr>
            <w:r>
              <w:rPr>
                <w:rFonts w:hint="eastAsia" w:ascii="微软雅黑" w:hAnsi="&quot;microsoft yahei&quot;" w:eastAsia="&quot;microsoft yahei&quot;"/>
                <w:color w:val="333333"/>
              </w:rPr>
              <w:t>总分</w:t>
            </w:r>
          </w:p>
        </w:tc>
        <w:tc>
          <w:tcPr>
            <w:tcW w:w="570" w:type="dxa"/>
            <w:tcBorders>
              <w:tl2br w:val="nil"/>
              <w:tr2bl w:val="nil"/>
            </w:tcBorders>
            <w:vAlign w:val="center"/>
          </w:tcPr>
          <w:p>
            <w:pPr>
              <w:wordWrap w:val="0"/>
              <w:spacing w:line="240" w:lineRule="atLeast"/>
              <w:jc w:val="center"/>
              <w:rPr>
                <w:rFonts w:ascii="微软雅黑" w:hAnsi="&quot;microsoft yahei&quot;" w:eastAsia="&quot;microsoft yahei&quot;"/>
                <w:color w:val="333333"/>
              </w:rPr>
            </w:pPr>
            <w:r>
              <w:rPr>
                <w:rFonts w:hint="eastAsia" w:ascii="微软雅黑" w:hAnsi="&quot;microsoft yahei&quot;" w:eastAsia="&quot;microsoft yahei&quot;"/>
                <w:color w:val="333333"/>
              </w:rPr>
              <w:t>100</w:t>
            </w:r>
            <w:r>
              <w:rPr>
                <w:rFonts w:ascii="微软雅黑" w:hAnsi="&quot;microsoft yahei&quot;" w:eastAsia="&quot;microsoft yahei&quot;"/>
                <w:color w:val="333333"/>
              </w:rPr>
              <w:t xml:space="preserve"> </w:t>
            </w:r>
          </w:p>
        </w:tc>
        <w:tc>
          <w:tcPr>
            <w:tcW w:w="703"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p>
        </w:tc>
        <w:tc>
          <w:tcPr>
            <w:tcW w:w="530" w:type="dxa"/>
            <w:tcBorders>
              <w:tl2br w:val="nil"/>
              <w:tr2bl w:val="nil"/>
            </w:tcBorders>
            <w:tcMar>
              <w:left w:w="10" w:type="dxa"/>
              <w:right w:w="10" w:type="dxa"/>
            </w:tcMar>
            <w:vAlign w:val="center"/>
          </w:tcPr>
          <w:p>
            <w:pPr>
              <w:wordWrap w:val="0"/>
              <w:spacing w:line="240" w:lineRule="atLeast"/>
              <w:jc w:val="center"/>
              <w:rPr>
                <w:rFonts w:ascii="微软雅黑" w:hAnsi="&quot;microsoft yahei&quot;" w:eastAsia="&quot;microsoft yahei&quot;"/>
                <w:color w:val="333333"/>
              </w:rPr>
            </w:pPr>
            <w:r>
              <w:rPr>
                <w:rFonts w:ascii="微软雅黑" w:hAnsi="&quot;microsoft yahei&quot;" w:eastAsia="&quot;microsoft yahei&quot;"/>
                <w:color w:val="333333"/>
              </w:rPr>
              <w:t>9</w:t>
            </w:r>
            <w:r>
              <w:rPr>
                <w:rFonts w:hint="eastAsia" w:ascii="微软雅黑" w:hAnsi="&quot;microsoft yahei&quot;" w:eastAsia="&quot;microsoft yahei&quot;"/>
                <w:color w:val="333333"/>
              </w:rPr>
              <w:t>2</w:t>
            </w:r>
            <w:r>
              <w:rPr>
                <w:rFonts w:ascii="微软雅黑" w:hAnsi="&quot;microsoft yahei&quot;" w:eastAsia="&quot;microsoft yahei&quot;"/>
                <w:color w:val="333333"/>
              </w:rPr>
              <w:t>.5</w:t>
            </w:r>
          </w:p>
        </w:tc>
        <w:tc>
          <w:tcPr>
            <w:tcW w:w="2892"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r>
              <w:rPr>
                <w:rFonts w:ascii="微软雅黑" w:hAnsi="&quot;microsoft yahei&quot;" w:eastAsia="&quot;microsoft yahei&quot;"/>
                <w:color w:val="333333"/>
              </w:rPr>
              <w:t xml:space="preserve"> </w:t>
            </w:r>
          </w:p>
        </w:tc>
        <w:tc>
          <w:tcPr>
            <w:tcW w:w="3721" w:type="dxa"/>
            <w:tcBorders>
              <w:tl2br w:val="nil"/>
              <w:tr2bl w:val="nil"/>
            </w:tcBorders>
            <w:tcMar>
              <w:left w:w="10" w:type="dxa"/>
              <w:right w:w="10" w:type="dxa"/>
            </w:tcMar>
            <w:vAlign w:val="center"/>
          </w:tcPr>
          <w:p>
            <w:pPr>
              <w:wordWrap w:val="0"/>
              <w:spacing w:line="240" w:lineRule="atLeast"/>
              <w:jc w:val="left"/>
              <w:rPr>
                <w:rFonts w:ascii="微软雅黑" w:hAnsi="&quot;microsoft yahei&quot;" w:eastAsia="&quot;microsoft yahei&quot;"/>
                <w:color w:val="333333"/>
              </w:rPr>
            </w:pPr>
          </w:p>
        </w:tc>
      </w:tr>
    </w:tbl>
    <w:p>
      <w:pPr>
        <w:shd w:val="clear" w:color="auto" w:fill="FFFFFF"/>
        <w:wordWrap w:val="0"/>
        <w:spacing w:line="480" w:lineRule="atLeast"/>
        <w:jc w:val="left"/>
        <w:rPr>
          <w:rFonts w:ascii="黑体" w:hAnsi="黑体" w:eastAsia="黑体"/>
          <w:color w:val="333333"/>
          <w:sz w:val="32"/>
          <w:szCs w:val="32"/>
        </w:rPr>
      </w:pPr>
    </w:p>
    <w:p>
      <w:pPr>
        <w:ind w:firstLine="640" w:firstLineChars="200"/>
        <w:jc w:val="left"/>
        <w:rPr>
          <w:rFonts w:cs="黑体" w:asciiTheme="minorEastAsia" w:hAnsiTheme="minorEastAsia"/>
          <w:color w:val="000000"/>
          <w:kern w:val="0"/>
          <w:sz w:val="32"/>
          <w:szCs w:val="32"/>
        </w:rPr>
      </w:pPr>
    </w:p>
    <w:p/>
    <w:sectPr>
      <w:pgSz w:w="11906" w:h="16838"/>
      <w:pgMar w:top="1134" w:right="1531" w:bottom="113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quot;microsoft yahei&quot;">
    <w:altName w:val="Microsoft Sans Serif"/>
    <w:panose1 w:val="00000000000000000000"/>
    <w:charset w:val="00"/>
    <w:family w:val="auto"/>
    <w:pitch w:val="default"/>
    <w:sig w:usb0="00000000" w:usb1="00000000" w:usb2="00000000" w:usb3="00000000" w:csb0="FFFFFFFF" w:csb1="00000000"/>
  </w:font>
  <w:font w:name="Microsoft Sans Serif">
    <w:panose1 w:val="020B0604020202020204"/>
    <w:charset w:val="00"/>
    <w:family w:val="auto"/>
    <w:pitch w:val="default"/>
    <w:sig w:usb0="E5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0C970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2023-06-26T04:09:23Z</dcterms:created>
  <dc:creator>admin-3</dc:creator>
  <cp:lastModifiedBy>admin-3</cp:lastModifiedBy>
  <dcterms:modified xsi:type="dcterms:W3CDTF">2023-06-26T04:09:41Z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72157F0080344157B004523424117746_12</vt:lpwstr>
  </property>
</Properties>
</file>