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sz w:val="36"/>
          <w:szCs w:val="36"/>
        </w:rPr>
      </w:pPr>
    </w:p>
    <w:p>
      <w:pPr>
        <w:spacing w:line="600" w:lineRule="exact"/>
        <w:jc w:val="center"/>
        <w:rPr>
          <w:rFonts w:hint="eastAsia" w:ascii="黑体" w:hAnsi="黑体" w:eastAsia="黑体" w:cs="黑体"/>
          <w:sz w:val="36"/>
          <w:szCs w:val="36"/>
        </w:rPr>
      </w:pPr>
      <w:bookmarkStart w:id="0" w:name="_GoBack"/>
      <w:bookmarkEnd w:id="0"/>
      <w:r>
        <w:rPr>
          <w:rFonts w:hint="eastAsia" w:ascii="黑体" w:hAnsi="黑体" w:eastAsia="黑体" w:cs="黑体"/>
          <w:sz w:val="36"/>
          <w:szCs w:val="36"/>
        </w:rPr>
        <w:t>益阳市赫山区衡龙桥镇2021年度污水管网</w:t>
      </w:r>
    </w:p>
    <w:p>
      <w:pPr>
        <w:spacing w:line="600" w:lineRule="exact"/>
        <w:jc w:val="center"/>
        <w:rPr>
          <w:rFonts w:ascii="黑体" w:hAnsi="黑体" w:eastAsia="黑体" w:cs="黑体"/>
          <w:sz w:val="36"/>
          <w:szCs w:val="36"/>
        </w:rPr>
      </w:pPr>
      <w:r>
        <w:rPr>
          <w:rFonts w:hint="eastAsia" w:ascii="黑体" w:hAnsi="黑体" w:eastAsia="黑体" w:cs="黑体"/>
          <w:sz w:val="36"/>
          <w:szCs w:val="36"/>
        </w:rPr>
        <w:t>项目支出绩效评价报告</w:t>
      </w:r>
    </w:p>
    <w:p>
      <w:pPr>
        <w:spacing w:line="600" w:lineRule="exact"/>
        <w:ind w:firstLine="600" w:firstLineChars="200"/>
        <w:jc w:val="center"/>
        <w:rPr>
          <w:rFonts w:ascii="仿宋" w:hAnsi="仿宋" w:eastAsia="仿宋" w:cs="仿宋"/>
          <w:sz w:val="30"/>
          <w:szCs w:val="30"/>
        </w:rPr>
      </w:pPr>
    </w:p>
    <w:p>
      <w:pPr>
        <w:pStyle w:val="6"/>
        <w:spacing w:line="600" w:lineRule="exact"/>
        <w:ind w:firstLine="600"/>
        <w:rPr>
          <w:rFonts w:ascii="黑体" w:hAnsi="黑体" w:eastAsia="黑体" w:cs="黑体"/>
          <w:sz w:val="30"/>
          <w:szCs w:val="30"/>
        </w:rPr>
      </w:pPr>
      <w:r>
        <w:rPr>
          <w:rFonts w:hint="eastAsia" w:ascii="黑体" w:hAnsi="黑体" w:eastAsia="黑体" w:cs="黑体"/>
          <w:sz w:val="30"/>
          <w:szCs w:val="30"/>
        </w:rPr>
        <w:t>一、预算支出基本情况</w:t>
      </w:r>
    </w:p>
    <w:p>
      <w:pPr>
        <w:pStyle w:val="3"/>
        <w:spacing w:line="600" w:lineRule="exact"/>
        <w:ind w:firstLine="602" w:firstLineChars="200"/>
        <w:rPr>
          <w:rFonts w:ascii="仿宋" w:hAnsi="仿宋" w:eastAsia="仿宋" w:cs="仿宋"/>
          <w:kern w:val="2"/>
          <w:sz w:val="30"/>
          <w:szCs w:val="30"/>
        </w:rPr>
      </w:pPr>
      <w:r>
        <w:rPr>
          <w:rFonts w:hint="eastAsia" w:ascii="仿宋" w:hAnsi="仿宋" w:eastAsia="仿宋" w:cs="仿宋"/>
          <w:b/>
          <w:sz w:val="30"/>
          <w:szCs w:val="30"/>
        </w:rPr>
        <w:t>（一）预算支出概况。</w:t>
      </w:r>
      <w:r>
        <w:rPr>
          <w:rFonts w:hint="eastAsia" w:ascii="仿宋" w:hAnsi="仿宋" w:eastAsia="仿宋" w:cs="仿宋"/>
          <w:kern w:val="2"/>
          <w:sz w:val="30"/>
          <w:szCs w:val="30"/>
        </w:rPr>
        <w:t>2021年衡龙桥镇雨污分流是将雨水和污水分离，各用一条管道输送，进行排放和后续处理的排水体质，因雨水中污染成分较少，直接排入河道，污水中含有较多的有机污染物和氨氮直接排放会破坏水体自净功能，造成水体恶化，出现黑臭现象，故需要通过污水管网进行收集后，输送至污水处理厂进行处理，水质达到标准后再排入河道，让雨污各行其道，实现雨污水彻底分流，防止污水对河道的污染，从源头消除城市黑臭水体，雨污分流是一项保护环境，造福子孙的民生工程，也是完善城市功能，构建生态文明城市的必能要求。</w:t>
      </w:r>
    </w:p>
    <w:p>
      <w:pPr>
        <w:pStyle w:val="3"/>
        <w:spacing w:line="600" w:lineRule="exact"/>
        <w:ind w:firstLine="602" w:firstLineChars="200"/>
        <w:rPr>
          <w:rFonts w:ascii="仿宋" w:hAnsi="仿宋" w:eastAsia="仿宋" w:cs="仿宋"/>
          <w:sz w:val="30"/>
          <w:szCs w:val="30"/>
        </w:rPr>
      </w:pPr>
      <w:r>
        <w:rPr>
          <w:rFonts w:hint="eastAsia" w:ascii="仿宋" w:hAnsi="仿宋" w:eastAsia="仿宋" w:cs="仿宋"/>
          <w:b/>
          <w:sz w:val="30"/>
          <w:szCs w:val="30"/>
        </w:rPr>
        <w:t>（二）预算资金使用管理情况。</w:t>
      </w:r>
      <w:r>
        <w:rPr>
          <w:rFonts w:hint="eastAsia" w:ascii="仿宋" w:hAnsi="仿宋" w:eastAsia="仿宋" w:cs="仿宋"/>
          <w:sz w:val="30"/>
          <w:szCs w:val="30"/>
        </w:rPr>
        <w:t>健全了项目资金财务管理制度，财务会计和出纳按岗位分设、印鉴分设管理，账务处理及时、会计核算规范，符合会计管理要求。资金执行按照组织部“三重一大”审批程序进行，申报款项手续完备。镇纪检、财政所对运行支出情况进行监管。资金支出内容符合项目预算批复或合同规定的用途，不存在截留、挤占、挪用、序列支出等情况。</w:t>
      </w:r>
    </w:p>
    <w:p>
      <w:pPr>
        <w:pStyle w:val="3"/>
        <w:spacing w:line="600" w:lineRule="exact"/>
        <w:ind w:firstLine="602" w:firstLineChars="200"/>
        <w:rPr>
          <w:rFonts w:ascii="仿宋" w:hAnsi="仿宋" w:eastAsia="仿宋" w:cs="仿宋"/>
          <w:sz w:val="30"/>
          <w:szCs w:val="30"/>
        </w:rPr>
      </w:pPr>
      <w:r>
        <w:rPr>
          <w:rFonts w:hint="eastAsia" w:ascii="仿宋" w:hAnsi="仿宋" w:eastAsia="仿宋" w:cs="仿宋"/>
          <w:b/>
          <w:sz w:val="30"/>
          <w:szCs w:val="30"/>
        </w:rPr>
        <w:t>（三）预算支出绩效目标完成程度</w:t>
      </w:r>
      <w:r>
        <w:rPr>
          <w:rFonts w:hint="eastAsia" w:ascii="仿宋" w:hAnsi="仿宋" w:eastAsia="仿宋" w:cs="仿宋"/>
          <w:sz w:val="30"/>
          <w:szCs w:val="30"/>
        </w:rPr>
        <w:t>。雨污分流效果良好，我镇雨污分流改造的总目标是提供一个长期的经济与社会发展的可持续环境，最终达到实现衡龙桥镇可持续发展战略的总体目标。到2021年底，我镇雨污分流项目已经完成85%。</w:t>
      </w:r>
    </w:p>
    <w:p>
      <w:pPr>
        <w:pStyle w:val="3"/>
        <w:spacing w:line="600" w:lineRule="exact"/>
        <w:ind w:firstLine="600" w:firstLineChars="200"/>
        <w:rPr>
          <w:rFonts w:ascii="黑体" w:hAnsi="黑体" w:eastAsia="黑体" w:cs="黑体"/>
          <w:kern w:val="2"/>
          <w:sz w:val="30"/>
          <w:szCs w:val="30"/>
        </w:rPr>
      </w:pPr>
      <w:r>
        <w:rPr>
          <w:rFonts w:hint="eastAsia" w:ascii="黑体" w:hAnsi="黑体" w:eastAsia="黑体" w:cs="黑体"/>
          <w:kern w:val="2"/>
          <w:sz w:val="30"/>
          <w:szCs w:val="30"/>
        </w:rPr>
        <w:t>二、绩效评价工作情况</w:t>
      </w:r>
    </w:p>
    <w:p>
      <w:pPr>
        <w:pStyle w:val="3"/>
        <w:spacing w:line="600" w:lineRule="exact"/>
        <w:ind w:firstLine="602" w:firstLineChars="200"/>
        <w:rPr>
          <w:rFonts w:ascii="仿宋" w:hAnsi="仿宋" w:eastAsia="仿宋" w:cs="仿宋"/>
          <w:b/>
          <w:bCs/>
          <w:kern w:val="2"/>
          <w:sz w:val="30"/>
          <w:szCs w:val="30"/>
        </w:rPr>
      </w:pPr>
      <w:r>
        <w:rPr>
          <w:rFonts w:hint="eastAsia" w:ascii="仿宋" w:hAnsi="仿宋" w:eastAsia="仿宋" w:cs="仿宋"/>
          <w:b/>
          <w:bCs/>
          <w:kern w:val="2"/>
          <w:sz w:val="30"/>
          <w:szCs w:val="30"/>
        </w:rPr>
        <w:t>（一）项目资金到位情况分析</w:t>
      </w:r>
    </w:p>
    <w:p>
      <w:pPr>
        <w:pStyle w:val="3"/>
        <w:spacing w:line="60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根据益阳市生态环境局关于</w:t>
      </w:r>
      <w:r>
        <w:rPr>
          <w:rFonts w:hint="eastAsia" w:ascii="宋体" w:hAnsi="宋体" w:eastAsia="宋体" w:cs="宋体"/>
          <w:kern w:val="2"/>
          <w:sz w:val="30"/>
          <w:szCs w:val="30"/>
        </w:rPr>
        <w:t>«</w:t>
      </w:r>
      <w:r>
        <w:rPr>
          <w:rFonts w:hint="eastAsia" w:ascii="仿宋" w:hAnsi="仿宋" w:eastAsia="仿宋" w:cs="仿宋"/>
          <w:kern w:val="2"/>
          <w:sz w:val="30"/>
          <w:szCs w:val="30"/>
        </w:rPr>
        <w:t>益阳市衡龙桥镇人民政府益阳市衡龙桥片区污水管网建设工程项目环境影响报告表</w:t>
      </w:r>
      <w:r>
        <w:rPr>
          <w:rFonts w:hint="eastAsia" w:ascii="宋体" w:hAnsi="宋体" w:eastAsia="宋体" w:cs="宋体"/>
          <w:kern w:val="2"/>
          <w:sz w:val="30"/>
          <w:szCs w:val="30"/>
        </w:rPr>
        <w:t>»</w:t>
      </w:r>
      <w:r>
        <w:rPr>
          <w:rFonts w:hint="eastAsia" w:ascii="仿宋" w:hAnsi="仿宋" w:eastAsia="仿宋" w:cs="仿宋"/>
          <w:kern w:val="2"/>
          <w:sz w:val="30"/>
          <w:szCs w:val="30"/>
        </w:rPr>
        <w:t>的批复。衡龙桥污水管网建设长度15793米，其中新建污水管网7773米，改建污水管网8020米，项目总投资5000万元。中央下达预算内投资2000万元，2021年实际到位资金2000万元。</w:t>
      </w:r>
    </w:p>
    <w:p>
      <w:pPr>
        <w:pStyle w:val="3"/>
        <w:spacing w:line="600" w:lineRule="exact"/>
        <w:ind w:firstLine="602" w:firstLineChars="200"/>
        <w:rPr>
          <w:rFonts w:ascii="仿宋" w:hAnsi="仿宋" w:eastAsia="仿宋" w:cs="仿宋"/>
          <w:b/>
          <w:bCs/>
          <w:kern w:val="2"/>
          <w:sz w:val="30"/>
          <w:szCs w:val="30"/>
        </w:rPr>
      </w:pPr>
      <w:r>
        <w:rPr>
          <w:rFonts w:hint="eastAsia" w:ascii="仿宋" w:hAnsi="仿宋" w:eastAsia="仿宋" w:cs="仿宋"/>
          <w:b/>
          <w:bCs/>
          <w:kern w:val="2"/>
          <w:sz w:val="30"/>
          <w:szCs w:val="30"/>
        </w:rPr>
        <w:t>（二）项目资金执行情况分析</w:t>
      </w:r>
    </w:p>
    <w:p>
      <w:pPr>
        <w:pStyle w:val="3"/>
        <w:spacing w:line="60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项目符合资金适用范围，严格按照政府采购规范流程以及相关规定合规合法使用。2021年项目资金已经按项目实施进度支出1600万元，达成预期指标。</w:t>
      </w:r>
    </w:p>
    <w:p>
      <w:pPr>
        <w:pStyle w:val="3"/>
        <w:spacing w:line="600" w:lineRule="exact"/>
        <w:ind w:firstLine="602" w:firstLineChars="200"/>
        <w:rPr>
          <w:rFonts w:ascii="仿宋" w:hAnsi="仿宋" w:eastAsia="仿宋" w:cs="仿宋"/>
          <w:b/>
          <w:bCs/>
          <w:kern w:val="2"/>
          <w:sz w:val="30"/>
          <w:szCs w:val="30"/>
        </w:rPr>
      </w:pPr>
      <w:r>
        <w:rPr>
          <w:rFonts w:hint="eastAsia" w:ascii="仿宋" w:hAnsi="仿宋" w:eastAsia="仿宋" w:cs="仿宋"/>
          <w:b/>
          <w:bCs/>
          <w:kern w:val="2"/>
          <w:sz w:val="30"/>
          <w:szCs w:val="30"/>
        </w:rPr>
        <w:t>（三）项目资金管理情况分析</w:t>
      </w:r>
    </w:p>
    <w:p>
      <w:pPr>
        <w:pStyle w:val="3"/>
        <w:spacing w:line="60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在资金使用上均符合相关规定，财政严格监管使用。全部或基本达成预期指标。</w:t>
      </w:r>
    </w:p>
    <w:p>
      <w:pPr>
        <w:pStyle w:val="3"/>
        <w:spacing w:line="600" w:lineRule="exact"/>
        <w:ind w:firstLine="600" w:firstLineChars="200"/>
        <w:rPr>
          <w:rFonts w:ascii="黑体" w:hAnsi="黑体" w:eastAsia="黑体" w:cs="黑体"/>
          <w:kern w:val="2"/>
          <w:sz w:val="30"/>
          <w:szCs w:val="30"/>
        </w:rPr>
      </w:pPr>
      <w:r>
        <w:rPr>
          <w:rFonts w:hint="eastAsia" w:ascii="黑体" w:hAnsi="黑体" w:eastAsia="黑体" w:cs="黑体"/>
          <w:kern w:val="2"/>
          <w:sz w:val="30"/>
          <w:szCs w:val="30"/>
        </w:rPr>
        <w:t>三、预算支出主要绩效及评价结论</w:t>
      </w:r>
    </w:p>
    <w:p>
      <w:pPr>
        <w:pStyle w:val="3"/>
        <w:spacing w:line="60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通过镇区雨污分流管网工程的实施，完成了衡泉路、319国道、文化站、工贸街及市场等镇区所有路段雨污改造工作，改善了区域内居民的生活环境，实现雨污分流，消除了内涝，使镇区排水更畅，水更清，消除环境矛盾，提高了整个区域的环境质量。</w:t>
      </w:r>
    </w:p>
    <w:p>
      <w:pPr>
        <w:pStyle w:val="3"/>
        <w:spacing w:line="600" w:lineRule="exact"/>
        <w:ind w:firstLine="600" w:firstLineChars="200"/>
        <w:rPr>
          <w:rFonts w:ascii="黑体" w:hAnsi="黑体" w:eastAsia="黑体" w:cs="黑体"/>
          <w:kern w:val="2"/>
          <w:sz w:val="30"/>
          <w:szCs w:val="30"/>
        </w:rPr>
      </w:pPr>
      <w:r>
        <w:rPr>
          <w:rFonts w:hint="eastAsia" w:ascii="黑体" w:hAnsi="黑体" w:eastAsia="黑体" w:cs="黑体"/>
          <w:kern w:val="2"/>
          <w:sz w:val="30"/>
          <w:szCs w:val="30"/>
        </w:rPr>
        <w:t>四、绩效指标完成情况分析</w:t>
      </w:r>
    </w:p>
    <w:p>
      <w:pPr>
        <w:pStyle w:val="3"/>
        <w:spacing w:line="600" w:lineRule="exact"/>
        <w:ind w:firstLine="602" w:firstLineChars="200"/>
        <w:rPr>
          <w:rFonts w:ascii="仿宋" w:hAnsi="仿宋" w:eastAsia="仿宋" w:cs="仿宋"/>
          <w:b/>
          <w:bCs/>
          <w:kern w:val="2"/>
          <w:sz w:val="30"/>
          <w:szCs w:val="30"/>
        </w:rPr>
      </w:pPr>
      <w:r>
        <w:rPr>
          <w:rFonts w:hint="eastAsia" w:ascii="仿宋" w:hAnsi="仿宋" w:eastAsia="仿宋" w:cs="仿宋"/>
          <w:b/>
          <w:bCs/>
          <w:kern w:val="2"/>
          <w:sz w:val="30"/>
          <w:szCs w:val="30"/>
        </w:rPr>
        <w:t>（一）产出指标完成情况分析</w:t>
      </w:r>
    </w:p>
    <w:p>
      <w:pPr>
        <w:pStyle w:val="3"/>
        <w:spacing w:line="60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1.数量指标。镇区十字路口以南、镇区十字路口以东、镇区十字路口以北、镇区十字路口以西。全线雨、污排水主管为4883m，管径为 DN1000、DN800、DN600。雨水口管道 DN300长度为359米。管道开挖及修复路面面积为8816平方米。清理现状排水管道长度为2570米等工程内容。</w:t>
      </w:r>
    </w:p>
    <w:p>
      <w:pPr>
        <w:pStyle w:val="3"/>
        <w:spacing w:line="60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2.质量指标。质量目标为雨污分流改造验收合格率达到 100%，目前项目施工进行中，尚未进入验收阶段，施工过程中质量检测基本达到预期指标。</w:t>
      </w:r>
    </w:p>
    <w:p>
      <w:pPr>
        <w:pStyle w:val="3"/>
        <w:spacing w:line="60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3.时效指标。项目 2021年9月 1日开工，计划工期 365天，根据形象进度情况表明工作进展顺利，时效指标完成较好。</w:t>
      </w:r>
    </w:p>
    <w:p>
      <w:pPr>
        <w:pStyle w:val="3"/>
        <w:spacing w:line="60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4.成本指标。2021年第资金到位 1600 万资金已按施工进度全部支出，成本指标达成。</w:t>
      </w:r>
    </w:p>
    <w:p>
      <w:pPr>
        <w:pStyle w:val="3"/>
        <w:spacing w:line="60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（二）效益指标完成情况分析。</w:t>
      </w:r>
    </w:p>
    <w:p>
      <w:pPr>
        <w:pStyle w:val="3"/>
        <w:spacing w:line="60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1.经济效益。本项目并无显著的直接投资效益，但是，其投资的间接经济效益较为重要，主要是通过减少污水污染对社会造成的经济损失而表现出来。</w:t>
      </w:r>
    </w:p>
    <w:p>
      <w:pPr>
        <w:pStyle w:val="3"/>
        <w:spacing w:line="60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2.社会效益。本项目是把衡龙桥镇建设成为干净卫生、经济繁荣、社会稳定、生活方便的文明卫生城市的至关重要的基础设施，有效提高污水收集率，促进衡龙桥镇科学和谐健康发展。</w:t>
      </w:r>
    </w:p>
    <w:p>
      <w:pPr>
        <w:pStyle w:val="3"/>
        <w:spacing w:line="60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3.生态效益。本项目可减少 BOD5、COD、SS、TN 和 TP 的污染负荷，可使排入水体的污染物显著减少，有效改善镇区水环境。</w:t>
      </w:r>
    </w:p>
    <w:p>
      <w:pPr>
        <w:pStyle w:val="3"/>
        <w:spacing w:line="60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4.可持续影响。长期发挥作用，全部或基本达成预期指标</w:t>
      </w:r>
    </w:p>
    <w:p>
      <w:pPr>
        <w:pStyle w:val="3"/>
        <w:spacing w:line="600" w:lineRule="exact"/>
        <w:ind w:firstLine="602" w:firstLineChars="200"/>
        <w:rPr>
          <w:rFonts w:ascii="仿宋" w:hAnsi="仿宋" w:eastAsia="仿宋" w:cs="仿宋"/>
          <w:kern w:val="2"/>
          <w:sz w:val="30"/>
          <w:szCs w:val="30"/>
        </w:rPr>
      </w:pPr>
      <w:r>
        <w:rPr>
          <w:rFonts w:hint="eastAsia" w:ascii="仿宋" w:hAnsi="仿宋" w:eastAsia="仿宋" w:cs="仿宋"/>
          <w:b/>
          <w:bCs/>
          <w:kern w:val="2"/>
          <w:sz w:val="30"/>
          <w:szCs w:val="30"/>
        </w:rPr>
        <w:t>（三）满意度指标完成情况分析。</w:t>
      </w:r>
      <w:r>
        <w:rPr>
          <w:rFonts w:hint="eastAsia" w:ascii="仿宋" w:hAnsi="仿宋" w:eastAsia="仿宋" w:cs="仿宋"/>
          <w:kern w:val="2"/>
          <w:sz w:val="30"/>
          <w:szCs w:val="30"/>
        </w:rPr>
        <w:t>项目执行过程中做好群众工作，降低施工期可能造成环境破坏的风险，组织好施工工序，尽量减少对群众生活影响，群众满意度较高。</w:t>
      </w:r>
    </w:p>
    <w:p>
      <w:pPr>
        <w:pStyle w:val="6"/>
        <w:spacing w:line="600" w:lineRule="exact"/>
        <w:ind w:firstLine="600"/>
        <w:rPr>
          <w:rFonts w:ascii="黑体" w:hAnsi="黑体" w:eastAsia="黑体" w:cs="黑体"/>
          <w:sz w:val="30"/>
          <w:szCs w:val="30"/>
        </w:rPr>
      </w:pPr>
      <w:r>
        <w:rPr>
          <w:rFonts w:hint="eastAsia" w:ascii="黑体" w:hAnsi="黑体" w:eastAsia="黑体" w:cs="黑体"/>
          <w:sz w:val="30"/>
          <w:szCs w:val="30"/>
        </w:rPr>
        <w:t>五、其他需要说明的问题</w:t>
      </w:r>
    </w:p>
    <w:p>
      <w:pPr>
        <w:pStyle w:val="6"/>
        <w:spacing w:line="600" w:lineRule="exact"/>
        <w:ind w:firstLine="600"/>
        <w:rPr>
          <w:rFonts w:ascii="仿宋" w:hAnsi="仿宋" w:eastAsia="仿宋" w:cs="仿宋"/>
          <w:sz w:val="30"/>
          <w:szCs w:val="30"/>
        </w:rPr>
      </w:pPr>
      <w:r>
        <w:rPr>
          <w:rFonts w:hint="eastAsia" w:ascii="仿宋" w:hAnsi="仿宋" w:eastAsia="仿宋" w:cs="仿宋"/>
          <w:sz w:val="30"/>
          <w:szCs w:val="30"/>
        </w:rPr>
        <w:t>无其他说明问题。</w:t>
      </w:r>
    </w:p>
    <w:p>
      <w:pPr>
        <w:pStyle w:val="6"/>
        <w:spacing w:line="600" w:lineRule="exact"/>
        <w:ind w:firstLine="600"/>
        <w:rPr>
          <w:rFonts w:ascii="仿宋" w:hAnsi="仿宋" w:eastAsia="仿宋" w:cs="仿宋"/>
          <w:sz w:val="30"/>
          <w:szCs w:val="30"/>
        </w:rPr>
      </w:pPr>
      <w:r>
        <w:rPr>
          <w:rFonts w:hint="eastAsia" w:ascii="仿宋" w:hAnsi="仿宋" w:eastAsia="仿宋" w:cs="仿宋"/>
          <w:sz w:val="30"/>
          <w:szCs w:val="30"/>
        </w:rPr>
        <w:t>附件：2021年度项目支出绩效自评指标计分表</w:t>
      </w:r>
    </w:p>
    <w:p>
      <w:pPr>
        <w:pStyle w:val="2"/>
        <w:sectPr>
          <w:pgSz w:w="11906" w:h="16838"/>
          <w:pgMar w:top="1134" w:right="1531" w:bottom="1134" w:left="1531" w:header="851" w:footer="992" w:gutter="0"/>
          <w:cols w:space="0" w:num="1"/>
          <w:docGrid w:type="lines" w:linePitch="312" w:charSpace="0"/>
        </w:sectPr>
      </w:pPr>
    </w:p>
    <w:p>
      <w:pPr>
        <w:spacing w:afterLines="50" w:line="400" w:lineRule="exact"/>
        <w:jc w:val="center"/>
        <w:rPr>
          <w:rFonts w:ascii="黑体" w:hAnsi="黑体" w:eastAsia="黑体" w:cs="黑体"/>
          <w:sz w:val="30"/>
          <w:szCs w:val="30"/>
        </w:rPr>
      </w:pPr>
      <w:r>
        <w:rPr>
          <w:rFonts w:hint="eastAsia" w:ascii="黑体" w:hAnsi="黑体" w:eastAsia="黑体" w:cs="黑体"/>
          <w:sz w:val="30"/>
          <w:szCs w:val="30"/>
        </w:rPr>
        <w:t>2021年度项目支出绩效自评指标计分表</w:t>
      </w:r>
    </w:p>
    <w:tbl>
      <w:tblPr>
        <w:tblStyle w:val="4"/>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5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83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40" w:type="dxa"/>
          </w:tcPr>
          <w:p>
            <w:pPr>
              <w:spacing w:line="240" w:lineRule="exact"/>
              <w:jc w:val="center"/>
              <w:rPr>
                <w:rFonts w:ascii="宋体"/>
                <w:b/>
                <w:bCs/>
              </w:rPr>
            </w:pPr>
            <w:r>
              <w:rPr>
                <w:rFonts w:hint="eastAsia" w:ascii="宋体" w:hAnsi="宋体" w:cs="宋体"/>
                <w:b/>
                <w:bCs/>
              </w:rPr>
              <w:t>自评分</w:t>
            </w:r>
          </w:p>
        </w:tc>
        <w:tc>
          <w:tcPr>
            <w:tcW w:w="2625"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419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3.8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3.5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2.8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2.8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2.5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4194"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2.5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3.8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3.5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8.8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9.5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eastAsia="宋体"/>
              </w:rPr>
            </w:pPr>
            <w:r>
              <w:rPr>
                <w:rFonts w:hint="eastAsia" w:ascii="宋体"/>
              </w:rPr>
              <w:t>9</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ascii="宋体"/>
              </w:rPr>
            </w:pPr>
            <w:r>
              <w:rPr>
                <w:rFonts w:hint="eastAsia" w:ascii="宋体"/>
              </w:rPr>
              <w:t>9.2</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540" w:type="dxa"/>
            <w:vAlign w:val="center"/>
          </w:tcPr>
          <w:p>
            <w:pPr>
              <w:spacing w:line="240" w:lineRule="exact"/>
              <w:ind w:left="105" w:leftChars="50" w:right="105" w:rightChars="50"/>
              <w:jc w:val="center"/>
              <w:rPr>
                <w:rFonts w:ascii="宋体" w:eastAsia="宋体"/>
              </w:rPr>
            </w:pPr>
            <w:r>
              <w:rPr>
                <w:rFonts w:hint="eastAsia" w:ascii="宋体"/>
              </w:rPr>
              <w:t>9.5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54" w:type="dxa"/>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540" w:type="dxa"/>
            <w:vAlign w:val="center"/>
          </w:tcPr>
          <w:p>
            <w:pPr>
              <w:spacing w:line="240" w:lineRule="exact"/>
              <w:ind w:right="105" w:rightChars="50"/>
              <w:jc w:val="center"/>
              <w:rPr>
                <w:rFonts w:ascii="宋体" w:eastAsia="宋体"/>
              </w:rPr>
            </w:pPr>
            <w:r>
              <w:rPr>
                <w:rFonts w:hint="eastAsia" w:ascii="宋体"/>
              </w:rPr>
              <w:t>91.2</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p>
        </w:tc>
      </w:tr>
    </w:tbl>
    <w:p>
      <w:pPr>
        <w:spacing w:line="600" w:lineRule="exact"/>
        <w:rPr>
          <w:rFonts w:ascii="黑体" w:eastAsia="黑体"/>
          <w:sz w:val="22"/>
          <w:szCs w:val="28"/>
        </w:rPr>
      </w:pPr>
    </w:p>
    <w:p>
      <w:pPr>
        <w:spacing w:line="600" w:lineRule="exact"/>
        <w:rPr>
          <w:rFonts w:ascii="黑体" w:eastAsia="黑体"/>
          <w:sz w:val="22"/>
          <w:szCs w:val="28"/>
        </w:rPr>
      </w:pPr>
    </w:p>
    <w:p>
      <w:pPr>
        <w:rPr>
          <w:sz w:val="22"/>
          <w:szCs w:val="28"/>
        </w:rPr>
      </w:pPr>
    </w:p>
    <w:p>
      <w:pPr>
        <w:pStyle w:val="2"/>
      </w:pPr>
    </w:p>
    <w:p>
      <w:pPr>
        <w:spacing w:line="600" w:lineRule="exact"/>
        <w:ind w:firstLine="600" w:firstLineChars="200"/>
        <w:jc w:val="left"/>
        <w:rPr>
          <w:rFonts w:ascii="仿宋" w:hAnsi="仿宋" w:eastAsia="仿宋" w:cs="仿宋"/>
          <w:color w:val="000000"/>
          <w:kern w:val="0"/>
          <w:sz w:val="30"/>
          <w:szCs w:val="30"/>
        </w:rPr>
      </w:pPr>
    </w:p>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8B50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jc w:val="left"/>
    </w:pPr>
    <w:rPr>
      <w:rFonts w:cs="Times New Roman"/>
      <w:kern w:val="0"/>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2023-06-26T04:19:36Z</dcterms:created>
  <dc:creator>admin-3</dc:creator>
  <cp:lastModifiedBy>admin-3</cp:lastModifiedBy>
  <dcterms:modified xsi:type="dcterms:W3CDTF">2023-06-26T04:20:14Z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ADE0AA4623B04AAC987040BA78E80848_12</vt:lpwstr>
  </property>
</Properties>
</file>