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黑体" w:hAnsi="黑体" w:eastAsia="黑体" w:cs="黑体"/>
          <w:b w:val="0"/>
          <w:bCs/>
          <w:color w:val="333333"/>
          <w:sz w:val="36"/>
          <w:szCs w:val="36"/>
          <w:shd w:val="clear" w:color="auto" w:fill="FFFFFF"/>
        </w:rPr>
      </w:pPr>
      <w:r>
        <w:rPr>
          <w:rFonts w:hint="eastAsia" w:ascii="黑体" w:hAnsi="黑体" w:eastAsia="黑体" w:cs="黑体"/>
          <w:b w:val="0"/>
          <w:bCs/>
          <w:color w:val="333333"/>
          <w:sz w:val="36"/>
          <w:szCs w:val="36"/>
          <w:shd w:val="clear" w:color="auto" w:fill="FFFFFF"/>
          <w:lang w:val="en-US" w:eastAsia="zh-CN"/>
        </w:rPr>
        <w:t>益阳市赫山区</w:t>
      </w:r>
      <w:r>
        <w:rPr>
          <w:rFonts w:hint="eastAsia" w:ascii="黑体" w:hAnsi="黑体" w:eastAsia="黑体" w:cs="黑体"/>
          <w:b w:val="0"/>
          <w:bCs/>
          <w:color w:val="333333"/>
          <w:sz w:val="36"/>
          <w:szCs w:val="36"/>
          <w:shd w:val="clear" w:color="auto" w:fill="FFFFFF"/>
          <w:lang w:eastAsia="zh-CN"/>
        </w:rPr>
        <w:t>桃花仑</w:t>
      </w:r>
      <w:r>
        <w:rPr>
          <w:rFonts w:hint="eastAsia" w:ascii="黑体" w:hAnsi="黑体" w:eastAsia="黑体" w:cs="黑体"/>
          <w:b w:val="0"/>
          <w:bCs/>
          <w:color w:val="333333"/>
          <w:sz w:val="36"/>
          <w:szCs w:val="36"/>
          <w:shd w:val="clear" w:color="auto" w:fill="FFFFFF"/>
        </w:rPr>
        <w:t>街道办事处2021年度</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黑体" w:hAnsi="黑体" w:eastAsia="黑体" w:cs="黑体"/>
          <w:b w:val="0"/>
          <w:bCs/>
          <w:color w:val="333333"/>
          <w:sz w:val="36"/>
          <w:szCs w:val="36"/>
        </w:rPr>
      </w:pPr>
      <w:r>
        <w:rPr>
          <w:rFonts w:hint="eastAsia" w:ascii="黑体" w:hAnsi="黑体" w:eastAsia="黑体" w:cs="黑体"/>
          <w:b w:val="0"/>
          <w:bCs/>
          <w:color w:val="333333"/>
          <w:sz w:val="36"/>
          <w:szCs w:val="36"/>
          <w:shd w:val="clear" w:color="auto" w:fill="FFFFFF"/>
          <w:lang w:val="en-US" w:eastAsia="zh-CN"/>
        </w:rPr>
        <w:t>新冠疫情防控</w:t>
      </w:r>
      <w:r>
        <w:rPr>
          <w:rFonts w:hint="eastAsia" w:ascii="黑体" w:hAnsi="黑体" w:eastAsia="黑体" w:cs="黑体"/>
          <w:b w:val="0"/>
          <w:bCs/>
          <w:color w:val="333333"/>
          <w:sz w:val="36"/>
          <w:szCs w:val="36"/>
          <w:shd w:val="clear" w:color="auto" w:fill="FFFFFF"/>
        </w:rPr>
        <w:t>项目支出绩效评价报告</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 w:hAnsi="仿宋" w:eastAsia="仿宋"/>
          <w:color w:val="333333"/>
          <w:sz w:val="32"/>
          <w:szCs w:val="32"/>
        </w:rPr>
      </w:pPr>
      <w:r>
        <w:rPr>
          <w:rFonts w:hint="eastAsia" w:ascii="仿宋" w:hAnsi="仿宋" w:eastAsia="仿宋"/>
          <w:color w:val="333333"/>
          <w:sz w:val="32"/>
          <w:szCs w:val="32"/>
        </w:rPr>
        <w:t>根据《益阳市赫山区人民政府关于全面推进预算绩效管理的实施意见》（益赫政发〔2016〕12号）文件要求，对我街道2021年新冠肺炎疫情</w:t>
      </w:r>
      <w:r>
        <w:rPr>
          <w:rFonts w:hint="eastAsia" w:ascii="仿宋" w:hAnsi="仿宋" w:eastAsia="仿宋"/>
          <w:color w:val="333333"/>
          <w:sz w:val="32"/>
          <w:szCs w:val="32"/>
          <w:lang w:val="en-US" w:eastAsia="zh-CN"/>
        </w:rPr>
        <w:t>108.5</w:t>
      </w:r>
      <w:r>
        <w:rPr>
          <w:rFonts w:hint="eastAsia" w:ascii="仿宋" w:hAnsi="仿宋" w:eastAsia="仿宋"/>
          <w:color w:val="333333"/>
          <w:sz w:val="32"/>
          <w:szCs w:val="32"/>
        </w:rPr>
        <w:t>万项目资金进行自评工作，现报告如下：</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宋体" w:cs="Times New Roman"/>
          <w:color w:val="333333"/>
          <w:kern w:val="0"/>
          <w:szCs w:val="21"/>
        </w:rPr>
      </w:pPr>
      <w:r>
        <w:rPr>
          <w:rFonts w:hint="eastAsia" w:ascii="黑体" w:hAnsi="黑体" w:eastAsia="黑体" w:cs="Times New Roman"/>
          <w:color w:val="333333"/>
          <w:kern w:val="0"/>
          <w:sz w:val="32"/>
          <w:szCs w:val="32"/>
        </w:rPr>
        <w:t>一、绩效目标完成情况分析</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宋体" w:cs="Times New Roman"/>
          <w:color w:val="333333"/>
          <w:kern w:val="0"/>
          <w:szCs w:val="21"/>
        </w:rPr>
      </w:pPr>
      <w:r>
        <w:rPr>
          <w:rFonts w:hint="eastAsia" w:ascii="楷体" w:hAnsi="楷体" w:eastAsia="楷体" w:cs="Times New Roman"/>
          <w:color w:val="333333"/>
          <w:kern w:val="0"/>
          <w:sz w:val="32"/>
          <w:szCs w:val="32"/>
        </w:rPr>
        <w:t>（一）资金投入情况分析。</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宋体" w:cs="Times New Roman"/>
          <w:color w:val="333333"/>
          <w:kern w:val="0"/>
          <w:szCs w:val="21"/>
        </w:rPr>
      </w:pPr>
      <w:r>
        <w:rPr>
          <w:rFonts w:ascii="Times New Roman" w:hAnsi="Times New Roman" w:eastAsia="宋体" w:cs="Times New Roman"/>
          <w:color w:val="333333"/>
          <w:kern w:val="0"/>
          <w:sz w:val="32"/>
          <w:szCs w:val="32"/>
        </w:rPr>
        <w:t>1.</w:t>
      </w:r>
      <w:r>
        <w:rPr>
          <w:rFonts w:hint="eastAsia" w:ascii="仿宋" w:hAnsi="仿宋" w:eastAsia="仿宋" w:cs="Times New Roman"/>
          <w:color w:val="333333"/>
          <w:kern w:val="0"/>
          <w:sz w:val="32"/>
          <w:szCs w:val="32"/>
        </w:rPr>
        <w:t>项目资金到位情况分析。</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仿宋" w:hAnsi="仿宋" w:eastAsia="仿宋" w:cs="Times New Roman"/>
          <w:color w:val="333333"/>
          <w:kern w:val="0"/>
          <w:sz w:val="32"/>
          <w:szCs w:val="32"/>
        </w:rPr>
      </w:pPr>
      <w:r>
        <w:rPr>
          <w:rFonts w:hint="eastAsia" w:ascii="仿宋" w:hAnsi="仿宋" w:eastAsia="仿宋" w:cs="Times New Roman"/>
          <w:color w:val="333333"/>
          <w:kern w:val="0"/>
          <w:sz w:val="32"/>
          <w:szCs w:val="32"/>
        </w:rPr>
        <w:t>严格按照政府采购程序开展应急广播设备采购，验收合格后，按照合同约定，将资金全部按时划转，保障设备到位和下发。资金主要用于以下三个方面：一是防疫物资的采购，安排</w:t>
      </w:r>
      <w:r>
        <w:rPr>
          <w:rFonts w:hint="eastAsia" w:ascii="仿宋" w:hAnsi="仿宋" w:eastAsia="仿宋" w:cs="Times New Roman"/>
          <w:color w:val="333333"/>
          <w:kern w:val="0"/>
          <w:sz w:val="32"/>
          <w:szCs w:val="32"/>
          <w:lang w:val="en-US" w:eastAsia="zh-CN"/>
        </w:rPr>
        <w:t>18</w:t>
      </w:r>
      <w:r>
        <w:rPr>
          <w:rFonts w:hint="eastAsia" w:ascii="仿宋" w:hAnsi="仿宋" w:eastAsia="仿宋" w:cs="Times New Roman"/>
          <w:color w:val="333333"/>
          <w:kern w:val="0"/>
          <w:sz w:val="32"/>
          <w:szCs w:val="32"/>
        </w:rPr>
        <w:t>.15万元，主要用于口罩、防护服以及消毒液等防疫物资的采购；二是疫情防疫宣传费用，安排资金</w:t>
      </w:r>
      <w:r>
        <w:rPr>
          <w:rFonts w:hint="eastAsia" w:ascii="仿宋" w:hAnsi="仿宋" w:eastAsia="仿宋" w:cs="Times New Roman"/>
          <w:color w:val="333333"/>
          <w:kern w:val="0"/>
          <w:sz w:val="32"/>
          <w:szCs w:val="32"/>
          <w:lang w:val="en-US" w:eastAsia="zh-CN"/>
        </w:rPr>
        <w:t>45</w:t>
      </w:r>
      <w:r>
        <w:rPr>
          <w:rFonts w:hint="eastAsia" w:ascii="仿宋" w:hAnsi="仿宋" w:eastAsia="仿宋" w:cs="Times New Roman"/>
          <w:color w:val="333333"/>
          <w:kern w:val="0"/>
          <w:sz w:val="32"/>
          <w:szCs w:val="32"/>
        </w:rPr>
        <w:t>.65万元；三是政府、社区、社区卫生医院等一线防疫人员补助，安排资金3</w:t>
      </w:r>
      <w:r>
        <w:rPr>
          <w:rFonts w:hint="eastAsia" w:ascii="仿宋" w:hAnsi="仿宋" w:eastAsia="仿宋" w:cs="Times New Roman"/>
          <w:color w:val="333333"/>
          <w:kern w:val="0"/>
          <w:sz w:val="32"/>
          <w:szCs w:val="32"/>
          <w:lang w:val="en-US" w:eastAsia="zh-CN"/>
        </w:rPr>
        <w:t>0</w:t>
      </w:r>
      <w:r>
        <w:rPr>
          <w:rFonts w:hint="eastAsia" w:ascii="仿宋" w:hAnsi="仿宋" w:eastAsia="仿宋" w:cs="Times New Roman"/>
          <w:color w:val="333333"/>
          <w:kern w:val="0"/>
          <w:sz w:val="32"/>
          <w:szCs w:val="32"/>
        </w:rPr>
        <w:t>.88万元</w:t>
      </w:r>
      <w:r>
        <w:rPr>
          <w:rFonts w:hint="eastAsia" w:ascii="仿宋" w:hAnsi="仿宋" w:eastAsia="仿宋" w:cs="Times New Roman"/>
          <w:color w:val="333333"/>
          <w:kern w:val="0"/>
          <w:sz w:val="32"/>
          <w:szCs w:val="32"/>
          <w:lang w:eastAsia="zh-CN"/>
        </w:rPr>
        <w:t>；四是核酸检测、疫苗接种相关工作经费，安排资金</w:t>
      </w:r>
      <w:r>
        <w:rPr>
          <w:rFonts w:hint="eastAsia" w:ascii="仿宋" w:hAnsi="仿宋" w:eastAsia="仿宋" w:cs="Times New Roman"/>
          <w:color w:val="333333"/>
          <w:kern w:val="0"/>
          <w:sz w:val="32"/>
          <w:szCs w:val="32"/>
          <w:lang w:val="en-US" w:eastAsia="zh-CN"/>
        </w:rPr>
        <w:t>13.82万元；</w:t>
      </w:r>
      <w:r>
        <w:rPr>
          <w:rFonts w:hint="eastAsia" w:ascii="仿宋" w:hAnsi="仿宋" w:eastAsia="仿宋" w:cs="Times New Roman"/>
          <w:color w:val="333333"/>
          <w:kern w:val="0"/>
          <w:sz w:val="32"/>
          <w:szCs w:val="32"/>
        </w:rPr>
        <w:t>共计</w:t>
      </w:r>
      <w:r>
        <w:rPr>
          <w:rFonts w:hint="eastAsia" w:ascii="仿宋" w:hAnsi="仿宋" w:eastAsia="仿宋" w:cs="Times New Roman"/>
          <w:color w:val="333333"/>
          <w:kern w:val="0"/>
          <w:sz w:val="32"/>
          <w:szCs w:val="32"/>
          <w:lang w:val="en-US" w:eastAsia="zh-CN"/>
        </w:rPr>
        <w:t>108.5</w:t>
      </w:r>
      <w:r>
        <w:rPr>
          <w:rFonts w:hint="eastAsia" w:ascii="仿宋" w:hAnsi="仿宋" w:eastAsia="仿宋" w:cs="Times New Roman"/>
          <w:color w:val="333333"/>
          <w:kern w:val="0"/>
          <w:sz w:val="32"/>
          <w:szCs w:val="32"/>
        </w:rPr>
        <w:t>万元。</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仿宋" w:hAnsi="仿宋" w:eastAsia="仿宋" w:cs="Times New Roman"/>
          <w:color w:val="333333"/>
          <w:kern w:val="0"/>
          <w:sz w:val="32"/>
          <w:szCs w:val="32"/>
        </w:rPr>
      </w:pPr>
      <w:r>
        <w:rPr>
          <w:rFonts w:ascii="仿宋" w:hAnsi="仿宋" w:eastAsia="仿宋" w:cs="Times New Roman"/>
          <w:color w:val="333333"/>
          <w:kern w:val="0"/>
          <w:sz w:val="32"/>
          <w:szCs w:val="32"/>
        </w:rPr>
        <w:t>2.</w:t>
      </w:r>
      <w:r>
        <w:rPr>
          <w:rFonts w:hint="eastAsia" w:ascii="仿宋" w:hAnsi="仿宋" w:eastAsia="仿宋" w:cs="Times New Roman"/>
          <w:color w:val="333333"/>
          <w:kern w:val="0"/>
          <w:sz w:val="32"/>
          <w:szCs w:val="32"/>
        </w:rPr>
        <w:t>项目资金执行情况分析。</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宋体" w:cs="Times New Roman"/>
          <w:color w:val="333333"/>
          <w:kern w:val="0"/>
          <w:szCs w:val="21"/>
        </w:rPr>
      </w:pPr>
      <w:r>
        <w:rPr>
          <w:rFonts w:hint="eastAsia" w:ascii="仿宋" w:hAnsi="仿宋" w:eastAsia="仿宋" w:cs="Times New Roman"/>
          <w:color w:val="333333"/>
          <w:kern w:val="0"/>
          <w:sz w:val="32"/>
          <w:szCs w:val="32"/>
        </w:rPr>
        <w:t>项目符合资金适用范围，严格按照政府采购规范流程以及相关补助发放规定合规合法使用，达成预期指标。</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宋体" w:cs="Times New Roman"/>
          <w:color w:val="333333"/>
          <w:kern w:val="0"/>
          <w:szCs w:val="21"/>
        </w:rPr>
      </w:pPr>
      <w:r>
        <w:rPr>
          <w:rFonts w:ascii="Times New Roman" w:hAnsi="Times New Roman" w:eastAsia="宋体" w:cs="Times New Roman"/>
          <w:color w:val="333333"/>
          <w:kern w:val="0"/>
          <w:sz w:val="32"/>
          <w:szCs w:val="32"/>
        </w:rPr>
        <w:t>3.</w:t>
      </w:r>
      <w:r>
        <w:rPr>
          <w:rFonts w:hint="eastAsia" w:ascii="仿宋" w:hAnsi="仿宋" w:eastAsia="仿宋" w:cs="Times New Roman"/>
          <w:color w:val="333333"/>
          <w:kern w:val="0"/>
          <w:sz w:val="32"/>
          <w:szCs w:val="32"/>
        </w:rPr>
        <w:t>项目资金管理情况分析。</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宋体" w:cs="Times New Roman"/>
          <w:color w:val="333333"/>
          <w:kern w:val="0"/>
          <w:szCs w:val="21"/>
        </w:rPr>
      </w:pPr>
      <w:r>
        <w:rPr>
          <w:rFonts w:hint="eastAsia" w:ascii="仿宋" w:hAnsi="仿宋" w:eastAsia="仿宋" w:cs="Times New Roman"/>
          <w:color w:val="333333"/>
          <w:kern w:val="0"/>
          <w:sz w:val="32"/>
          <w:szCs w:val="32"/>
        </w:rPr>
        <w:t>在资金使用上均严格按照应急物资采购等形式，符合相关规定，财政严格监管使用。全部或基本达成预期指标。</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宋体" w:cs="Times New Roman"/>
          <w:color w:val="333333"/>
          <w:kern w:val="0"/>
          <w:szCs w:val="21"/>
        </w:rPr>
      </w:pPr>
      <w:r>
        <w:rPr>
          <w:rFonts w:ascii="Times New Roman" w:hAnsi="Times New Roman" w:eastAsia="宋体" w:cs="Times New Roman"/>
          <w:color w:val="333333"/>
          <w:kern w:val="0"/>
          <w:sz w:val="32"/>
          <w:szCs w:val="32"/>
        </w:rPr>
        <w:t>（二）</w:t>
      </w:r>
      <w:r>
        <w:rPr>
          <w:rFonts w:hint="eastAsia" w:ascii="楷体" w:hAnsi="楷体" w:eastAsia="楷体" w:cs="Times New Roman"/>
          <w:color w:val="333333"/>
          <w:kern w:val="0"/>
          <w:sz w:val="32"/>
          <w:szCs w:val="32"/>
        </w:rPr>
        <w:t>绩效指标完成情况分析。</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宋体" w:cs="Times New Roman"/>
          <w:color w:val="333333"/>
          <w:kern w:val="0"/>
          <w:szCs w:val="21"/>
        </w:rPr>
      </w:pPr>
      <w:r>
        <w:rPr>
          <w:rFonts w:ascii="Times New Roman" w:hAnsi="Times New Roman" w:eastAsia="宋体" w:cs="Times New Roman"/>
          <w:color w:val="333333"/>
          <w:kern w:val="0"/>
          <w:sz w:val="32"/>
          <w:szCs w:val="32"/>
        </w:rPr>
        <w:t>1.</w:t>
      </w:r>
      <w:r>
        <w:rPr>
          <w:rFonts w:hint="eastAsia" w:ascii="仿宋" w:hAnsi="仿宋" w:eastAsia="仿宋" w:cs="Times New Roman"/>
          <w:color w:val="333333"/>
          <w:kern w:val="0"/>
          <w:sz w:val="32"/>
          <w:szCs w:val="32"/>
        </w:rPr>
        <w:t>产出指标完成情况分析。</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宋体" w:cs="Times New Roman"/>
          <w:color w:val="333333"/>
          <w:kern w:val="0"/>
          <w:szCs w:val="21"/>
        </w:rPr>
      </w:pPr>
      <w:r>
        <w:rPr>
          <w:rFonts w:ascii="Times New Roman" w:hAnsi="Times New Roman" w:eastAsia="宋体" w:cs="Times New Roman"/>
          <w:color w:val="333333"/>
          <w:kern w:val="0"/>
          <w:sz w:val="32"/>
          <w:szCs w:val="32"/>
        </w:rPr>
        <w:t>(1)</w:t>
      </w:r>
      <w:r>
        <w:rPr>
          <w:rFonts w:hint="eastAsia" w:ascii="仿宋" w:hAnsi="仿宋" w:eastAsia="仿宋" w:cs="Times New Roman"/>
          <w:color w:val="333333"/>
          <w:kern w:val="0"/>
          <w:sz w:val="32"/>
          <w:szCs w:val="32"/>
        </w:rPr>
        <w:t>数量指标。采购防疫物资口罩、体温抢、消毒液、酒精等</w:t>
      </w:r>
      <w:r>
        <w:rPr>
          <w:rFonts w:hint="eastAsia" w:ascii="仿宋" w:hAnsi="仿宋" w:eastAsia="仿宋" w:cs="Times New Roman"/>
          <w:color w:val="333333"/>
          <w:kern w:val="0"/>
          <w:sz w:val="32"/>
          <w:szCs w:val="32"/>
          <w:lang w:val="en-US" w:eastAsia="zh-CN"/>
        </w:rPr>
        <w:t>3</w:t>
      </w:r>
      <w:r>
        <w:rPr>
          <w:rFonts w:hint="eastAsia" w:ascii="仿宋" w:hAnsi="仿宋" w:eastAsia="仿宋" w:cs="Times New Roman"/>
          <w:color w:val="333333"/>
          <w:kern w:val="0"/>
          <w:sz w:val="32"/>
          <w:szCs w:val="32"/>
        </w:rPr>
        <w:t>5000件，政府、社区、社区卫生医院等一线防疫人员补助，物资和补助均已到位。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宋体" w:cs="Times New Roman"/>
          <w:color w:val="333333"/>
          <w:kern w:val="0"/>
          <w:szCs w:val="21"/>
        </w:rPr>
      </w:pPr>
      <w:r>
        <w:rPr>
          <w:rFonts w:ascii="Times New Roman" w:hAnsi="Times New Roman" w:eastAsia="宋体" w:cs="Times New Roman"/>
          <w:color w:val="333333"/>
          <w:kern w:val="0"/>
          <w:sz w:val="32"/>
          <w:szCs w:val="32"/>
        </w:rPr>
        <w:t>(2)</w:t>
      </w:r>
      <w:r>
        <w:rPr>
          <w:rFonts w:hint="eastAsia" w:ascii="仿宋" w:hAnsi="仿宋" w:eastAsia="仿宋" w:cs="Times New Roman"/>
          <w:color w:val="333333"/>
          <w:kern w:val="0"/>
          <w:sz w:val="32"/>
          <w:szCs w:val="32"/>
        </w:rPr>
        <w:t>时效指标。按要求完成各项投入任务，全部或基本达成预期指标。</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宋体" w:cs="Times New Roman"/>
          <w:color w:val="333333"/>
          <w:kern w:val="0"/>
          <w:szCs w:val="21"/>
        </w:rPr>
      </w:pPr>
      <w:r>
        <w:rPr>
          <w:rFonts w:ascii="Times New Roman" w:hAnsi="Times New Roman" w:eastAsia="宋体" w:cs="Times New Roman"/>
          <w:color w:val="333333"/>
          <w:kern w:val="0"/>
          <w:sz w:val="32"/>
          <w:szCs w:val="32"/>
        </w:rPr>
        <w:t>(4)</w:t>
      </w:r>
      <w:r>
        <w:rPr>
          <w:rFonts w:hint="eastAsia" w:ascii="仿宋" w:hAnsi="仿宋" w:eastAsia="仿宋" w:cs="Times New Roman"/>
          <w:color w:val="333333"/>
          <w:kern w:val="0"/>
          <w:sz w:val="32"/>
          <w:szCs w:val="32"/>
        </w:rPr>
        <w:t>成本指标。所有采购项目实施完成后没有超出预算，全部或基本达成预期指标。</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宋体" w:cs="Times New Roman"/>
          <w:color w:val="333333"/>
          <w:kern w:val="0"/>
          <w:szCs w:val="21"/>
        </w:rPr>
      </w:pPr>
      <w:r>
        <w:rPr>
          <w:rFonts w:ascii="Times New Roman" w:hAnsi="Times New Roman" w:eastAsia="宋体" w:cs="Times New Roman"/>
          <w:color w:val="333333"/>
          <w:kern w:val="0"/>
          <w:sz w:val="32"/>
          <w:szCs w:val="32"/>
        </w:rPr>
        <w:t>2.</w:t>
      </w:r>
      <w:r>
        <w:rPr>
          <w:rFonts w:hint="eastAsia" w:ascii="仿宋" w:hAnsi="仿宋" w:eastAsia="仿宋" w:cs="Times New Roman"/>
          <w:color w:val="333333"/>
          <w:kern w:val="0"/>
          <w:sz w:val="32"/>
          <w:szCs w:val="32"/>
        </w:rPr>
        <w:t>效益指标完成情况分析。</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宋体" w:cs="Times New Roman"/>
          <w:color w:val="333333"/>
          <w:kern w:val="0"/>
          <w:szCs w:val="21"/>
        </w:rPr>
      </w:pPr>
      <w:r>
        <w:rPr>
          <w:rFonts w:ascii="Times New Roman" w:hAnsi="Times New Roman" w:eastAsia="宋体" w:cs="Times New Roman"/>
          <w:color w:val="333333"/>
          <w:kern w:val="0"/>
          <w:sz w:val="32"/>
          <w:szCs w:val="32"/>
        </w:rPr>
        <w:t>(1)</w:t>
      </w:r>
      <w:r>
        <w:rPr>
          <w:rFonts w:hint="eastAsia" w:ascii="仿宋" w:hAnsi="仿宋" w:eastAsia="仿宋" w:cs="Times New Roman"/>
          <w:color w:val="333333"/>
          <w:kern w:val="0"/>
          <w:sz w:val="32"/>
          <w:szCs w:val="32"/>
        </w:rPr>
        <w:t>经济效益。</w:t>
      </w:r>
      <w:r>
        <w:rPr>
          <w:rFonts w:hint="eastAsia" w:ascii="仿宋" w:hAnsi="仿宋" w:eastAsia="仿宋"/>
          <w:color w:val="333333"/>
          <w:sz w:val="32"/>
          <w:szCs w:val="32"/>
          <w:shd w:val="clear" w:color="auto" w:fill="FFFFFF"/>
        </w:rPr>
        <w:t>资金全部用于</w:t>
      </w:r>
      <w:r>
        <w:rPr>
          <w:rFonts w:hint="eastAsia" w:ascii="仿宋" w:hAnsi="仿宋" w:eastAsia="仿宋"/>
          <w:color w:val="333333"/>
          <w:sz w:val="32"/>
          <w:szCs w:val="32"/>
          <w:shd w:val="clear" w:color="auto" w:fill="FFFFFF"/>
          <w:lang w:eastAsia="zh-CN"/>
        </w:rPr>
        <w:t>桃花仑</w:t>
      </w:r>
      <w:r>
        <w:rPr>
          <w:rFonts w:hint="eastAsia" w:ascii="仿宋" w:hAnsi="仿宋" w:eastAsia="仿宋"/>
          <w:color w:val="333333"/>
          <w:sz w:val="32"/>
          <w:szCs w:val="32"/>
          <w:shd w:val="clear" w:color="auto" w:fill="FFFFFF"/>
        </w:rPr>
        <w:t>街道办事处辖区内的抗疫支出，</w:t>
      </w:r>
      <w:r>
        <w:rPr>
          <w:rFonts w:hint="eastAsia" w:ascii="仿宋" w:hAnsi="仿宋" w:eastAsia="仿宋"/>
          <w:color w:val="333333"/>
          <w:sz w:val="32"/>
          <w:szCs w:val="32"/>
        </w:rPr>
        <w:t>通过各类电子宣传屏、微信公众号、张贴公告、微信公众号、流动宣传车等形式，及时向群众公告疫情防控情况，开展卫生防疫知识宣传教育，配合着每天早晚的各社区“大喇叭”准时响起，把防疫知识传播到全街道的各个角落，切实提高群众防控意识，</w:t>
      </w:r>
      <w:r>
        <w:rPr>
          <w:rFonts w:hint="eastAsia" w:ascii="仿宋" w:hAnsi="仿宋" w:eastAsia="仿宋"/>
          <w:color w:val="333333"/>
          <w:sz w:val="32"/>
          <w:szCs w:val="32"/>
          <w:shd w:val="clear" w:color="auto" w:fill="FFFFFF"/>
        </w:rPr>
        <w:t>维护了人民群众的出行以及生产、生活安全，</w:t>
      </w:r>
      <w:r>
        <w:rPr>
          <w:rFonts w:hint="eastAsia" w:ascii="仿宋" w:hAnsi="仿宋" w:eastAsia="仿宋"/>
          <w:color w:val="000000"/>
          <w:sz w:val="32"/>
          <w:szCs w:val="32"/>
        </w:rPr>
        <w:t>确保辖区内</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个社区</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万多人口新冠肺炎无新增感染。</w:t>
      </w:r>
      <w:r>
        <w:rPr>
          <w:rFonts w:hint="eastAsia" w:ascii="宋体" w:hAnsi="宋体" w:eastAsia="宋体" w:cs="宋体"/>
          <w:color w:val="333333"/>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宋体" w:cs="Times New Roman"/>
          <w:color w:val="333333"/>
          <w:kern w:val="0"/>
          <w:szCs w:val="21"/>
        </w:rPr>
      </w:pPr>
      <w:r>
        <w:rPr>
          <w:rFonts w:ascii="Times New Roman" w:hAnsi="Times New Roman" w:eastAsia="宋体" w:cs="Times New Roman"/>
          <w:color w:val="333333"/>
          <w:kern w:val="0"/>
          <w:sz w:val="32"/>
          <w:szCs w:val="32"/>
        </w:rPr>
        <w:t>(2)</w:t>
      </w:r>
      <w:r>
        <w:rPr>
          <w:rFonts w:hint="eastAsia" w:ascii="仿宋" w:hAnsi="仿宋" w:eastAsia="仿宋" w:cs="Times New Roman"/>
          <w:color w:val="333333"/>
          <w:kern w:val="0"/>
          <w:sz w:val="32"/>
          <w:szCs w:val="32"/>
        </w:rPr>
        <w:t>社会效益。为疫情防控知识、宣传疫情期间相关政策，防灾减灾，丰富群众文化生活等起到积极作用，全部或基本达成预期指标。</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宋体" w:cs="Times New Roman"/>
          <w:color w:val="333333"/>
          <w:kern w:val="0"/>
          <w:szCs w:val="21"/>
        </w:rPr>
      </w:pPr>
      <w:r>
        <w:rPr>
          <w:rFonts w:ascii="Times New Roman" w:hAnsi="Times New Roman" w:eastAsia="宋体" w:cs="Times New Roman"/>
          <w:color w:val="333333"/>
          <w:kern w:val="0"/>
          <w:sz w:val="32"/>
          <w:szCs w:val="32"/>
        </w:rPr>
        <w:t>(3)</w:t>
      </w:r>
      <w:r>
        <w:rPr>
          <w:rFonts w:hint="eastAsia" w:ascii="仿宋" w:hAnsi="仿宋" w:eastAsia="仿宋" w:cs="Times New Roman"/>
          <w:color w:val="333333"/>
          <w:kern w:val="0"/>
          <w:sz w:val="32"/>
          <w:szCs w:val="32"/>
        </w:rPr>
        <w:t>生态效益。全部或基本达成预期指标</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宋体" w:cs="Times New Roman"/>
          <w:color w:val="333333"/>
          <w:kern w:val="0"/>
          <w:szCs w:val="21"/>
        </w:rPr>
      </w:pPr>
      <w:r>
        <w:rPr>
          <w:rFonts w:ascii="Times New Roman" w:hAnsi="Times New Roman" w:eastAsia="宋体" w:cs="Times New Roman"/>
          <w:color w:val="333333"/>
          <w:kern w:val="0"/>
          <w:sz w:val="32"/>
          <w:szCs w:val="32"/>
        </w:rPr>
        <w:t>(4)</w:t>
      </w:r>
      <w:r>
        <w:rPr>
          <w:rFonts w:hint="eastAsia" w:ascii="仿宋" w:hAnsi="仿宋" w:eastAsia="仿宋" w:cs="Times New Roman"/>
          <w:color w:val="333333"/>
          <w:kern w:val="0"/>
          <w:sz w:val="32"/>
          <w:szCs w:val="32"/>
        </w:rPr>
        <w:t>可持续影响。长期发挥作用，全部或基本达成预期指标</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宋体" w:cs="Times New Roman"/>
          <w:color w:val="333333"/>
          <w:kern w:val="0"/>
          <w:szCs w:val="21"/>
        </w:rPr>
      </w:pPr>
      <w:r>
        <w:rPr>
          <w:rFonts w:ascii="Times New Roman" w:hAnsi="Times New Roman" w:eastAsia="宋体" w:cs="Times New Roman"/>
          <w:color w:val="333333"/>
          <w:kern w:val="0"/>
          <w:sz w:val="32"/>
          <w:szCs w:val="32"/>
        </w:rPr>
        <w:t>3.</w:t>
      </w:r>
      <w:r>
        <w:rPr>
          <w:rFonts w:hint="eastAsia" w:ascii="仿宋" w:hAnsi="仿宋" w:eastAsia="仿宋" w:cs="Times New Roman"/>
          <w:color w:val="333333"/>
          <w:kern w:val="0"/>
          <w:sz w:val="32"/>
          <w:szCs w:val="32"/>
        </w:rPr>
        <w:t>满意度指标完成情况分析。群众满意度</w:t>
      </w:r>
      <w:r>
        <w:rPr>
          <w:rFonts w:ascii="Times New Roman" w:hAnsi="Times New Roman" w:eastAsia="宋体" w:cs="Times New Roman"/>
          <w:color w:val="333333"/>
          <w:kern w:val="0"/>
          <w:sz w:val="32"/>
          <w:szCs w:val="32"/>
        </w:rPr>
        <w:t>90%</w:t>
      </w:r>
      <w:r>
        <w:rPr>
          <w:rFonts w:hint="eastAsia" w:ascii="仿宋" w:hAnsi="仿宋" w:eastAsia="仿宋" w:cs="Times New Roman"/>
          <w:color w:val="333333"/>
          <w:kern w:val="0"/>
          <w:sz w:val="32"/>
          <w:szCs w:val="32"/>
        </w:rPr>
        <w:t>以上。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宋体" w:cs="Times New Roman"/>
          <w:color w:val="333333"/>
          <w:kern w:val="0"/>
          <w:szCs w:val="21"/>
        </w:rPr>
      </w:pPr>
      <w:r>
        <w:rPr>
          <w:rFonts w:hint="eastAsia" w:ascii="黑体" w:hAnsi="黑体" w:eastAsia="黑体" w:cs="Times New Roman"/>
          <w:color w:val="333333"/>
          <w:kern w:val="0"/>
          <w:sz w:val="32"/>
          <w:szCs w:val="32"/>
        </w:rPr>
        <w:t>二、偏离绩效目标的原因和下一步改进措施</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宋体" w:cs="Times New Roman"/>
          <w:color w:val="333333"/>
          <w:kern w:val="0"/>
          <w:szCs w:val="21"/>
        </w:rPr>
      </w:pPr>
      <w:r>
        <w:rPr>
          <w:rFonts w:hint="eastAsia" w:ascii="仿宋" w:hAnsi="仿宋" w:eastAsia="仿宋" w:cs="Times New Roman"/>
          <w:color w:val="333333"/>
          <w:kern w:val="0"/>
          <w:sz w:val="32"/>
          <w:szCs w:val="32"/>
        </w:rPr>
        <w:t>无。</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等线" w:eastAsia="等线"/>
          <w:color w:val="333333"/>
          <w:sz w:val="21"/>
          <w:szCs w:val="21"/>
        </w:rPr>
      </w:pPr>
      <w:r>
        <w:rPr>
          <w:rFonts w:hint="eastAsia" w:ascii="黑体" w:hAnsi="黑体" w:eastAsia="黑体"/>
          <w:color w:val="333333"/>
          <w:sz w:val="32"/>
          <w:szCs w:val="32"/>
        </w:rPr>
        <w:t>三、预算支出主要绩效及评价结论</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等线" w:eastAsia="等线"/>
          <w:color w:val="333333"/>
          <w:sz w:val="21"/>
          <w:szCs w:val="21"/>
        </w:rPr>
      </w:pPr>
      <w:r>
        <w:rPr>
          <w:rFonts w:hint="eastAsia" w:ascii="仿宋" w:hAnsi="仿宋" w:eastAsia="仿宋"/>
          <w:color w:val="333333"/>
          <w:sz w:val="32"/>
          <w:szCs w:val="32"/>
        </w:rPr>
        <w:t>为守护群众的生命健康，克服新冠肺炎疫情带来的巨大挑战，街道办事处发挥基层党组织战斗堡垒作用，党员干部冲锋在前，干群合力，万众一心，成功打赢新冠病毒肺炎阻击战。一以贯之严格执行财务制度，最大化确保财政资金安全和使用效益，复工复产平稳有序、确保了社会的稳定。绩效评价发挥了很高的效率。</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等线" w:eastAsia="等线"/>
          <w:color w:val="333333"/>
          <w:sz w:val="21"/>
          <w:szCs w:val="21"/>
        </w:rPr>
      </w:pPr>
      <w:r>
        <w:rPr>
          <w:rFonts w:hint="eastAsia" w:ascii="仿宋" w:hAnsi="仿宋" w:eastAsia="仿宋"/>
          <w:color w:val="333333"/>
          <w:sz w:val="32"/>
          <w:szCs w:val="32"/>
        </w:rPr>
        <w:t>现对项目进行自评，自评分为9</w:t>
      </w:r>
      <w:r>
        <w:rPr>
          <w:rFonts w:hint="eastAsia" w:ascii="仿宋" w:hAnsi="仿宋" w:eastAsia="仿宋"/>
          <w:color w:val="333333"/>
          <w:sz w:val="32"/>
          <w:szCs w:val="32"/>
          <w:lang w:val="en-US" w:eastAsia="zh-CN"/>
        </w:rPr>
        <w:t>5.3</w:t>
      </w:r>
      <w:r>
        <w:rPr>
          <w:rFonts w:hint="eastAsia" w:ascii="仿宋" w:hAnsi="仿宋" w:eastAsia="仿宋"/>
          <w:color w:val="333333"/>
          <w:sz w:val="32"/>
          <w:szCs w:val="32"/>
        </w:rPr>
        <w:t>分。</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等线" w:eastAsia="等线"/>
          <w:color w:val="333333"/>
          <w:sz w:val="21"/>
          <w:szCs w:val="21"/>
        </w:rPr>
      </w:pPr>
      <w:r>
        <w:rPr>
          <w:rFonts w:hint="eastAsia" w:ascii="黑体" w:hAnsi="黑体" w:eastAsia="黑体"/>
          <w:color w:val="333333"/>
          <w:sz w:val="32"/>
          <w:szCs w:val="32"/>
        </w:rPr>
        <w:t>四、绩效评价指标分析</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等线" w:eastAsia="等线"/>
          <w:color w:val="333333"/>
          <w:sz w:val="21"/>
          <w:szCs w:val="21"/>
        </w:rPr>
      </w:pPr>
      <w:r>
        <w:rPr>
          <w:rFonts w:hint="eastAsia" w:ascii="楷体" w:hAnsi="楷体" w:eastAsia="楷体"/>
          <w:b/>
          <w:bCs/>
          <w:color w:val="000000"/>
          <w:sz w:val="32"/>
          <w:szCs w:val="32"/>
        </w:rPr>
        <w:t>（一）预算支出决策情况</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等线" w:eastAsia="等线"/>
          <w:color w:val="333333"/>
          <w:sz w:val="21"/>
          <w:szCs w:val="21"/>
        </w:rPr>
      </w:pPr>
      <w:r>
        <w:rPr>
          <w:rFonts w:hint="eastAsia" w:ascii="仿宋" w:hAnsi="仿宋" w:eastAsia="仿宋"/>
          <w:color w:val="000000"/>
          <w:sz w:val="32"/>
          <w:szCs w:val="32"/>
        </w:rPr>
        <w:t>预算支出决策得分19分，项目立项符合法律法规，绩效目标合理，资金投入科学。</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等线" w:eastAsia="等线"/>
          <w:color w:val="333333"/>
          <w:sz w:val="21"/>
          <w:szCs w:val="21"/>
        </w:rPr>
      </w:pPr>
      <w:r>
        <w:rPr>
          <w:rFonts w:hint="eastAsia" w:ascii="楷体" w:hAnsi="楷体" w:eastAsia="楷体"/>
          <w:b/>
          <w:bCs/>
          <w:color w:val="000000"/>
          <w:sz w:val="32"/>
          <w:szCs w:val="32"/>
        </w:rPr>
        <w:t>（二）预算执行过程情况</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等线" w:eastAsia="等线"/>
          <w:color w:val="333333"/>
          <w:sz w:val="21"/>
          <w:szCs w:val="21"/>
        </w:rPr>
      </w:pPr>
      <w:r>
        <w:rPr>
          <w:rFonts w:hint="eastAsia" w:ascii="仿宋" w:hAnsi="仿宋" w:eastAsia="仿宋"/>
          <w:color w:val="000000"/>
          <w:sz w:val="32"/>
          <w:szCs w:val="32"/>
        </w:rPr>
        <w:t>预算执行过程得分1</w:t>
      </w:r>
      <w:r>
        <w:rPr>
          <w:rFonts w:hint="eastAsia" w:ascii="仿宋" w:hAnsi="仿宋" w:eastAsia="仿宋"/>
          <w:color w:val="000000"/>
          <w:sz w:val="32"/>
          <w:szCs w:val="32"/>
          <w:lang w:val="en-US" w:eastAsia="zh-CN"/>
        </w:rPr>
        <w:t>9.3</w:t>
      </w:r>
      <w:r>
        <w:rPr>
          <w:rFonts w:hint="eastAsia" w:ascii="仿宋" w:hAnsi="仿宋" w:eastAsia="仿宋"/>
          <w:color w:val="000000"/>
          <w:sz w:val="32"/>
          <w:szCs w:val="32"/>
        </w:rPr>
        <w:t>分，预算资金与执行资金一致，资金使用符合财务管理制度，管理制度健全。</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等线" w:eastAsia="等线"/>
          <w:color w:val="333333"/>
          <w:sz w:val="21"/>
          <w:szCs w:val="21"/>
        </w:rPr>
      </w:pPr>
      <w:r>
        <w:rPr>
          <w:rFonts w:hint="eastAsia" w:ascii="楷体" w:hAnsi="楷体" w:eastAsia="楷体"/>
          <w:b/>
          <w:bCs/>
          <w:color w:val="000000"/>
          <w:sz w:val="32"/>
          <w:szCs w:val="32"/>
        </w:rPr>
        <w:t>（三）预算支出产出情况</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等线" w:eastAsia="等线"/>
          <w:color w:val="333333"/>
          <w:sz w:val="21"/>
          <w:szCs w:val="21"/>
        </w:rPr>
      </w:pPr>
      <w:r>
        <w:rPr>
          <w:rFonts w:hint="eastAsia" w:ascii="仿宋" w:hAnsi="仿宋" w:eastAsia="仿宋"/>
          <w:color w:val="000000"/>
          <w:sz w:val="32"/>
          <w:szCs w:val="32"/>
        </w:rPr>
        <w:t>预算支出产出得分3</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分，通过各种形式，提高人民群众联防联控的意识，确保了辖区内15个社区9万多人口新冠肺炎无新增感染。</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eastAsia" w:ascii="等线" w:eastAsia="等线"/>
          <w:color w:val="333333"/>
          <w:sz w:val="21"/>
          <w:szCs w:val="21"/>
        </w:rPr>
      </w:pPr>
      <w:r>
        <w:rPr>
          <w:rFonts w:hint="eastAsia" w:ascii="楷体" w:hAnsi="楷体" w:eastAsia="楷体"/>
          <w:b/>
          <w:bCs/>
          <w:color w:val="000000"/>
          <w:sz w:val="32"/>
          <w:szCs w:val="32"/>
        </w:rPr>
        <w:t>（四）预算支出效益情况</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等线" w:eastAsia="等线"/>
          <w:color w:val="333333"/>
          <w:sz w:val="21"/>
          <w:szCs w:val="21"/>
        </w:rPr>
      </w:pPr>
      <w:r>
        <w:rPr>
          <w:rFonts w:hint="eastAsia" w:ascii="仿宋" w:hAnsi="仿宋" w:eastAsia="仿宋"/>
          <w:color w:val="000000"/>
          <w:sz w:val="32"/>
          <w:szCs w:val="32"/>
        </w:rPr>
        <w:t>预算支出效益得分1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分，进入常态化疫情防控阶段，社区信息报告机制畅通，卫健部门措施得力，共同守护着家乡的健康平安。群众的获得感与幸福感大大提升，电话调查与实人谈话的满意率在98%以上。</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等线" w:eastAsia="等线"/>
          <w:color w:val="333333"/>
          <w:sz w:val="21"/>
          <w:szCs w:val="21"/>
        </w:rPr>
      </w:pPr>
      <w:r>
        <w:rPr>
          <w:rFonts w:hint="eastAsia" w:ascii="黑体" w:hAnsi="黑体" w:eastAsia="黑体"/>
          <w:color w:val="333333"/>
          <w:sz w:val="32"/>
          <w:szCs w:val="32"/>
        </w:rPr>
        <w:t>五、主要经验及做法、存在的问题及原因分析</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等线" w:eastAsia="等线"/>
          <w:color w:val="333333"/>
          <w:sz w:val="21"/>
          <w:szCs w:val="21"/>
        </w:rPr>
      </w:pPr>
      <w:r>
        <w:rPr>
          <w:rFonts w:hint="eastAsia" w:ascii="仿宋" w:hAnsi="仿宋" w:eastAsia="仿宋"/>
          <w:color w:val="333333"/>
          <w:sz w:val="32"/>
          <w:szCs w:val="32"/>
        </w:rPr>
        <w:t>项目资金分配合理，管理和使用合规，资金拨付及时，不存在资金挪用、在帐滞留闲置的情况。</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等线" w:eastAsia="等线"/>
          <w:color w:val="333333"/>
          <w:sz w:val="21"/>
          <w:szCs w:val="21"/>
        </w:rPr>
      </w:pPr>
      <w:r>
        <w:rPr>
          <w:rFonts w:hint="eastAsia" w:ascii="黑体" w:hAnsi="黑体" w:eastAsia="黑体"/>
          <w:color w:val="333333"/>
          <w:sz w:val="32"/>
          <w:szCs w:val="32"/>
        </w:rPr>
        <w:t>六、有关建议</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等线" w:eastAsia="等线"/>
          <w:color w:val="333333"/>
          <w:sz w:val="21"/>
          <w:szCs w:val="21"/>
        </w:rPr>
      </w:pPr>
      <w:r>
        <w:rPr>
          <w:rFonts w:hint="eastAsia" w:ascii="仿宋" w:hAnsi="仿宋" w:eastAsia="仿宋"/>
          <w:color w:val="333333"/>
          <w:sz w:val="32"/>
          <w:szCs w:val="32"/>
        </w:rPr>
        <w:t>1、继续争取中央和省市级财政的支持，加大民生事务方面的投入力度。</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等线" w:eastAsia="等线"/>
          <w:color w:val="333333"/>
          <w:sz w:val="21"/>
          <w:szCs w:val="21"/>
        </w:rPr>
      </w:pPr>
      <w:r>
        <w:rPr>
          <w:rFonts w:hint="eastAsia" w:ascii="仿宋" w:hAnsi="仿宋" w:eastAsia="仿宋"/>
          <w:color w:val="333333"/>
          <w:sz w:val="32"/>
          <w:szCs w:val="32"/>
        </w:rPr>
        <w:t>2、加快资金拨付进度，进一步简化程序。</w:t>
      </w:r>
    </w:p>
    <w:p>
      <w:pPr>
        <w:spacing w:afterLines="50" w:line="400" w:lineRule="exact"/>
        <w:jc w:val="center"/>
        <w:rPr>
          <w:rFonts w:hint="eastAsia" w:ascii="黑体" w:hAnsi="黑体" w:eastAsia="黑体" w:cs="黑体"/>
          <w:sz w:val="30"/>
          <w:szCs w:val="30"/>
        </w:rPr>
      </w:pPr>
    </w:p>
    <w:p>
      <w:pPr>
        <w:spacing w:afterLines="50" w:line="400" w:lineRule="exact"/>
        <w:jc w:val="center"/>
        <w:rPr>
          <w:rFonts w:hint="eastAsia" w:ascii="黑体" w:hAnsi="黑体" w:eastAsia="黑体" w:cs="黑体"/>
          <w:sz w:val="30"/>
          <w:szCs w:val="30"/>
        </w:rPr>
      </w:pPr>
    </w:p>
    <w:p>
      <w:pPr>
        <w:spacing w:afterLines="50" w:line="400" w:lineRule="exact"/>
        <w:jc w:val="center"/>
        <w:rPr>
          <w:rFonts w:hint="eastAsia" w:ascii="黑体" w:hAnsi="黑体" w:eastAsia="黑体" w:cs="黑体"/>
          <w:sz w:val="30"/>
          <w:szCs w:val="30"/>
        </w:rPr>
      </w:pPr>
    </w:p>
    <w:p>
      <w:pPr>
        <w:spacing w:afterLines="50" w:line="400" w:lineRule="exact"/>
        <w:jc w:val="center"/>
        <w:rPr>
          <w:rFonts w:hint="eastAsia" w:ascii="黑体" w:hAnsi="黑体" w:eastAsia="黑体" w:cs="黑体"/>
          <w:sz w:val="30"/>
          <w:szCs w:val="30"/>
        </w:rPr>
      </w:pPr>
    </w:p>
    <w:p>
      <w:pPr>
        <w:spacing w:afterLines="50" w:line="400" w:lineRule="exact"/>
        <w:jc w:val="center"/>
        <w:rPr>
          <w:rFonts w:hint="eastAsia" w:ascii="黑体" w:hAnsi="黑体" w:eastAsia="黑体" w:cs="黑体"/>
          <w:sz w:val="30"/>
          <w:szCs w:val="30"/>
        </w:rPr>
      </w:pPr>
    </w:p>
    <w:p>
      <w:pPr>
        <w:spacing w:afterLines="50" w:line="400" w:lineRule="exact"/>
        <w:jc w:val="center"/>
        <w:rPr>
          <w:rFonts w:hint="eastAsia" w:ascii="黑体" w:hAnsi="黑体" w:eastAsia="黑体" w:cs="黑体"/>
          <w:sz w:val="30"/>
          <w:szCs w:val="30"/>
        </w:rPr>
      </w:pPr>
    </w:p>
    <w:p>
      <w:pPr>
        <w:spacing w:afterLines="50" w:line="400" w:lineRule="exact"/>
        <w:jc w:val="center"/>
        <w:rPr>
          <w:rFonts w:hint="eastAsia" w:ascii="黑体" w:hAnsi="黑体" w:eastAsia="黑体" w:cs="黑体"/>
          <w:sz w:val="30"/>
          <w:szCs w:val="30"/>
        </w:rPr>
      </w:pPr>
    </w:p>
    <w:p>
      <w:pPr>
        <w:spacing w:afterLines="50" w:line="400" w:lineRule="exact"/>
        <w:jc w:val="center"/>
        <w:rPr>
          <w:rFonts w:hint="eastAsia" w:ascii="黑体" w:hAnsi="黑体" w:eastAsia="黑体" w:cs="黑体"/>
          <w:sz w:val="30"/>
          <w:szCs w:val="30"/>
        </w:rPr>
      </w:pPr>
    </w:p>
    <w:p>
      <w:pPr>
        <w:spacing w:afterLines="50" w:line="400" w:lineRule="exact"/>
        <w:jc w:val="center"/>
        <w:rPr>
          <w:rFonts w:hint="eastAsia" w:ascii="黑体" w:hAnsi="黑体" w:eastAsia="黑体" w:cs="黑体"/>
          <w:sz w:val="30"/>
          <w:szCs w:val="30"/>
        </w:rPr>
      </w:pPr>
    </w:p>
    <w:p>
      <w:pPr>
        <w:spacing w:afterLines="50" w:line="400" w:lineRule="exact"/>
        <w:jc w:val="center"/>
        <w:rPr>
          <w:rFonts w:hint="eastAsia" w:ascii="黑体" w:hAnsi="黑体" w:eastAsia="黑体" w:cs="黑体"/>
          <w:sz w:val="30"/>
          <w:szCs w:val="30"/>
        </w:rPr>
      </w:pPr>
    </w:p>
    <w:p>
      <w:pPr>
        <w:pStyle w:val="2"/>
        <w:rPr>
          <w:rFonts w:hint="eastAsia" w:ascii="黑体" w:hAnsi="黑体" w:eastAsia="黑体" w:cs="黑体"/>
          <w:sz w:val="30"/>
          <w:szCs w:val="30"/>
        </w:rPr>
      </w:pPr>
    </w:p>
    <w:p>
      <w:pPr>
        <w:rPr>
          <w:rFonts w:hint="eastAsia" w:ascii="黑体" w:hAnsi="黑体" w:eastAsia="黑体" w:cs="黑体"/>
          <w:sz w:val="30"/>
          <w:szCs w:val="30"/>
        </w:rPr>
      </w:pPr>
    </w:p>
    <w:p>
      <w:pPr>
        <w:pStyle w:val="2"/>
        <w:rPr>
          <w:rFonts w:hint="eastAsia" w:ascii="黑体" w:hAnsi="黑体" w:eastAsia="黑体" w:cs="黑体"/>
          <w:sz w:val="30"/>
          <w:szCs w:val="30"/>
        </w:rPr>
      </w:pPr>
    </w:p>
    <w:p>
      <w:pPr>
        <w:rPr>
          <w:rFonts w:hint="eastAsia" w:ascii="黑体" w:hAnsi="黑体" w:eastAsia="黑体" w:cs="黑体"/>
          <w:sz w:val="30"/>
          <w:szCs w:val="30"/>
        </w:rPr>
      </w:pPr>
    </w:p>
    <w:p>
      <w:pPr>
        <w:pStyle w:val="2"/>
        <w:rPr>
          <w:rFonts w:hint="eastAsia" w:ascii="黑体" w:hAnsi="黑体" w:eastAsia="黑体" w:cs="黑体"/>
          <w:sz w:val="30"/>
          <w:szCs w:val="30"/>
        </w:rPr>
      </w:pPr>
    </w:p>
    <w:p>
      <w:pPr>
        <w:rPr>
          <w:rFonts w:hint="eastAsia" w:ascii="黑体" w:hAnsi="黑体" w:eastAsia="黑体" w:cs="黑体"/>
          <w:sz w:val="30"/>
          <w:szCs w:val="30"/>
        </w:rPr>
      </w:pPr>
    </w:p>
    <w:p>
      <w:pPr>
        <w:pStyle w:val="2"/>
        <w:rPr>
          <w:rFonts w:hint="eastAsia" w:ascii="黑体" w:hAnsi="黑体" w:eastAsia="黑体" w:cs="黑体"/>
          <w:sz w:val="30"/>
          <w:szCs w:val="30"/>
        </w:rPr>
      </w:pPr>
    </w:p>
    <w:p>
      <w:pPr>
        <w:rPr>
          <w:rFonts w:hint="eastAsia" w:ascii="黑体" w:hAnsi="黑体" w:eastAsia="黑体" w:cs="黑体"/>
          <w:sz w:val="30"/>
          <w:szCs w:val="30"/>
        </w:rPr>
      </w:pPr>
    </w:p>
    <w:p>
      <w:pPr>
        <w:pStyle w:val="2"/>
        <w:rPr>
          <w:rFonts w:hint="eastAsia"/>
        </w:rPr>
      </w:pPr>
      <w:bookmarkStart w:id="0" w:name="_GoBack"/>
      <w:bookmarkEnd w:id="0"/>
    </w:p>
    <w:p>
      <w:pPr>
        <w:spacing w:afterLines="50" w:line="400" w:lineRule="exact"/>
        <w:jc w:val="center"/>
        <w:rPr>
          <w:rFonts w:hint="eastAsia" w:ascii="黑体" w:hAnsi="黑体" w:eastAsia="黑体" w:cs="黑体"/>
          <w:sz w:val="30"/>
          <w:szCs w:val="30"/>
        </w:rPr>
      </w:pPr>
    </w:p>
    <w:p>
      <w:pPr>
        <w:spacing w:afterLines="50" w:line="400" w:lineRule="exact"/>
        <w:jc w:val="center"/>
        <w:rPr>
          <w:rFonts w:hint="eastAsia" w:ascii="黑体" w:hAnsi="黑体" w:eastAsia="黑体" w:cs="黑体"/>
          <w:sz w:val="30"/>
          <w:szCs w:val="30"/>
        </w:rPr>
      </w:pPr>
      <w:r>
        <w:rPr>
          <w:rFonts w:hint="eastAsia" w:ascii="黑体" w:hAnsi="黑体" w:eastAsia="黑体" w:cs="黑体"/>
          <w:sz w:val="30"/>
          <w:szCs w:val="30"/>
        </w:rPr>
        <w:t>202</w:t>
      </w:r>
      <w:r>
        <w:rPr>
          <w:rFonts w:hint="eastAsia" w:ascii="黑体" w:hAnsi="黑体" w:eastAsia="黑体" w:cs="黑体"/>
          <w:sz w:val="30"/>
          <w:szCs w:val="30"/>
          <w:lang w:val="en-US" w:eastAsia="zh-CN"/>
        </w:rPr>
        <w:t>1</w:t>
      </w:r>
      <w:r>
        <w:rPr>
          <w:rFonts w:hint="eastAsia" w:ascii="黑体" w:hAnsi="黑体" w:eastAsia="黑体" w:cs="黑体"/>
          <w:sz w:val="30"/>
          <w:szCs w:val="30"/>
        </w:rPr>
        <w:t>年度项目支出绩效自评指标计分表</w:t>
      </w:r>
    </w:p>
    <w:tbl>
      <w:tblPr>
        <w:tblStyle w:val="5"/>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454"/>
        <w:gridCol w:w="834"/>
        <w:gridCol w:w="540"/>
        <w:gridCol w:w="2625"/>
        <w:gridCol w:w="4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43"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454"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834"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540" w:type="dxa"/>
          </w:tcPr>
          <w:p>
            <w:pPr>
              <w:spacing w:line="240" w:lineRule="exact"/>
              <w:jc w:val="center"/>
              <w:rPr>
                <w:rFonts w:ascii="宋体"/>
                <w:b/>
                <w:bCs/>
              </w:rPr>
            </w:pPr>
            <w:r>
              <w:rPr>
                <w:rFonts w:hint="eastAsia" w:ascii="宋体" w:hAnsi="宋体" w:cs="宋体"/>
                <w:b/>
                <w:bCs/>
              </w:rPr>
              <w:t>自评分</w:t>
            </w:r>
          </w:p>
        </w:tc>
        <w:tc>
          <w:tcPr>
            <w:tcW w:w="2625"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4194"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5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3.8</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543" w:type="dxa"/>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454" w:type="dxa"/>
            <w:vMerge w:val="continue"/>
            <w:tcMar>
              <w:top w:w="10" w:type="dxa"/>
              <w:left w:w="10" w:type="dxa"/>
              <w:bottom w:w="0" w:type="dxa"/>
              <w:right w:w="10" w:type="dxa"/>
            </w:tcMar>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540" w:type="dxa"/>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3.8</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543" w:type="dxa"/>
            <w:vMerge w:val="continue"/>
            <w:vAlign w:val="center"/>
          </w:tcPr>
          <w:p>
            <w:pPr>
              <w:spacing w:line="240" w:lineRule="exact"/>
              <w:rPr>
                <w:rFonts w:ascii="宋体"/>
              </w:rPr>
            </w:pPr>
          </w:p>
        </w:tc>
        <w:tc>
          <w:tcPr>
            <w:tcW w:w="454" w:type="dxa"/>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5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2.8</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5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2.8</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543" w:type="dxa"/>
            <w:vMerge w:val="continue"/>
            <w:vAlign w:val="center"/>
          </w:tcPr>
          <w:p>
            <w:pPr>
              <w:spacing w:line="240" w:lineRule="exact"/>
              <w:rPr>
                <w:rFonts w:ascii="宋体"/>
              </w:rPr>
            </w:pPr>
          </w:p>
        </w:tc>
        <w:tc>
          <w:tcPr>
            <w:tcW w:w="454" w:type="dxa"/>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5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2.9</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4194" w:type="dxa"/>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5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2.9</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543" w:type="dxa"/>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5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实际到位资金：一定时期（本年度或预算支出期）内落实到具体预算支出的资金。</w:t>
            </w:r>
            <w:r>
              <w:rPr>
                <w:rFonts w:ascii="宋体"/>
              </w:rPr>
              <w:br w:type="textWrapping"/>
            </w: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543" w:type="dxa"/>
            <w:vMerge w:val="continue"/>
            <w:vAlign w:val="center"/>
          </w:tcPr>
          <w:p>
            <w:pPr>
              <w:spacing w:line="240" w:lineRule="exact"/>
              <w:jc w:val="center"/>
              <w:rPr>
                <w:rFonts w:ascii="宋体"/>
              </w:rPr>
            </w:pPr>
          </w:p>
        </w:tc>
        <w:tc>
          <w:tcPr>
            <w:tcW w:w="454" w:type="dxa"/>
            <w:vMerge w:val="continue"/>
            <w:tcMar>
              <w:top w:w="10" w:type="dxa"/>
              <w:left w:w="10" w:type="dxa"/>
              <w:bottom w:w="0" w:type="dxa"/>
              <w:right w:w="10" w:type="dxa"/>
            </w:tcMar>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540" w:type="dxa"/>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3.8</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jc w:val="center"/>
              <w:rPr>
                <w:rFonts w:ascii="宋体"/>
              </w:rPr>
            </w:pPr>
          </w:p>
        </w:tc>
        <w:tc>
          <w:tcPr>
            <w:tcW w:w="454" w:type="dxa"/>
            <w:vMerge w:val="continue"/>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5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5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3.5</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540" w:type="dxa"/>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543" w:type="dxa"/>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54"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540" w:type="dxa"/>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9.2</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543" w:type="dxa"/>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454"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540" w:type="dxa"/>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9.5</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543" w:type="dxa"/>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54"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540" w:type="dxa"/>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9.8</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0" w:hRule="atLeast"/>
          <w:jc w:val="center"/>
        </w:trPr>
        <w:tc>
          <w:tcPr>
            <w:tcW w:w="543" w:type="dxa"/>
            <w:vMerge w:val="continue"/>
            <w:vAlign w:val="center"/>
          </w:tcPr>
          <w:p>
            <w:pPr>
              <w:spacing w:line="240" w:lineRule="exact"/>
              <w:ind w:left="113"/>
              <w:rPr>
                <w:rFonts w:ascii="宋体"/>
              </w:rPr>
            </w:pPr>
          </w:p>
        </w:tc>
        <w:tc>
          <w:tcPr>
            <w:tcW w:w="454"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540" w:type="dxa"/>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9.5</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540" w:type="dxa"/>
            <w:vAlign w:val="center"/>
          </w:tcPr>
          <w:p>
            <w:pPr>
              <w:spacing w:line="240" w:lineRule="exact"/>
              <w:ind w:left="105" w:leftChars="50" w:right="105" w:rightChars="50"/>
              <w:jc w:val="center"/>
              <w:rPr>
                <w:rFonts w:hint="default" w:ascii="宋体"/>
                <w:lang w:val="en-US" w:eastAsia="zh-CN"/>
              </w:rPr>
            </w:pPr>
            <w:r>
              <w:rPr>
                <w:rFonts w:hint="eastAsia" w:ascii="宋体"/>
                <w:lang w:val="en-US" w:eastAsia="zh-CN"/>
              </w:rPr>
              <w:t>9.5</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540" w:type="dxa"/>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9.5</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spacing w:line="240" w:lineRule="exact"/>
              <w:rPr>
                <w:rFonts w:ascii="宋体"/>
              </w:rPr>
            </w:pPr>
            <w:r>
              <w:rPr>
                <w:rFonts w:hint="eastAsia" w:ascii="宋体" w:hAnsi="宋体" w:cs="宋体"/>
              </w:rPr>
              <w:t>总分</w:t>
            </w:r>
          </w:p>
        </w:tc>
        <w:tc>
          <w:tcPr>
            <w:tcW w:w="454" w:type="dxa"/>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540" w:type="dxa"/>
            <w:vAlign w:val="center"/>
          </w:tcPr>
          <w:p>
            <w:pPr>
              <w:spacing w:line="240" w:lineRule="exact"/>
              <w:ind w:right="105" w:rightChars="50"/>
              <w:jc w:val="center"/>
              <w:rPr>
                <w:rFonts w:hint="default" w:ascii="宋体" w:eastAsia="宋体"/>
                <w:lang w:val="en-US" w:eastAsia="zh-CN"/>
              </w:rPr>
            </w:pPr>
            <w:r>
              <w:rPr>
                <w:rFonts w:hint="eastAsia" w:ascii="宋体"/>
                <w:lang w:val="en-US" w:eastAsia="zh-CN"/>
              </w:rPr>
              <w:t>95.3</w:t>
            </w:r>
          </w:p>
        </w:tc>
        <w:tc>
          <w:tcPr>
            <w:tcW w:w="2625" w:type="dxa"/>
            <w:tcMar>
              <w:top w:w="10" w:type="dxa"/>
              <w:left w:w="10" w:type="dxa"/>
              <w:bottom w:w="0" w:type="dxa"/>
              <w:right w:w="10" w:type="dxa"/>
            </w:tcMar>
            <w:vAlign w:val="center"/>
          </w:tcPr>
          <w:p>
            <w:pPr>
              <w:spacing w:line="240" w:lineRule="exact"/>
              <w:ind w:left="105" w:leftChars="50" w:right="105" w:rightChars="50"/>
              <w:rPr>
                <w:rFonts w:ascii="宋体"/>
              </w:rPr>
            </w:pP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p>
        </w:tc>
      </w:tr>
    </w:tbl>
    <w:p>
      <w:pPr>
        <w:pStyle w:val="2"/>
      </w:pPr>
    </w:p>
    <w:p/>
    <w:sectPr>
      <w:pgSz w:w="11906" w:h="16838"/>
      <w:pgMar w:top="1134" w:right="1531" w:bottom="113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roman"/>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5DC55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auto"/>
      <w:ind w:left="0" w:right="0" w:firstLine="0"/>
      <w:jc w:val="both"/>
      <w:textAlignment w:val="auto"/>
      <w:outlineLvl w:val="9"/>
    </w:pPr>
    <w:rPr>
      <w:rFonts w:ascii="Times New Roman" w:hAnsi="Times New Roman" w:eastAsia="宋体"/>
      <w:snapToGrid/>
      <w:color w:val="auto"/>
      <w:spacing w:val="0"/>
      <w:w w:val="100"/>
      <w:kern w:val="2"/>
      <w:position w:val="0"/>
      <w:sz w:val="21"/>
      <w:u w:val="none" w:color="auto"/>
      <w:vertAlign w:val="baseline"/>
      <w:lang w:val="en-US" w:eastAsia="zh-CN"/>
    </w:rPr>
  </w:style>
  <w:style w:type="paragraph" w:styleId="4">
    <w:name w:val="Normal (Web)"/>
    <w:basedOn w:val="1"/>
    <w:qFormat/>
    <w:uiPriority w:val="99"/>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2023-06-26T11:46:55Z</dcterms:created>
  <dc:creator>admin-3</dc:creator>
  <cp:lastModifiedBy>admin-3</cp:lastModifiedBy>
  <dcterms:modified xsi:type="dcterms:W3CDTF">2023-06-26T11:47:10Z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6782F5D936C74F1AB2ED45AAA3173CAA_12</vt:lpwstr>
  </property>
</Properties>
</file>