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307" w:rsidRDefault="00277CC9">
      <w:pPr>
        <w:spacing w:line="600" w:lineRule="exact"/>
        <w:jc w:val="center"/>
        <w:rPr>
          <w:rFonts w:ascii="黑体" w:eastAsia="黑体" w:hAnsi="黑体" w:cs="黑体"/>
          <w:bCs/>
          <w:color w:val="000000"/>
          <w:kern w:val="0"/>
          <w:sz w:val="36"/>
          <w:szCs w:val="36"/>
        </w:rPr>
      </w:pPr>
      <w:r>
        <w:rPr>
          <w:rFonts w:ascii="黑体" w:eastAsia="黑体" w:hAnsi="黑体" w:cs="黑体" w:hint="eastAsia"/>
          <w:bCs/>
          <w:color w:val="000000"/>
          <w:kern w:val="0"/>
          <w:sz w:val="36"/>
          <w:szCs w:val="36"/>
        </w:rPr>
        <w:t>益阳市赫山街道办事处</w:t>
      </w:r>
      <w:r>
        <w:rPr>
          <w:rFonts w:ascii="黑体" w:eastAsia="黑体" w:hAnsi="黑体" w:cs="黑体" w:hint="eastAsia"/>
          <w:bCs/>
          <w:color w:val="000000"/>
          <w:kern w:val="0"/>
          <w:sz w:val="36"/>
          <w:szCs w:val="36"/>
        </w:rPr>
        <w:t>2021</w:t>
      </w:r>
      <w:r>
        <w:rPr>
          <w:rFonts w:ascii="黑体" w:eastAsia="黑体" w:hAnsi="黑体" w:cs="黑体" w:hint="eastAsia"/>
          <w:bCs/>
          <w:color w:val="000000"/>
          <w:kern w:val="0"/>
          <w:sz w:val="36"/>
          <w:szCs w:val="36"/>
        </w:rPr>
        <w:t>年度</w:t>
      </w:r>
      <w:r>
        <w:rPr>
          <w:rFonts w:ascii="黑体" w:eastAsia="黑体" w:hAnsi="黑体" w:cs="黑体" w:hint="eastAsia"/>
          <w:bCs/>
          <w:color w:val="000000"/>
          <w:kern w:val="0"/>
          <w:sz w:val="36"/>
          <w:szCs w:val="36"/>
        </w:rPr>
        <w:t>部门</w:t>
      </w:r>
    </w:p>
    <w:p w:rsidR="00097307" w:rsidRDefault="00277CC9">
      <w:pPr>
        <w:spacing w:line="600" w:lineRule="exact"/>
        <w:jc w:val="center"/>
        <w:rPr>
          <w:rFonts w:ascii="黑体" w:eastAsia="黑体" w:hAnsi="黑体" w:cs="黑体"/>
          <w:bCs/>
          <w:color w:val="000000"/>
          <w:kern w:val="0"/>
          <w:sz w:val="36"/>
          <w:szCs w:val="36"/>
        </w:rPr>
      </w:pPr>
      <w:r>
        <w:rPr>
          <w:rFonts w:ascii="黑体" w:eastAsia="黑体" w:hAnsi="黑体" w:cs="黑体" w:hint="eastAsia"/>
          <w:bCs/>
          <w:color w:val="000000"/>
          <w:kern w:val="0"/>
          <w:sz w:val="36"/>
          <w:szCs w:val="36"/>
        </w:rPr>
        <w:t>整体支出绩效评价报告</w:t>
      </w:r>
    </w:p>
    <w:p w:rsidR="00097307" w:rsidRDefault="00277CC9">
      <w:pPr>
        <w:pStyle w:val="a4"/>
        <w:widowControl/>
        <w:shd w:val="clear" w:color="auto" w:fill="FFFFFF"/>
        <w:spacing w:before="0" w:beforeAutospacing="0" w:after="0" w:afterAutospacing="0" w:line="600" w:lineRule="exact"/>
        <w:ind w:firstLineChars="200" w:firstLine="600"/>
        <w:rPr>
          <w:rFonts w:ascii="仿宋" w:eastAsia="仿宋" w:hAnsi="仿宋" w:cs="仿宋"/>
          <w:color w:val="000000"/>
          <w:sz w:val="30"/>
          <w:szCs w:val="30"/>
          <w:shd w:val="clear" w:color="auto" w:fill="FFFFFF"/>
        </w:rPr>
      </w:pPr>
      <w:r>
        <w:rPr>
          <w:rFonts w:ascii="仿宋" w:eastAsia="仿宋" w:hAnsi="仿宋" w:cs="仿宋" w:hint="eastAsia"/>
          <w:color w:val="000000"/>
          <w:sz w:val="30"/>
          <w:szCs w:val="30"/>
          <w:shd w:val="clear" w:color="auto" w:fill="FFFFFF"/>
        </w:rPr>
        <w:t>为进一步规范财政资金管理，牢固树立预算绩效理念，强化部门支出责任，提高财政资金使用效益，根据《中共中央</w:t>
      </w:r>
      <w:r>
        <w:rPr>
          <w:rFonts w:ascii="仿宋" w:eastAsia="仿宋" w:hAnsi="仿宋" w:cs="仿宋" w:hint="eastAsia"/>
          <w:color w:val="000000"/>
          <w:sz w:val="30"/>
          <w:szCs w:val="30"/>
          <w:shd w:val="clear" w:color="auto" w:fill="FFFFFF"/>
        </w:rPr>
        <w:t xml:space="preserve"> </w:t>
      </w:r>
      <w:r>
        <w:rPr>
          <w:rFonts w:ascii="仿宋" w:eastAsia="仿宋" w:hAnsi="仿宋" w:cs="仿宋" w:hint="eastAsia"/>
          <w:color w:val="000000"/>
          <w:sz w:val="30"/>
          <w:szCs w:val="30"/>
          <w:shd w:val="clear" w:color="auto" w:fill="FFFFFF"/>
        </w:rPr>
        <w:t>国务院关于全面实施预算绩效管理的意见》（中发〔</w:t>
      </w:r>
      <w:r>
        <w:rPr>
          <w:rFonts w:ascii="仿宋" w:eastAsia="仿宋" w:hAnsi="仿宋" w:cs="仿宋" w:hint="eastAsia"/>
          <w:color w:val="000000"/>
          <w:sz w:val="30"/>
          <w:szCs w:val="30"/>
          <w:shd w:val="clear" w:color="auto" w:fill="FFFFFF"/>
        </w:rPr>
        <w:t>2018</w:t>
      </w:r>
      <w:r>
        <w:rPr>
          <w:rFonts w:ascii="仿宋" w:eastAsia="仿宋" w:hAnsi="仿宋" w:cs="仿宋" w:hint="eastAsia"/>
          <w:color w:val="000000"/>
          <w:sz w:val="30"/>
          <w:szCs w:val="30"/>
          <w:shd w:val="clear" w:color="auto" w:fill="FFFFFF"/>
        </w:rPr>
        <w:t>〕</w:t>
      </w:r>
      <w:r>
        <w:rPr>
          <w:rFonts w:ascii="仿宋" w:eastAsia="仿宋" w:hAnsi="仿宋" w:cs="仿宋" w:hint="eastAsia"/>
          <w:color w:val="000000"/>
          <w:sz w:val="30"/>
          <w:szCs w:val="30"/>
          <w:shd w:val="clear" w:color="auto" w:fill="FFFFFF"/>
        </w:rPr>
        <w:t>34</w:t>
      </w:r>
      <w:r>
        <w:rPr>
          <w:rFonts w:ascii="仿宋" w:eastAsia="仿宋" w:hAnsi="仿宋" w:cs="仿宋" w:hint="eastAsia"/>
          <w:color w:val="000000"/>
          <w:sz w:val="30"/>
          <w:szCs w:val="30"/>
          <w:shd w:val="clear" w:color="auto" w:fill="FFFFFF"/>
        </w:rPr>
        <w:t>号）和《中共湖南省委办公厅</w:t>
      </w:r>
      <w:r>
        <w:rPr>
          <w:rFonts w:ascii="仿宋" w:eastAsia="仿宋" w:hAnsi="仿宋" w:cs="仿宋" w:hint="eastAsia"/>
          <w:color w:val="000000"/>
          <w:sz w:val="30"/>
          <w:szCs w:val="30"/>
          <w:shd w:val="clear" w:color="auto" w:fill="FFFFFF"/>
        </w:rPr>
        <w:t xml:space="preserve"> </w:t>
      </w:r>
      <w:r>
        <w:rPr>
          <w:rFonts w:ascii="仿宋" w:eastAsia="仿宋" w:hAnsi="仿宋" w:cs="仿宋" w:hint="eastAsia"/>
          <w:color w:val="000000"/>
          <w:sz w:val="30"/>
          <w:szCs w:val="30"/>
          <w:shd w:val="clear" w:color="auto" w:fill="FFFFFF"/>
        </w:rPr>
        <w:t>湖南省人民政府办公厅关于全面实施预算绩效管理的实施意见》（湘政发〔</w:t>
      </w:r>
      <w:r>
        <w:rPr>
          <w:rFonts w:ascii="仿宋" w:eastAsia="仿宋" w:hAnsi="仿宋" w:cs="仿宋" w:hint="eastAsia"/>
          <w:color w:val="000000"/>
          <w:sz w:val="30"/>
          <w:szCs w:val="30"/>
          <w:shd w:val="clear" w:color="auto" w:fill="FFFFFF"/>
        </w:rPr>
        <w:t>2019</w:t>
      </w:r>
      <w:r>
        <w:rPr>
          <w:rFonts w:ascii="仿宋" w:eastAsia="仿宋" w:hAnsi="仿宋" w:cs="仿宋" w:hint="eastAsia"/>
          <w:color w:val="000000"/>
          <w:sz w:val="30"/>
          <w:szCs w:val="30"/>
          <w:shd w:val="clear" w:color="auto" w:fill="FFFFFF"/>
        </w:rPr>
        <w:t>〕</w:t>
      </w:r>
      <w:r>
        <w:rPr>
          <w:rFonts w:ascii="仿宋" w:eastAsia="仿宋" w:hAnsi="仿宋" w:cs="仿宋" w:hint="eastAsia"/>
          <w:color w:val="000000"/>
          <w:sz w:val="30"/>
          <w:szCs w:val="30"/>
          <w:shd w:val="clear" w:color="auto" w:fill="FFFFFF"/>
        </w:rPr>
        <w:t>10</w:t>
      </w:r>
      <w:r>
        <w:rPr>
          <w:rFonts w:ascii="仿宋" w:eastAsia="仿宋" w:hAnsi="仿宋" w:cs="仿宋" w:hint="eastAsia"/>
          <w:color w:val="000000"/>
          <w:sz w:val="30"/>
          <w:szCs w:val="30"/>
          <w:shd w:val="clear" w:color="auto" w:fill="FFFFFF"/>
        </w:rPr>
        <w:t>号）等有关文件精神。我单位将认真负责、客观公正地开展</w:t>
      </w:r>
      <w:r>
        <w:rPr>
          <w:rFonts w:ascii="仿宋" w:eastAsia="仿宋" w:hAnsi="仿宋" w:cs="仿宋" w:hint="eastAsia"/>
          <w:color w:val="000000"/>
          <w:sz w:val="30"/>
          <w:szCs w:val="30"/>
          <w:shd w:val="clear" w:color="auto" w:fill="FFFFFF"/>
        </w:rPr>
        <w:t>2021</w:t>
      </w:r>
      <w:r>
        <w:rPr>
          <w:rFonts w:ascii="仿宋" w:eastAsia="仿宋" w:hAnsi="仿宋" w:cs="仿宋" w:hint="eastAsia"/>
          <w:color w:val="000000"/>
          <w:sz w:val="30"/>
          <w:szCs w:val="30"/>
          <w:shd w:val="clear" w:color="auto" w:fill="FFFFFF"/>
        </w:rPr>
        <w:t>年度部门整体支出绩效自评工作，现将相关情况报告如下：</w:t>
      </w:r>
    </w:p>
    <w:p w:rsidR="00097307" w:rsidRDefault="00277CC9">
      <w:pPr>
        <w:pStyle w:val="a4"/>
        <w:widowControl/>
        <w:shd w:val="clear" w:color="auto" w:fill="FFFFFF"/>
        <w:spacing w:before="0" w:beforeAutospacing="0" w:after="0" w:afterAutospacing="0" w:line="600" w:lineRule="exact"/>
        <w:ind w:firstLineChars="200" w:firstLine="600"/>
        <w:rPr>
          <w:rFonts w:ascii="仿宋" w:eastAsia="仿宋" w:hAnsi="仿宋" w:cs="仿宋"/>
          <w:color w:val="000000"/>
          <w:sz w:val="30"/>
          <w:szCs w:val="30"/>
        </w:rPr>
      </w:pPr>
      <w:r>
        <w:rPr>
          <w:rFonts w:ascii="黑体" w:eastAsia="黑体" w:hAnsi="黑体" w:cs="黑体" w:hint="eastAsia"/>
          <w:color w:val="000000"/>
          <w:sz w:val="30"/>
          <w:szCs w:val="30"/>
          <w:shd w:val="clear" w:color="auto" w:fill="FFFFFF"/>
        </w:rPr>
        <w:t>一、部门基本情况</w:t>
      </w:r>
      <w:r>
        <w:rPr>
          <w:rFonts w:ascii="黑体" w:eastAsia="黑体" w:hAnsi="黑体" w:cs="黑体" w:hint="eastAsia"/>
          <w:color w:val="000000"/>
          <w:sz w:val="30"/>
          <w:szCs w:val="30"/>
          <w:shd w:val="clear" w:color="auto" w:fill="FFFFFF"/>
        </w:rPr>
        <w:t>                   </w:t>
      </w:r>
      <w:r>
        <w:rPr>
          <w:rFonts w:ascii="仿宋" w:eastAsia="仿宋" w:hAnsi="仿宋" w:cs="仿宋" w:hint="eastAsia"/>
          <w:color w:val="000000"/>
          <w:sz w:val="30"/>
          <w:szCs w:val="30"/>
          <w:shd w:val="clear" w:color="auto" w:fill="FFFFFF"/>
        </w:rPr>
        <w:t>             </w:t>
      </w:r>
      <w:r>
        <w:rPr>
          <w:rFonts w:ascii="仿宋" w:eastAsia="仿宋" w:hAnsi="仿宋" w:cs="仿宋" w:hint="eastAsia"/>
          <w:color w:val="000000"/>
          <w:sz w:val="30"/>
          <w:szCs w:val="30"/>
          <w:shd w:val="clear" w:color="auto" w:fill="FFFFFF"/>
        </w:rPr>
        <w:t xml:space="preserve">　</w:t>
      </w:r>
    </w:p>
    <w:p w:rsidR="00097307" w:rsidRDefault="00277CC9">
      <w:pPr>
        <w:pStyle w:val="a4"/>
        <w:widowControl/>
        <w:shd w:val="clear" w:color="auto" w:fill="FFFFFF"/>
        <w:spacing w:before="0" w:beforeAutospacing="0" w:after="0" w:afterAutospacing="0" w:line="600" w:lineRule="exact"/>
        <w:ind w:firstLineChars="200" w:firstLine="600"/>
        <w:rPr>
          <w:rFonts w:ascii="仿宋" w:eastAsia="仿宋" w:hAnsi="仿宋" w:cs="仿宋"/>
          <w:color w:val="000000"/>
          <w:sz w:val="30"/>
          <w:szCs w:val="30"/>
          <w:shd w:val="clear" w:color="auto" w:fill="FFFFFF"/>
        </w:rPr>
      </w:pPr>
      <w:r>
        <w:rPr>
          <w:rFonts w:ascii="仿宋" w:eastAsia="仿宋" w:hAnsi="仿宋" w:cs="仿宋" w:hint="eastAsia"/>
          <w:color w:val="000000"/>
          <w:sz w:val="30"/>
          <w:szCs w:val="30"/>
          <w:shd w:val="clear" w:color="auto" w:fill="FFFFFF"/>
        </w:rPr>
        <w:t>益阳市赫山区赫山街道办事处系正科级行政机关，总面积</w:t>
      </w:r>
      <w:r>
        <w:rPr>
          <w:rFonts w:ascii="仿宋" w:eastAsia="仿宋" w:hAnsi="仿宋" w:cs="仿宋" w:hint="eastAsia"/>
          <w:color w:val="000000"/>
          <w:sz w:val="30"/>
          <w:szCs w:val="30"/>
          <w:shd w:val="clear" w:color="auto" w:fill="FFFFFF"/>
        </w:rPr>
        <w:t>27.8</w:t>
      </w:r>
      <w:r>
        <w:rPr>
          <w:rFonts w:ascii="仿宋" w:eastAsia="仿宋" w:hAnsi="仿宋" w:cs="仿宋" w:hint="eastAsia"/>
          <w:color w:val="000000"/>
          <w:sz w:val="30"/>
          <w:szCs w:val="30"/>
          <w:shd w:val="clear" w:color="auto" w:fill="FFFFFF"/>
        </w:rPr>
        <w:t>平方公里，人口</w:t>
      </w:r>
      <w:r>
        <w:rPr>
          <w:rFonts w:ascii="仿宋" w:eastAsia="仿宋" w:hAnsi="仿宋" w:cs="仿宋" w:hint="eastAsia"/>
          <w:color w:val="000000"/>
          <w:sz w:val="30"/>
          <w:szCs w:val="30"/>
          <w:shd w:val="clear" w:color="auto" w:fill="FFFFFF"/>
        </w:rPr>
        <w:t>14.1</w:t>
      </w:r>
      <w:r>
        <w:rPr>
          <w:rFonts w:ascii="仿宋" w:eastAsia="仿宋" w:hAnsi="仿宋" w:cs="仿宋" w:hint="eastAsia"/>
          <w:color w:val="000000"/>
          <w:sz w:val="30"/>
          <w:szCs w:val="30"/>
          <w:shd w:val="clear" w:color="auto" w:fill="FFFFFF"/>
        </w:rPr>
        <w:t>万，下辖</w:t>
      </w:r>
      <w:r>
        <w:rPr>
          <w:rFonts w:ascii="仿宋" w:eastAsia="仿宋" w:hAnsi="仿宋" w:cs="仿宋" w:hint="eastAsia"/>
          <w:color w:val="000000"/>
          <w:sz w:val="30"/>
          <w:szCs w:val="30"/>
          <w:shd w:val="clear" w:color="auto" w:fill="FFFFFF"/>
        </w:rPr>
        <w:t>15</w:t>
      </w:r>
      <w:r>
        <w:rPr>
          <w:rFonts w:ascii="仿宋" w:eastAsia="仿宋" w:hAnsi="仿宋" w:cs="仿宋" w:hint="eastAsia"/>
          <w:color w:val="000000"/>
          <w:sz w:val="30"/>
          <w:szCs w:val="30"/>
          <w:shd w:val="clear" w:color="auto" w:fill="FFFFFF"/>
        </w:rPr>
        <w:t>个社区。街道设党政办公室、党建办公室、经济发展办公室、社会事务办公室、自然资源和生态环境办公室、社会治安和应急管理办公室、财政所等</w:t>
      </w:r>
      <w:r>
        <w:rPr>
          <w:rFonts w:ascii="仿宋" w:eastAsia="仿宋" w:hAnsi="仿宋" w:cs="仿宋" w:hint="eastAsia"/>
          <w:color w:val="000000"/>
          <w:sz w:val="30"/>
          <w:szCs w:val="30"/>
          <w:shd w:val="clear" w:color="auto" w:fill="FFFFFF"/>
        </w:rPr>
        <w:t>7</w:t>
      </w:r>
      <w:r>
        <w:rPr>
          <w:rFonts w:ascii="仿宋" w:eastAsia="仿宋" w:hAnsi="仿宋" w:cs="仿宋" w:hint="eastAsia"/>
          <w:color w:val="000000"/>
          <w:sz w:val="30"/>
          <w:szCs w:val="30"/>
          <w:shd w:val="clear" w:color="auto" w:fill="FFFFFF"/>
        </w:rPr>
        <w:t>个内设机构，设社会事务综合服务中心、农业综合服务中心、党群和政务服务中心、退役军人服务站、综合行政执法大队等</w:t>
      </w:r>
      <w:r>
        <w:rPr>
          <w:rFonts w:ascii="仿宋" w:eastAsia="仿宋" w:hAnsi="仿宋" w:cs="仿宋" w:hint="eastAsia"/>
          <w:color w:val="000000"/>
          <w:sz w:val="30"/>
          <w:szCs w:val="30"/>
          <w:shd w:val="clear" w:color="auto" w:fill="FFFFFF"/>
        </w:rPr>
        <w:t>5</w:t>
      </w:r>
      <w:r>
        <w:rPr>
          <w:rFonts w:ascii="仿宋" w:eastAsia="仿宋" w:hAnsi="仿宋" w:cs="仿宋" w:hint="eastAsia"/>
          <w:color w:val="000000"/>
          <w:sz w:val="30"/>
          <w:szCs w:val="30"/>
          <w:shd w:val="clear" w:color="auto" w:fill="FFFFFF"/>
        </w:rPr>
        <w:t>个事业单位。目前，在职编制人数：</w:t>
      </w:r>
      <w:r>
        <w:rPr>
          <w:rFonts w:ascii="仿宋" w:eastAsia="仿宋" w:hAnsi="仿宋" w:cs="仿宋" w:hint="eastAsia"/>
          <w:color w:val="000000"/>
          <w:sz w:val="30"/>
          <w:szCs w:val="30"/>
          <w:shd w:val="clear" w:color="auto" w:fill="FFFFFF"/>
        </w:rPr>
        <w:t>77</w:t>
      </w:r>
      <w:r>
        <w:rPr>
          <w:rFonts w:ascii="仿宋" w:eastAsia="仿宋" w:hAnsi="仿宋" w:cs="仿宋" w:hint="eastAsia"/>
          <w:color w:val="000000"/>
          <w:sz w:val="30"/>
          <w:szCs w:val="30"/>
          <w:shd w:val="clear" w:color="auto" w:fill="FFFFFF"/>
        </w:rPr>
        <w:t>人（行政</w:t>
      </w:r>
      <w:r>
        <w:rPr>
          <w:rFonts w:ascii="仿宋" w:eastAsia="仿宋" w:hAnsi="仿宋" w:cs="仿宋" w:hint="eastAsia"/>
          <w:color w:val="000000"/>
          <w:sz w:val="30"/>
          <w:szCs w:val="30"/>
          <w:shd w:val="clear" w:color="auto" w:fill="FFFFFF"/>
        </w:rPr>
        <w:t>40</w:t>
      </w:r>
      <w:r>
        <w:rPr>
          <w:rFonts w:ascii="仿宋" w:eastAsia="仿宋" w:hAnsi="仿宋" w:cs="仿宋" w:hint="eastAsia"/>
          <w:color w:val="000000"/>
          <w:sz w:val="30"/>
          <w:szCs w:val="30"/>
          <w:shd w:val="clear" w:color="auto" w:fill="FFFFFF"/>
        </w:rPr>
        <w:t>，事业</w:t>
      </w:r>
      <w:r>
        <w:rPr>
          <w:rFonts w:ascii="仿宋" w:eastAsia="仿宋" w:hAnsi="仿宋" w:cs="仿宋" w:hint="eastAsia"/>
          <w:color w:val="000000"/>
          <w:sz w:val="30"/>
          <w:szCs w:val="30"/>
          <w:shd w:val="clear" w:color="auto" w:fill="FFFFFF"/>
        </w:rPr>
        <w:t>37</w:t>
      </w:r>
      <w:r>
        <w:rPr>
          <w:rFonts w:ascii="仿宋" w:eastAsia="仿宋" w:hAnsi="仿宋" w:cs="仿宋" w:hint="eastAsia"/>
          <w:color w:val="000000"/>
          <w:sz w:val="30"/>
          <w:szCs w:val="30"/>
          <w:shd w:val="clear" w:color="auto" w:fill="FFFFFF"/>
        </w:rPr>
        <w:t>），退休</w:t>
      </w:r>
      <w:r>
        <w:rPr>
          <w:rFonts w:ascii="仿宋" w:eastAsia="仿宋" w:hAnsi="仿宋" w:cs="仿宋" w:hint="eastAsia"/>
          <w:color w:val="000000"/>
          <w:sz w:val="30"/>
          <w:szCs w:val="30"/>
          <w:shd w:val="clear" w:color="auto" w:fill="FFFFFF"/>
        </w:rPr>
        <w:t>65</w:t>
      </w:r>
      <w:r>
        <w:rPr>
          <w:rFonts w:ascii="仿宋" w:eastAsia="仿宋" w:hAnsi="仿宋" w:cs="仿宋" w:hint="eastAsia"/>
          <w:color w:val="000000"/>
          <w:sz w:val="30"/>
          <w:szCs w:val="30"/>
          <w:shd w:val="clear" w:color="auto" w:fill="FFFFFF"/>
        </w:rPr>
        <w:t>人（行政</w:t>
      </w:r>
      <w:r>
        <w:rPr>
          <w:rFonts w:ascii="仿宋" w:eastAsia="仿宋" w:hAnsi="仿宋" w:cs="仿宋" w:hint="eastAsia"/>
          <w:color w:val="000000"/>
          <w:sz w:val="30"/>
          <w:szCs w:val="30"/>
          <w:shd w:val="clear" w:color="auto" w:fill="FFFFFF"/>
        </w:rPr>
        <w:t>35</w:t>
      </w:r>
      <w:r>
        <w:rPr>
          <w:rFonts w:ascii="仿宋" w:eastAsia="仿宋" w:hAnsi="仿宋" w:cs="仿宋" w:hint="eastAsia"/>
          <w:color w:val="000000"/>
          <w:sz w:val="30"/>
          <w:szCs w:val="30"/>
          <w:shd w:val="clear" w:color="auto" w:fill="FFFFFF"/>
        </w:rPr>
        <w:t>，事业</w:t>
      </w:r>
      <w:r>
        <w:rPr>
          <w:rFonts w:ascii="仿宋" w:eastAsia="仿宋" w:hAnsi="仿宋" w:cs="仿宋" w:hint="eastAsia"/>
          <w:color w:val="000000"/>
          <w:sz w:val="30"/>
          <w:szCs w:val="30"/>
          <w:shd w:val="clear" w:color="auto" w:fill="FFFFFF"/>
        </w:rPr>
        <w:t>30</w:t>
      </w:r>
      <w:r>
        <w:rPr>
          <w:rFonts w:ascii="仿宋" w:eastAsia="仿宋" w:hAnsi="仿宋" w:cs="仿宋" w:hint="eastAsia"/>
          <w:color w:val="000000"/>
          <w:sz w:val="30"/>
          <w:szCs w:val="30"/>
          <w:shd w:val="clear" w:color="auto" w:fill="FFFFFF"/>
        </w:rPr>
        <w:t>），分流</w:t>
      </w:r>
      <w:r>
        <w:rPr>
          <w:rFonts w:ascii="仿宋" w:eastAsia="仿宋" w:hAnsi="仿宋" w:cs="仿宋" w:hint="eastAsia"/>
          <w:color w:val="000000"/>
          <w:sz w:val="30"/>
          <w:szCs w:val="30"/>
          <w:shd w:val="clear" w:color="auto" w:fill="FFFFFF"/>
        </w:rPr>
        <w:t>24</w:t>
      </w:r>
      <w:r>
        <w:rPr>
          <w:rFonts w:ascii="仿宋" w:eastAsia="仿宋" w:hAnsi="仿宋" w:cs="仿宋" w:hint="eastAsia"/>
          <w:color w:val="000000"/>
          <w:sz w:val="30"/>
          <w:szCs w:val="30"/>
          <w:shd w:val="clear" w:color="auto" w:fill="FFFFFF"/>
        </w:rPr>
        <w:t>人，遗属人员</w:t>
      </w:r>
      <w:r>
        <w:rPr>
          <w:rFonts w:ascii="仿宋" w:eastAsia="仿宋" w:hAnsi="仿宋" w:cs="仿宋" w:hint="eastAsia"/>
          <w:color w:val="000000"/>
          <w:sz w:val="30"/>
          <w:szCs w:val="30"/>
          <w:shd w:val="clear" w:color="auto" w:fill="FFFFFF"/>
        </w:rPr>
        <w:t>3</w:t>
      </w:r>
      <w:r>
        <w:rPr>
          <w:rFonts w:ascii="仿宋" w:eastAsia="仿宋" w:hAnsi="仿宋" w:cs="仿宋" w:hint="eastAsia"/>
          <w:color w:val="000000"/>
          <w:sz w:val="30"/>
          <w:szCs w:val="30"/>
          <w:shd w:val="clear" w:color="auto" w:fill="FFFFFF"/>
        </w:rPr>
        <w:t>人。</w:t>
      </w:r>
    </w:p>
    <w:p w:rsidR="00097307" w:rsidRDefault="00277CC9">
      <w:pPr>
        <w:pStyle w:val="a4"/>
        <w:widowControl/>
        <w:shd w:val="clear" w:color="auto" w:fill="FFFFFF"/>
        <w:spacing w:before="0" w:beforeAutospacing="0" w:after="0" w:afterAutospacing="0"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shd w:val="clear" w:color="auto" w:fill="FFFFFF"/>
        </w:rPr>
        <w:t>赫山街道的主要职责是：制</w:t>
      </w:r>
      <w:r>
        <w:rPr>
          <w:rFonts w:ascii="仿宋" w:eastAsia="仿宋" w:hAnsi="仿宋" w:cs="仿宋" w:hint="eastAsia"/>
          <w:color w:val="000000"/>
          <w:sz w:val="30"/>
          <w:szCs w:val="30"/>
          <w:shd w:val="clear" w:color="auto" w:fill="FFFFFF"/>
        </w:rPr>
        <w:t>定和组织实施经济、科技和社会发展计划，制定产业结构调整方案，组织指导好各业生产，抓好招商引资和立项争资，促进经济发展；制定并组织实施和部署重</w:t>
      </w:r>
      <w:r>
        <w:rPr>
          <w:rFonts w:ascii="仿宋" w:eastAsia="仿宋" w:hAnsi="仿宋" w:cs="仿宋" w:hint="eastAsia"/>
          <w:color w:val="000000"/>
          <w:sz w:val="30"/>
          <w:szCs w:val="30"/>
          <w:shd w:val="clear" w:color="auto" w:fill="FFFFFF"/>
        </w:rPr>
        <w:lastRenderedPageBreak/>
        <w:t>点工程建设，地方道路建设及公共设施，水利设施的管理，负责土地、水等自然资源和生态环境的保护工作；负责本行政区域内的民政、计划生育、文化教育、卫生、体育等社会公益事业的综合性工作；加强街道财政的监督和管理，执行国家有关财经纪律和政策，做好税收协控联管和私房税收征管工作；抓好精神文明建设，丰富群众文化生活；完成上级政府交办的其他事项。</w:t>
      </w:r>
    </w:p>
    <w:p w:rsidR="00097307" w:rsidRDefault="00277CC9">
      <w:pPr>
        <w:pStyle w:val="a4"/>
        <w:widowControl/>
        <w:shd w:val="clear" w:color="auto" w:fill="FFFFFF"/>
        <w:spacing w:before="0" w:beforeAutospacing="0" w:after="0" w:afterAutospacing="0" w:line="600" w:lineRule="exact"/>
        <w:ind w:firstLineChars="200" w:firstLine="602"/>
        <w:rPr>
          <w:rFonts w:ascii="仿宋" w:eastAsia="仿宋" w:hAnsi="仿宋" w:cs="仿宋"/>
          <w:b/>
          <w:bCs/>
          <w:color w:val="000000"/>
          <w:sz w:val="30"/>
          <w:szCs w:val="30"/>
        </w:rPr>
      </w:pPr>
      <w:r>
        <w:rPr>
          <w:rFonts w:ascii="仿宋" w:eastAsia="仿宋" w:hAnsi="仿宋" w:cs="仿宋" w:hint="eastAsia"/>
          <w:b/>
          <w:bCs/>
          <w:color w:val="000000"/>
          <w:sz w:val="30"/>
          <w:szCs w:val="30"/>
          <w:shd w:val="clear" w:color="auto" w:fill="FFFFFF"/>
        </w:rPr>
        <w:t>（一）部门整体支出情况</w:t>
      </w:r>
    </w:p>
    <w:p w:rsidR="00097307" w:rsidRDefault="00277CC9">
      <w:pPr>
        <w:pStyle w:val="a4"/>
        <w:widowControl/>
        <w:shd w:val="clear" w:color="auto" w:fill="FFFFFF"/>
        <w:spacing w:before="0" w:beforeAutospacing="0" w:after="0" w:afterAutospacing="0"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shd w:val="clear" w:color="auto" w:fill="FFFFFF"/>
        </w:rPr>
        <w:t>本年支出合计</w:t>
      </w:r>
      <w:r>
        <w:rPr>
          <w:rFonts w:ascii="仿宋" w:eastAsia="仿宋" w:hAnsi="仿宋" w:cs="仿宋" w:hint="eastAsia"/>
          <w:color w:val="000000"/>
          <w:sz w:val="30"/>
          <w:szCs w:val="30"/>
          <w:shd w:val="clear" w:color="auto" w:fill="FFFFFF"/>
        </w:rPr>
        <w:t>1880.31</w:t>
      </w:r>
      <w:r>
        <w:rPr>
          <w:rFonts w:ascii="仿宋" w:eastAsia="仿宋" w:hAnsi="仿宋" w:cs="仿宋" w:hint="eastAsia"/>
          <w:color w:val="000000"/>
          <w:sz w:val="30"/>
          <w:szCs w:val="30"/>
          <w:shd w:val="clear" w:color="auto" w:fill="FFFFFF"/>
        </w:rPr>
        <w:t>万元，其中：基本支出</w:t>
      </w:r>
      <w:r>
        <w:rPr>
          <w:rFonts w:ascii="仿宋" w:eastAsia="仿宋" w:hAnsi="仿宋" w:cs="仿宋" w:hint="eastAsia"/>
          <w:color w:val="000000"/>
          <w:sz w:val="30"/>
          <w:szCs w:val="30"/>
          <w:shd w:val="clear" w:color="auto" w:fill="FFFFFF"/>
        </w:rPr>
        <w:t>1524</w:t>
      </w:r>
      <w:r>
        <w:rPr>
          <w:rFonts w:ascii="仿宋" w:eastAsia="仿宋" w:hAnsi="仿宋" w:cs="仿宋" w:hint="eastAsia"/>
          <w:color w:val="000000"/>
          <w:sz w:val="30"/>
          <w:szCs w:val="30"/>
          <w:shd w:val="clear" w:color="auto" w:fill="FFFFFF"/>
        </w:rPr>
        <w:t>万元，占</w:t>
      </w:r>
      <w:r>
        <w:rPr>
          <w:rFonts w:ascii="仿宋" w:eastAsia="仿宋" w:hAnsi="仿宋" w:cs="仿宋" w:hint="eastAsia"/>
          <w:color w:val="000000"/>
          <w:sz w:val="30"/>
          <w:szCs w:val="30"/>
          <w:shd w:val="clear" w:color="auto" w:fill="FFFFFF"/>
        </w:rPr>
        <w:t>81.05%</w:t>
      </w:r>
      <w:r>
        <w:rPr>
          <w:rFonts w:ascii="仿宋" w:eastAsia="仿宋" w:hAnsi="仿宋" w:cs="仿宋" w:hint="eastAsia"/>
          <w:color w:val="000000"/>
          <w:sz w:val="30"/>
          <w:szCs w:val="30"/>
          <w:shd w:val="clear" w:color="auto" w:fill="FFFFFF"/>
        </w:rPr>
        <w:t>，较上年减少了</w:t>
      </w:r>
      <w:r>
        <w:rPr>
          <w:rFonts w:ascii="仿宋" w:eastAsia="仿宋" w:hAnsi="仿宋" w:cs="仿宋" w:hint="eastAsia"/>
          <w:color w:val="000000"/>
          <w:sz w:val="30"/>
          <w:szCs w:val="30"/>
          <w:shd w:val="clear" w:color="auto" w:fill="FFFFFF"/>
        </w:rPr>
        <w:t>1.45</w:t>
      </w:r>
      <w:r>
        <w:rPr>
          <w:rFonts w:ascii="仿宋" w:eastAsia="仿宋" w:hAnsi="仿宋" w:cs="仿宋" w:hint="eastAsia"/>
          <w:color w:val="000000"/>
          <w:sz w:val="30"/>
          <w:szCs w:val="30"/>
          <w:shd w:val="clear" w:color="auto" w:fill="FFFFFF"/>
        </w:rPr>
        <w:t>万元，减少</w:t>
      </w:r>
      <w:r>
        <w:rPr>
          <w:rFonts w:ascii="仿宋" w:eastAsia="仿宋" w:hAnsi="仿宋" w:cs="仿宋" w:hint="eastAsia"/>
          <w:color w:val="000000"/>
          <w:sz w:val="30"/>
          <w:szCs w:val="30"/>
          <w:shd w:val="clear" w:color="auto" w:fill="FFFFFF"/>
        </w:rPr>
        <w:t>0.09%</w:t>
      </w:r>
      <w:r>
        <w:rPr>
          <w:rFonts w:ascii="仿宋" w:eastAsia="仿宋" w:hAnsi="仿宋" w:cs="仿宋" w:hint="eastAsia"/>
          <w:color w:val="000000"/>
          <w:sz w:val="30"/>
          <w:szCs w:val="30"/>
          <w:shd w:val="clear" w:color="auto" w:fill="FFFFFF"/>
        </w:rPr>
        <w:t>，减少的原因是厉行节约，缩减开支。项目支出</w:t>
      </w:r>
      <w:r>
        <w:rPr>
          <w:rFonts w:ascii="仿宋" w:eastAsia="仿宋" w:hAnsi="仿宋" w:cs="仿宋" w:hint="eastAsia"/>
          <w:color w:val="000000"/>
          <w:sz w:val="30"/>
          <w:szCs w:val="30"/>
          <w:shd w:val="clear" w:color="auto" w:fill="FFFFFF"/>
        </w:rPr>
        <w:t>356.31</w:t>
      </w:r>
      <w:r>
        <w:rPr>
          <w:rFonts w:ascii="仿宋" w:eastAsia="仿宋" w:hAnsi="仿宋" w:cs="仿宋" w:hint="eastAsia"/>
          <w:color w:val="000000"/>
          <w:sz w:val="30"/>
          <w:szCs w:val="30"/>
          <w:shd w:val="clear" w:color="auto" w:fill="FFFFFF"/>
        </w:rPr>
        <w:t>元，占</w:t>
      </w:r>
      <w:r>
        <w:rPr>
          <w:rFonts w:ascii="仿宋" w:eastAsia="仿宋" w:hAnsi="仿宋" w:cs="仿宋" w:hint="eastAsia"/>
          <w:color w:val="000000"/>
          <w:sz w:val="30"/>
          <w:szCs w:val="30"/>
          <w:shd w:val="clear" w:color="auto" w:fill="FFFFFF"/>
        </w:rPr>
        <w:t>18.95%</w:t>
      </w:r>
      <w:r>
        <w:rPr>
          <w:rFonts w:ascii="仿宋" w:eastAsia="仿宋" w:hAnsi="仿宋" w:cs="仿宋" w:hint="eastAsia"/>
          <w:color w:val="000000"/>
          <w:sz w:val="30"/>
          <w:szCs w:val="30"/>
          <w:shd w:val="clear" w:color="auto" w:fill="FFFFFF"/>
        </w:rPr>
        <w:t>，较上年减少了</w:t>
      </w:r>
      <w:r>
        <w:rPr>
          <w:rFonts w:ascii="仿宋" w:eastAsia="仿宋" w:hAnsi="仿宋" w:cs="仿宋" w:hint="eastAsia"/>
          <w:color w:val="000000"/>
          <w:sz w:val="30"/>
          <w:szCs w:val="30"/>
          <w:shd w:val="clear" w:color="auto" w:fill="FFFFFF"/>
        </w:rPr>
        <w:t>445.08</w:t>
      </w:r>
      <w:r>
        <w:rPr>
          <w:rFonts w:ascii="仿宋" w:eastAsia="仿宋" w:hAnsi="仿宋" w:cs="仿宋" w:hint="eastAsia"/>
          <w:color w:val="000000"/>
          <w:sz w:val="30"/>
          <w:szCs w:val="30"/>
          <w:shd w:val="clear" w:color="auto" w:fill="FFFFFF"/>
        </w:rPr>
        <w:t>，减少</w:t>
      </w:r>
      <w:r>
        <w:rPr>
          <w:rFonts w:ascii="仿宋" w:eastAsia="仿宋" w:hAnsi="仿宋" w:cs="仿宋" w:hint="eastAsia"/>
          <w:color w:val="000000"/>
          <w:sz w:val="30"/>
          <w:szCs w:val="30"/>
          <w:shd w:val="clear" w:color="auto" w:fill="FFFFFF"/>
        </w:rPr>
        <w:t>55.54%</w:t>
      </w:r>
      <w:r>
        <w:rPr>
          <w:rFonts w:ascii="仿宋" w:eastAsia="仿宋" w:hAnsi="仿宋" w:cs="仿宋" w:hint="eastAsia"/>
          <w:color w:val="000000"/>
          <w:sz w:val="30"/>
          <w:szCs w:val="30"/>
          <w:shd w:val="clear" w:color="auto" w:fill="FFFFFF"/>
        </w:rPr>
        <w:t>，减少的原因是本年度无大型的基础项目建设，同时收入减少，缩减开支。</w:t>
      </w:r>
    </w:p>
    <w:p w:rsidR="00097307" w:rsidRDefault="00277CC9">
      <w:pPr>
        <w:pStyle w:val="a4"/>
        <w:widowControl/>
        <w:shd w:val="clear" w:color="auto" w:fill="FFFFFF"/>
        <w:spacing w:before="0" w:beforeAutospacing="0" w:after="0" w:afterAutospacing="0"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shd w:val="clear" w:color="auto" w:fill="FFFFFF"/>
        </w:rPr>
        <w:t>截至</w:t>
      </w:r>
      <w:r>
        <w:rPr>
          <w:rFonts w:ascii="仿宋" w:eastAsia="仿宋" w:hAnsi="仿宋" w:cs="仿宋" w:hint="eastAsia"/>
          <w:color w:val="000000"/>
          <w:sz w:val="30"/>
          <w:szCs w:val="30"/>
          <w:shd w:val="clear" w:color="auto" w:fill="FFFFFF"/>
        </w:rPr>
        <w:t>2021</w:t>
      </w:r>
      <w:r>
        <w:rPr>
          <w:rFonts w:ascii="仿宋" w:eastAsia="仿宋" w:hAnsi="仿宋" w:cs="仿宋" w:hint="eastAsia"/>
          <w:color w:val="000000"/>
          <w:sz w:val="30"/>
          <w:szCs w:val="30"/>
          <w:shd w:val="clear" w:color="auto" w:fill="FFFFFF"/>
        </w:rPr>
        <w:t>年</w:t>
      </w:r>
      <w:r>
        <w:rPr>
          <w:rFonts w:ascii="仿宋" w:eastAsia="仿宋" w:hAnsi="仿宋" w:cs="仿宋" w:hint="eastAsia"/>
          <w:color w:val="000000"/>
          <w:sz w:val="30"/>
          <w:szCs w:val="30"/>
          <w:shd w:val="clear" w:color="auto" w:fill="FFFFFF"/>
        </w:rPr>
        <w:t>12</w:t>
      </w:r>
      <w:r>
        <w:rPr>
          <w:rFonts w:ascii="仿宋" w:eastAsia="仿宋" w:hAnsi="仿宋" w:cs="仿宋" w:hint="eastAsia"/>
          <w:color w:val="000000"/>
          <w:sz w:val="30"/>
          <w:szCs w:val="30"/>
          <w:shd w:val="clear" w:color="auto" w:fill="FFFFFF"/>
        </w:rPr>
        <w:t>月</w:t>
      </w:r>
      <w:r>
        <w:rPr>
          <w:rFonts w:ascii="仿宋" w:eastAsia="仿宋" w:hAnsi="仿宋" w:cs="仿宋" w:hint="eastAsia"/>
          <w:color w:val="000000"/>
          <w:sz w:val="30"/>
          <w:szCs w:val="30"/>
          <w:shd w:val="clear" w:color="auto" w:fill="FFFFFF"/>
        </w:rPr>
        <w:t>31</w:t>
      </w:r>
      <w:r>
        <w:rPr>
          <w:rFonts w:ascii="仿宋" w:eastAsia="仿宋" w:hAnsi="仿宋" w:cs="仿宋" w:hint="eastAsia"/>
          <w:color w:val="000000"/>
          <w:sz w:val="30"/>
          <w:szCs w:val="30"/>
          <w:shd w:val="clear" w:color="auto" w:fill="FFFFFF"/>
        </w:rPr>
        <w:t>日止，年末结转和结余资金</w:t>
      </w:r>
      <w:r>
        <w:rPr>
          <w:rFonts w:ascii="仿宋" w:eastAsia="仿宋" w:hAnsi="仿宋" w:cs="仿宋" w:hint="eastAsia"/>
          <w:color w:val="000000"/>
          <w:sz w:val="30"/>
          <w:szCs w:val="30"/>
          <w:shd w:val="clear" w:color="auto" w:fill="FFFFFF"/>
        </w:rPr>
        <w:t>464.60</w:t>
      </w:r>
      <w:r>
        <w:rPr>
          <w:rFonts w:ascii="仿宋" w:eastAsia="仿宋" w:hAnsi="仿宋" w:cs="仿宋" w:hint="eastAsia"/>
          <w:color w:val="000000"/>
          <w:sz w:val="30"/>
          <w:szCs w:val="30"/>
          <w:shd w:val="clear" w:color="auto" w:fill="FFFFFF"/>
        </w:rPr>
        <w:t>万元，主要是一些项目支出由于各种原因致资金未拨付，</w:t>
      </w:r>
      <w:r>
        <w:rPr>
          <w:rFonts w:ascii="仿宋" w:eastAsia="仿宋" w:hAnsi="仿宋" w:cs="仿宋" w:hint="eastAsia"/>
          <w:color w:val="000000"/>
          <w:sz w:val="30"/>
          <w:szCs w:val="30"/>
          <w:shd w:val="clear" w:color="auto" w:fill="FFFFFF"/>
        </w:rPr>
        <w:t>2021</w:t>
      </w:r>
      <w:r>
        <w:rPr>
          <w:rFonts w:ascii="仿宋" w:eastAsia="仿宋" w:hAnsi="仿宋" w:cs="仿宋" w:hint="eastAsia"/>
          <w:color w:val="000000"/>
          <w:sz w:val="30"/>
          <w:szCs w:val="30"/>
          <w:shd w:val="clear" w:color="auto" w:fill="FFFFFF"/>
        </w:rPr>
        <w:t>年度赫山街道收支基本平衡。</w:t>
      </w:r>
    </w:p>
    <w:p w:rsidR="00097307" w:rsidRDefault="00277CC9">
      <w:pPr>
        <w:pStyle w:val="a4"/>
        <w:widowControl/>
        <w:shd w:val="clear" w:color="auto" w:fill="FFFFFF"/>
        <w:spacing w:before="0" w:beforeAutospacing="0" w:after="0" w:afterAutospacing="0" w:line="600" w:lineRule="exact"/>
        <w:ind w:firstLineChars="200" w:firstLine="602"/>
        <w:rPr>
          <w:rFonts w:ascii="仿宋" w:eastAsia="仿宋" w:hAnsi="仿宋" w:cs="仿宋"/>
          <w:b/>
          <w:bCs/>
          <w:color w:val="000000"/>
          <w:sz w:val="30"/>
          <w:szCs w:val="30"/>
        </w:rPr>
      </w:pPr>
      <w:r>
        <w:rPr>
          <w:rFonts w:ascii="仿宋" w:eastAsia="仿宋" w:hAnsi="仿宋" w:cs="仿宋" w:hint="eastAsia"/>
          <w:b/>
          <w:bCs/>
          <w:color w:val="000000"/>
          <w:sz w:val="30"/>
          <w:szCs w:val="30"/>
          <w:shd w:val="clear" w:color="auto" w:fill="FFFFFF"/>
        </w:rPr>
        <w:t>（二）部门整体支出绩效目标完成情况</w:t>
      </w:r>
    </w:p>
    <w:p w:rsidR="00097307" w:rsidRDefault="00277CC9">
      <w:pPr>
        <w:pStyle w:val="a4"/>
        <w:widowControl/>
        <w:shd w:val="clear" w:color="auto" w:fill="FFFFFF"/>
        <w:spacing w:before="0" w:beforeAutospacing="0" w:after="0" w:afterAutospacing="0"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shd w:val="clear" w:color="auto" w:fill="FFFFFF"/>
        </w:rPr>
        <w:t>预决算编制情况。预算编制</w:t>
      </w:r>
      <w:r>
        <w:rPr>
          <w:rFonts w:ascii="仿宋" w:eastAsia="仿宋" w:hAnsi="仿宋" w:cs="仿宋" w:hint="eastAsia"/>
          <w:color w:val="000000"/>
          <w:sz w:val="30"/>
          <w:szCs w:val="30"/>
          <w:shd w:val="clear" w:color="auto" w:fill="FFFFFF"/>
        </w:rPr>
        <w:t>工作严格遵循合法性、真实性、完整性、重点性、绩效性，实行零基预算。专项预算细化，按规定及时公示了部门预算。及时清理，准确反映结余结转资金，严格执行结余结转资金的管理规定。决算编审工作中严格按照“真实、准确、完整、及时”的要求，正确理解和掌握决算报表的口径和相关指标，部门决算报表的内容涵盖单位的全部收支，做到了数据真实，计算准确，内容完整。国有资产管理日趋规范，街</w:t>
      </w:r>
      <w:r>
        <w:rPr>
          <w:rFonts w:ascii="仿宋" w:eastAsia="仿宋" w:hAnsi="仿宋" w:cs="仿宋" w:hint="eastAsia"/>
          <w:color w:val="000000"/>
          <w:sz w:val="30"/>
          <w:szCs w:val="30"/>
          <w:shd w:val="clear" w:color="auto" w:fill="FFFFFF"/>
        </w:rPr>
        <w:lastRenderedPageBreak/>
        <w:t>道机关支部、财政所、党政办在街道党工委、办事处的统一领导下，在区财政局国有资产管理部门的指导下，对赫山街道的国有资产进行了全面的摸底</w:t>
      </w:r>
      <w:r>
        <w:rPr>
          <w:rFonts w:ascii="仿宋" w:eastAsia="仿宋" w:hAnsi="仿宋" w:cs="仿宋" w:hint="eastAsia"/>
          <w:color w:val="000000"/>
          <w:sz w:val="30"/>
          <w:szCs w:val="30"/>
          <w:shd w:val="clear" w:color="auto" w:fill="FFFFFF"/>
        </w:rPr>
        <w:t>,</w:t>
      </w:r>
      <w:r>
        <w:rPr>
          <w:rFonts w:ascii="仿宋" w:eastAsia="仿宋" w:hAnsi="仿宋" w:cs="仿宋" w:hint="eastAsia"/>
          <w:color w:val="000000"/>
          <w:sz w:val="30"/>
          <w:szCs w:val="30"/>
          <w:shd w:val="clear" w:color="auto" w:fill="FFFFFF"/>
        </w:rPr>
        <w:t>一并录入了《行</w:t>
      </w:r>
      <w:r>
        <w:rPr>
          <w:rFonts w:ascii="仿宋" w:eastAsia="仿宋" w:hAnsi="仿宋" w:cs="仿宋" w:hint="eastAsia"/>
          <w:color w:val="000000"/>
          <w:sz w:val="30"/>
          <w:szCs w:val="30"/>
          <w:shd w:val="clear" w:color="auto" w:fill="FFFFFF"/>
        </w:rPr>
        <w:t>政事业单位资产管理信息系统》，做到了账账相符、帐表相符、账实相符。</w:t>
      </w:r>
      <w:r>
        <w:rPr>
          <w:rFonts w:ascii="仿宋" w:eastAsia="仿宋" w:hAnsi="仿宋" w:cs="仿宋" w:hint="eastAsia"/>
          <w:color w:val="000000"/>
          <w:sz w:val="30"/>
          <w:szCs w:val="30"/>
          <w:shd w:val="clear" w:color="auto" w:fill="FFFFFF"/>
        </w:rPr>
        <w:t>2021</w:t>
      </w:r>
      <w:r>
        <w:rPr>
          <w:rFonts w:ascii="仿宋" w:eastAsia="仿宋" w:hAnsi="仿宋" w:cs="仿宋" w:hint="eastAsia"/>
          <w:color w:val="000000"/>
          <w:sz w:val="30"/>
          <w:szCs w:val="30"/>
          <w:shd w:val="clear" w:color="auto" w:fill="FFFFFF"/>
        </w:rPr>
        <w:t>年度赫山街道“三公”经费支出</w:t>
      </w:r>
      <w:r>
        <w:rPr>
          <w:rFonts w:ascii="仿宋" w:eastAsia="仿宋" w:hAnsi="仿宋" w:cs="仿宋" w:hint="eastAsia"/>
          <w:color w:val="000000"/>
          <w:sz w:val="30"/>
          <w:szCs w:val="30"/>
          <w:shd w:val="clear" w:color="auto" w:fill="FFFFFF"/>
        </w:rPr>
        <w:t>0</w:t>
      </w:r>
      <w:r>
        <w:rPr>
          <w:rFonts w:ascii="仿宋" w:eastAsia="仿宋" w:hAnsi="仿宋" w:cs="仿宋" w:hint="eastAsia"/>
          <w:color w:val="000000"/>
          <w:sz w:val="30"/>
          <w:szCs w:val="30"/>
          <w:shd w:val="clear" w:color="auto" w:fill="FFFFFF"/>
        </w:rPr>
        <w:t>万元，其中：公务接待支出</w:t>
      </w:r>
      <w:r>
        <w:rPr>
          <w:rFonts w:ascii="仿宋" w:eastAsia="仿宋" w:hAnsi="仿宋" w:cs="仿宋" w:hint="eastAsia"/>
          <w:color w:val="000000"/>
          <w:sz w:val="30"/>
          <w:szCs w:val="30"/>
          <w:shd w:val="clear" w:color="auto" w:fill="FFFFFF"/>
        </w:rPr>
        <w:t>0</w:t>
      </w:r>
      <w:r>
        <w:rPr>
          <w:rFonts w:ascii="仿宋" w:eastAsia="仿宋" w:hAnsi="仿宋" w:cs="仿宋" w:hint="eastAsia"/>
          <w:color w:val="000000"/>
          <w:sz w:val="30"/>
          <w:szCs w:val="30"/>
          <w:shd w:val="clear" w:color="auto" w:fill="FFFFFF"/>
        </w:rPr>
        <w:t>万元，公费出国境费用支出</w:t>
      </w:r>
      <w:r>
        <w:rPr>
          <w:rFonts w:ascii="仿宋" w:eastAsia="仿宋" w:hAnsi="仿宋" w:cs="仿宋" w:hint="eastAsia"/>
          <w:color w:val="000000"/>
          <w:sz w:val="30"/>
          <w:szCs w:val="30"/>
          <w:shd w:val="clear" w:color="auto" w:fill="FFFFFF"/>
        </w:rPr>
        <w:t>0</w:t>
      </w:r>
      <w:r>
        <w:rPr>
          <w:rFonts w:ascii="仿宋" w:eastAsia="仿宋" w:hAnsi="仿宋" w:cs="仿宋" w:hint="eastAsia"/>
          <w:color w:val="000000"/>
          <w:sz w:val="30"/>
          <w:szCs w:val="30"/>
          <w:shd w:val="clear" w:color="auto" w:fill="FFFFFF"/>
        </w:rPr>
        <w:t>万元，公务用车维护及运行费支出</w:t>
      </w:r>
      <w:r>
        <w:rPr>
          <w:rFonts w:ascii="仿宋" w:eastAsia="仿宋" w:hAnsi="仿宋" w:cs="仿宋" w:hint="eastAsia"/>
          <w:color w:val="000000"/>
          <w:sz w:val="30"/>
          <w:szCs w:val="30"/>
          <w:shd w:val="clear" w:color="auto" w:fill="FFFFFF"/>
        </w:rPr>
        <w:t>0</w:t>
      </w:r>
      <w:r>
        <w:rPr>
          <w:rFonts w:ascii="仿宋" w:eastAsia="仿宋" w:hAnsi="仿宋" w:cs="仿宋" w:hint="eastAsia"/>
          <w:color w:val="000000"/>
          <w:sz w:val="30"/>
          <w:szCs w:val="30"/>
          <w:shd w:val="clear" w:color="auto" w:fill="FFFFFF"/>
        </w:rPr>
        <w:t>万元。主要因为</w:t>
      </w:r>
      <w:r>
        <w:rPr>
          <w:rFonts w:ascii="仿宋" w:eastAsia="仿宋" w:hAnsi="仿宋" w:cs="仿宋" w:hint="eastAsia"/>
          <w:color w:val="000000"/>
          <w:sz w:val="30"/>
          <w:szCs w:val="30"/>
          <w:shd w:val="clear" w:color="auto" w:fill="FFFFFF"/>
        </w:rPr>
        <w:t>2016</w:t>
      </w:r>
      <w:r>
        <w:rPr>
          <w:rFonts w:ascii="仿宋" w:eastAsia="仿宋" w:hAnsi="仿宋" w:cs="仿宋" w:hint="eastAsia"/>
          <w:color w:val="000000"/>
          <w:sz w:val="30"/>
          <w:szCs w:val="30"/>
          <w:shd w:val="clear" w:color="auto" w:fill="FFFFFF"/>
        </w:rPr>
        <w:t>年底公车改革后，根据车改政策，我街道取消了公务用车，不存在公务用车维护及运行费，</w:t>
      </w:r>
      <w:r>
        <w:rPr>
          <w:rFonts w:ascii="仿宋" w:eastAsia="仿宋" w:hAnsi="仿宋" w:cs="仿宋" w:hint="eastAsia"/>
          <w:color w:val="000000"/>
          <w:sz w:val="30"/>
          <w:szCs w:val="30"/>
          <w:shd w:val="clear" w:color="auto" w:fill="FFFFFF"/>
        </w:rPr>
        <w:t>2021</w:t>
      </w:r>
      <w:r>
        <w:rPr>
          <w:rFonts w:ascii="仿宋" w:eastAsia="仿宋" w:hAnsi="仿宋" w:cs="仿宋" w:hint="eastAsia"/>
          <w:color w:val="000000"/>
          <w:sz w:val="30"/>
          <w:szCs w:val="30"/>
          <w:shd w:val="clear" w:color="auto" w:fill="FFFFFF"/>
        </w:rPr>
        <w:t>年度公务接待费用为</w:t>
      </w:r>
      <w:r>
        <w:rPr>
          <w:rFonts w:ascii="仿宋" w:eastAsia="仿宋" w:hAnsi="仿宋" w:cs="仿宋" w:hint="eastAsia"/>
          <w:color w:val="000000"/>
          <w:sz w:val="30"/>
          <w:szCs w:val="30"/>
          <w:shd w:val="clear" w:color="auto" w:fill="FFFFFF"/>
        </w:rPr>
        <w:t>0</w:t>
      </w:r>
      <w:r>
        <w:rPr>
          <w:rFonts w:ascii="仿宋" w:eastAsia="仿宋" w:hAnsi="仿宋" w:cs="仿宋" w:hint="eastAsia"/>
          <w:color w:val="000000"/>
          <w:sz w:val="30"/>
          <w:szCs w:val="30"/>
          <w:shd w:val="clear" w:color="auto" w:fill="FFFFFF"/>
        </w:rPr>
        <w:t>万元，主要因为上级政策要求同城不接待的原因。</w:t>
      </w:r>
      <w:r>
        <w:rPr>
          <w:rFonts w:ascii="仿宋" w:eastAsia="仿宋" w:hAnsi="仿宋" w:cs="仿宋" w:hint="eastAsia"/>
          <w:color w:val="000000"/>
          <w:sz w:val="30"/>
          <w:szCs w:val="30"/>
          <w:shd w:val="clear" w:color="auto" w:fill="FFFFFF"/>
        </w:rPr>
        <w:t>2021</w:t>
      </w:r>
      <w:r>
        <w:rPr>
          <w:rFonts w:ascii="仿宋" w:eastAsia="仿宋" w:hAnsi="仿宋" w:cs="仿宋" w:hint="eastAsia"/>
          <w:color w:val="000000"/>
          <w:sz w:val="30"/>
          <w:szCs w:val="30"/>
          <w:shd w:val="clear" w:color="auto" w:fill="FFFFFF"/>
        </w:rPr>
        <w:t>年以来，我街道进一步完善了机关财务管理制度及内控制度，加强了对专项资金的监管，严格执行了机关财务管理制度、社账街道代理制度。</w:t>
      </w:r>
      <w:r>
        <w:rPr>
          <w:rFonts w:ascii="仿宋" w:eastAsia="仿宋" w:hAnsi="仿宋" w:cs="仿宋" w:hint="eastAsia"/>
          <w:color w:val="000000"/>
          <w:sz w:val="30"/>
          <w:szCs w:val="30"/>
          <w:shd w:val="clear" w:color="auto" w:fill="FFFFFF"/>
        </w:rPr>
        <w:t>2021</w:t>
      </w:r>
      <w:r>
        <w:rPr>
          <w:rFonts w:ascii="仿宋" w:eastAsia="仿宋" w:hAnsi="仿宋" w:cs="仿宋" w:hint="eastAsia"/>
          <w:color w:val="000000"/>
          <w:sz w:val="30"/>
          <w:szCs w:val="30"/>
          <w:shd w:val="clear" w:color="auto" w:fill="FFFFFF"/>
        </w:rPr>
        <w:t>年度，赫山</w:t>
      </w:r>
      <w:r>
        <w:rPr>
          <w:rFonts w:ascii="仿宋" w:eastAsia="仿宋" w:hAnsi="仿宋" w:cs="仿宋" w:hint="eastAsia"/>
          <w:color w:val="000000"/>
          <w:sz w:val="30"/>
          <w:szCs w:val="30"/>
          <w:shd w:val="clear" w:color="auto" w:fill="FFFFFF"/>
        </w:rPr>
        <w:t>街道有关重点项目的实施进展顺利，经济社会效益明显。</w:t>
      </w:r>
    </w:p>
    <w:p w:rsidR="00097307" w:rsidRDefault="00277CC9">
      <w:pPr>
        <w:pStyle w:val="a4"/>
        <w:widowControl/>
        <w:shd w:val="clear" w:color="auto" w:fill="FFFFFF"/>
        <w:spacing w:before="0" w:beforeAutospacing="0" w:after="0" w:afterAutospacing="0" w:line="600" w:lineRule="exact"/>
        <w:ind w:firstLineChars="200" w:firstLine="602"/>
        <w:rPr>
          <w:rFonts w:ascii="仿宋" w:eastAsia="仿宋" w:hAnsi="仿宋" w:cs="仿宋"/>
          <w:b/>
          <w:bCs/>
          <w:color w:val="000000"/>
          <w:sz w:val="30"/>
          <w:szCs w:val="30"/>
        </w:rPr>
      </w:pPr>
      <w:r>
        <w:rPr>
          <w:rFonts w:ascii="仿宋" w:eastAsia="仿宋" w:hAnsi="仿宋" w:cs="仿宋" w:hint="eastAsia"/>
          <w:b/>
          <w:bCs/>
          <w:color w:val="000000"/>
          <w:sz w:val="30"/>
          <w:szCs w:val="30"/>
          <w:shd w:val="clear" w:color="auto" w:fill="FFFFFF"/>
        </w:rPr>
        <w:t>（三）部门整体支出情况分析</w:t>
      </w:r>
    </w:p>
    <w:p w:rsidR="00097307" w:rsidRDefault="00277CC9">
      <w:pPr>
        <w:pStyle w:val="a4"/>
        <w:widowControl/>
        <w:shd w:val="clear" w:color="auto" w:fill="FFFFFF"/>
        <w:spacing w:before="0" w:beforeAutospacing="0" w:after="0" w:afterAutospacing="0"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shd w:val="clear" w:color="auto" w:fill="FFFFFF"/>
        </w:rPr>
        <w:t>2021</w:t>
      </w:r>
      <w:r>
        <w:rPr>
          <w:rFonts w:ascii="仿宋" w:eastAsia="仿宋" w:hAnsi="仿宋" w:cs="仿宋" w:hint="eastAsia"/>
          <w:color w:val="000000"/>
          <w:sz w:val="30"/>
          <w:szCs w:val="30"/>
          <w:shd w:val="clear" w:color="auto" w:fill="FFFFFF"/>
        </w:rPr>
        <w:t>年我街道部门整体支出情况良好，资金主要用于保机关基本运转、保基本民生、保工资等方面，对于重点项目资金，做到了事前、事中、事后监管，取得了较好的经济效益和社会效益。居家养老项目及惠民项目经费切实发挥了资金的效益，惠农补贴资金通过“一卡通”系统足额准确及时地发放到了农户手中，人民群众的获得感、幸福感大大增强。</w:t>
      </w:r>
    </w:p>
    <w:p w:rsidR="00097307" w:rsidRDefault="00277CC9">
      <w:pPr>
        <w:pStyle w:val="a4"/>
        <w:widowControl/>
        <w:shd w:val="clear" w:color="auto" w:fill="FFFFFF"/>
        <w:spacing w:before="0" w:beforeAutospacing="0" w:after="0" w:afterAutospacing="0" w:line="600" w:lineRule="exact"/>
        <w:ind w:firstLineChars="200" w:firstLine="600"/>
        <w:rPr>
          <w:rFonts w:ascii="黑体" w:eastAsia="黑体" w:hAnsi="黑体" w:cs="黑体"/>
          <w:color w:val="000000"/>
          <w:sz w:val="30"/>
          <w:szCs w:val="30"/>
          <w:shd w:val="clear" w:color="auto" w:fill="FFFFFF"/>
        </w:rPr>
      </w:pPr>
      <w:r>
        <w:rPr>
          <w:rFonts w:ascii="黑体" w:eastAsia="黑体" w:hAnsi="黑体" w:cs="黑体" w:hint="eastAsia"/>
          <w:color w:val="000000"/>
          <w:sz w:val="30"/>
          <w:szCs w:val="30"/>
          <w:shd w:val="clear" w:color="auto" w:fill="FFFFFF"/>
        </w:rPr>
        <w:t>二、绩效评价工作情况</w:t>
      </w:r>
    </w:p>
    <w:p w:rsidR="00097307" w:rsidRDefault="00277CC9">
      <w:pPr>
        <w:pStyle w:val="a4"/>
        <w:widowControl/>
        <w:shd w:val="clear" w:color="auto" w:fill="FFFFFF"/>
        <w:spacing w:before="0" w:beforeAutospacing="0" w:after="0" w:afterAutospacing="0" w:line="600" w:lineRule="exact"/>
        <w:ind w:firstLineChars="200" w:firstLine="602"/>
        <w:rPr>
          <w:rFonts w:ascii="仿宋" w:eastAsia="仿宋" w:hAnsi="仿宋" w:cs="仿宋"/>
          <w:b/>
          <w:bCs/>
          <w:color w:val="000000"/>
          <w:sz w:val="30"/>
          <w:szCs w:val="30"/>
        </w:rPr>
      </w:pPr>
      <w:r>
        <w:rPr>
          <w:rFonts w:ascii="仿宋" w:eastAsia="仿宋" w:hAnsi="仿宋" w:cs="仿宋" w:hint="eastAsia"/>
          <w:b/>
          <w:bCs/>
          <w:color w:val="000000"/>
          <w:sz w:val="30"/>
          <w:szCs w:val="30"/>
          <w:shd w:val="clear" w:color="auto" w:fill="FFFFFF"/>
        </w:rPr>
        <w:t>（一）绩效评价目的</w:t>
      </w:r>
    </w:p>
    <w:p w:rsidR="00097307" w:rsidRDefault="00277CC9">
      <w:pPr>
        <w:pStyle w:val="a4"/>
        <w:widowControl/>
        <w:shd w:val="clear" w:color="auto" w:fill="FFFFFF"/>
        <w:spacing w:before="0" w:beforeAutospacing="0" w:after="0" w:afterAutospacing="0"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shd w:val="clear" w:color="auto" w:fill="FFFFFF"/>
        </w:rPr>
        <w:lastRenderedPageBreak/>
        <w:t> </w:t>
      </w:r>
      <w:r>
        <w:rPr>
          <w:rFonts w:ascii="仿宋" w:eastAsia="仿宋" w:hAnsi="仿宋" w:cs="仿宋" w:hint="eastAsia"/>
          <w:color w:val="000000"/>
          <w:sz w:val="30"/>
          <w:szCs w:val="30"/>
          <w:shd w:val="clear" w:color="auto" w:fill="FFFFFF"/>
        </w:rPr>
        <w:t>通过绩效评价，树立绩效意识、成本意识和责任意识，完善预算编制、执行、监督</w:t>
      </w:r>
      <w:r>
        <w:rPr>
          <w:rFonts w:ascii="仿宋" w:eastAsia="仿宋" w:hAnsi="仿宋" w:cs="仿宋" w:hint="eastAsia"/>
          <w:color w:val="000000"/>
          <w:sz w:val="30"/>
          <w:szCs w:val="30"/>
          <w:shd w:val="clear" w:color="auto" w:fill="FFFFFF"/>
        </w:rPr>
        <w:t>体系，提升绩效管理质量，提高财政资金使用效益，促进更好地履职尽责。</w:t>
      </w:r>
    </w:p>
    <w:p w:rsidR="00097307" w:rsidRDefault="00277CC9">
      <w:pPr>
        <w:pStyle w:val="a4"/>
        <w:widowControl/>
        <w:shd w:val="clear" w:color="auto" w:fill="FFFFFF"/>
        <w:spacing w:before="0" w:beforeAutospacing="0" w:after="0" w:afterAutospacing="0" w:line="600" w:lineRule="exact"/>
        <w:ind w:firstLineChars="200" w:firstLine="602"/>
        <w:rPr>
          <w:rFonts w:ascii="仿宋" w:eastAsia="仿宋" w:hAnsi="仿宋" w:cs="仿宋"/>
          <w:b/>
          <w:bCs/>
          <w:color w:val="000000"/>
          <w:sz w:val="30"/>
          <w:szCs w:val="30"/>
        </w:rPr>
      </w:pPr>
      <w:r>
        <w:rPr>
          <w:rFonts w:ascii="仿宋" w:eastAsia="仿宋" w:hAnsi="仿宋" w:cs="仿宋" w:hint="eastAsia"/>
          <w:b/>
          <w:bCs/>
          <w:color w:val="000000"/>
          <w:sz w:val="30"/>
          <w:szCs w:val="30"/>
          <w:shd w:val="clear" w:color="auto" w:fill="FFFFFF"/>
        </w:rPr>
        <w:t>（二）绩效评价工作过程</w:t>
      </w:r>
    </w:p>
    <w:p w:rsidR="00097307" w:rsidRDefault="00277CC9">
      <w:pPr>
        <w:pStyle w:val="a4"/>
        <w:widowControl/>
        <w:shd w:val="clear" w:color="auto" w:fill="FFFFFF"/>
        <w:spacing w:before="0" w:beforeAutospacing="0" w:after="0" w:afterAutospacing="0"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shd w:val="clear" w:color="auto" w:fill="FFFFFF"/>
        </w:rPr>
        <w:t>根据上级有关部门的要求，赫山街道办事处成立了绩效评价工作领导小组。领导小组由党工委书记任组长、办事处主任、党工委专职副书记任副组长、各站办所负责人任领导小组成员。领导小组采取实地察看、查阅财务资料等方式，做出了评价结论。</w:t>
      </w:r>
    </w:p>
    <w:p w:rsidR="00097307" w:rsidRDefault="00277CC9">
      <w:pPr>
        <w:pStyle w:val="a4"/>
        <w:widowControl/>
        <w:shd w:val="clear" w:color="auto" w:fill="FFFFFF"/>
        <w:spacing w:before="0" w:beforeAutospacing="0" w:after="0" w:afterAutospacing="0" w:line="600" w:lineRule="exact"/>
        <w:ind w:firstLineChars="200" w:firstLine="600"/>
        <w:rPr>
          <w:rFonts w:ascii="黑体" w:eastAsia="黑体" w:hAnsi="黑体" w:cs="黑体"/>
          <w:color w:val="000000"/>
          <w:sz w:val="30"/>
          <w:szCs w:val="30"/>
          <w:shd w:val="clear" w:color="auto" w:fill="FFFFFF"/>
        </w:rPr>
      </w:pPr>
      <w:r>
        <w:rPr>
          <w:rFonts w:ascii="黑体" w:eastAsia="黑体" w:hAnsi="黑体" w:cs="黑体" w:hint="eastAsia"/>
          <w:color w:val="000000"/>
          <w:sz w:val="30"/>
          <w:szCs w:val="30"/>
          <w:shd w:val="clear" w:color="auto" w:fill="FFFFFF"/>
        </w:rPr>
        <w:t>三、绩效评价结论</w:t>
      </w:r>
    </w:p>
    <w:p w:rsidR="00097307" w:rsidRDefault="00277CC9">
      <w:pPr>
        <w:pStyle w:val="a4"/>
        <w:widowControl/>
        <w:shd w:val="clear" w:color="auto" w:fill="FFFFFF"/>
        <w:spacing w:before="0" w:beforeAutospacing="0" w:after="0" w:afterAutospacing="0"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shd w:val="clear" w:color="auto" w:fill="FFFFFF"/>
        </w:rPr>
        <w:t>2021</w:t>
      </w:r>
      <w:r>
        <w:rPr>
          <w:rFonts w:ascii="仿宋" w:eastAsia="仿宋" w:hAnsi="仿宋" w:cs="仿宋" w:hint="eastAsia"/>
          <w:color w:val="000000"/>
          <w:sz w:val="30"/>
          <w:szCs w:val="30"/>
          <w:shd w:val="clear" w:color="auto" w:fill="FFFFFF"/>
        </w:rPr>
        <w:t>年，赫山街道办事处较好地完成了各项目标任务。根据《赫山区部门整体支出绩效自评指标记分表》，自评得分</w:t>
      </w:r>
      <w:r>
        <w:rPr>
          <w:rFonts w:ascii="仿宋" w:eastAsia="仿宋" w:hAnsi="仿宋" w:cs="仿宋" w:hint="eastAsia"/>
          <w:color w:val="000000"/>
          <w:sz w:val="30"/>
          <w:szCs w:val="30"/>
          <w:shd w:val="clear" w:color="auto" w:fill="FFFFFF"/>
        </w:rPr>
        <w:t>98</w:t>
      </w:r>
      <w:r>
        <w:rPr>
          <w:rFonts w:ascii="仿宋" w:eastAsia="仿宋" w:hAnsi="仿宋" w:cs="仿宋" w:hint="eastAsia"/>
          <w:color w:val="000000"/>
          <w:sz w:val="30"/>
          <w:szCs w:val="30"/>
          <w:shd w:val="clear" w:color="auto" w:fill="FFFFFF"/>
        </w:rPr>
        <w:t>分。</w:t>
      </w:r>
    </w:p>
    <w:p w:rsidR="00097307" w:rsidRDefault="00277CC9">
      <w:pPr>
        <w:pStyle w:val="a4"/>
        <w:widowControl/>
        <w:shd w:val="clear" w:color="auto" w:fill="FFFFFF"/>
        <w:spacing w:before="0" w:beforeAutospacing="0" w:after="0" w:afterAutospacing="0" w:line="600" w:lineRule="exact"/>
        <w:ind w:firstLineChars="200" w:firstLine="600"/>
        <w:rPr>
          <w:rFonts w:ascii="黑体" w:eastAsia="黑体" w:hAnsi="黑体" w:cs="黑体"/>
          <w:color w:val="000000"/>
          <w:sz w:val="30"/>
          <w:szCs w:val="30"/>
          <w:shd w:val="clear" w:color="auto" w:fill="FFFFFF"/>
        </w:rPr>
      </w:pPr>
      <w:r>
        <w:rPr>
          <w:rFonts w:ascii="黑体" w:eastAsia="黑体" w:hAnsi="黑体" w:cs="黑体" w:hint="eastAsia"/>
          <w:color w:val="000000"/>
          <w:sz w:val="30"/>
          <w:szCs w:val="30"/>
          <w:shd w:val="clear" w:color="auto" w:fill="FFFFFF"/>
        </w:rPr>
        <w:t>四、存在的问题</w:t>
      </w:r>
    </w:p>
    <w:p w:rsidR="00097307" w:rsidRDefault="00277CC9">
      <w:pPr>
        <w:pStyle w:val="a4"/>
        <w:widowControl/>
        <w:shd w:val="clear" w:color="auto" w:fill="FFFFFF"/>
        <w:spacing w:before="0" w:beforeAutospacing="0" w:after="0" w:afterAutospacing="0"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shd w:val="clear" w:color="auto" w:fill="FFFFFF"/>
        </w:rPr>
        <w:t>（一）街道各部门之间的配合、协作不够准确，衔接不够及时，对预算绩效目标实施情况的监管存在漏洞。</w:t>
      </w:r>
    </w:p>
    <w:p w:rsidR="00097307" w:rsidRDefault="00277CC9">
      <w:pPr>
        <w:pStyle w:val="a4"/>
        <w:widowControl/>
        <w:shd w:val="clear" w:color="auto" w:fill="FFFFFF"/>
        <w:spacing w:before="0" w:beforeAutospacing="0" w:after="0" w:afterAutospacing="0"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shd w:val="clear" w:color="auto" w:fill="FFFFFF"/>
        </w:rPr>
        <w:t>（二）由于各项工作开展实施的不确定性，各项新增、突发性工作的工作经费在年初预算中未作安排，需要在年中或者年末追加，导致某些支出功能科目及政府经济科目使用不够准确。</w:t>
      </w:r>
    </w:p>
    <w:p w:rsidR="00097307" w:rsidRDefault="00277CC9">
      <w:pPr>
        <w:pStyle w:val="a4"/>
        <w:widowControl/>
        <w:shd w:val="clear" w:color="auto" w:fill="FFFFFF"/>
        <w:spacing w:before="0" w:beforeAutospacing="0" w:after="0" w:afterAutospacing="0" w:line="600" w:lineRule="exact"/>
        <w:ind w:firstLineChars="200" w:firstLine="600"/>
        <w:rPr>
          <w:rFonts w:ascii="黑体" w:eastAsia="黑体" w:hAnsi="黑体" w:cs="黑体"/>
          <w:color w:val="000000"/>
          <w:sz w:val="30"/>
          <w:szCs w:val="30"/>
          <w:shd w:val="clear" w:color="auto" w:fill="FFFFFF"/>
        </w:rPr>
      </w:pPr>
      <w:r>
        <w:rPr>
          <w:rFonts w:ascii="黑体" w:eastAsia="黑体" w:hAnsi="黑体" w:cs="黑体" w:hint="eastAsia"/>
          <w:color w:val="000000"/>
          <w:sz w:val="30"/>
          <w:szCs w:val="30"/>
          <w:shd w:val="clear" w:color="auto" w:fill="FFFFFF"/>
        </w:rPr>
        <w:t>五、有关建议</w:t>
      </w:r>
    </w:p>
    <w:p w:rsidR="00097307" w:rsidRDefault="00277CC9">
      <w:pPr>
        <w:pStyle w:val="a4"/>
        <w:widowControl/>
        <w:shd w:val="clear" w:color="auto" w:fill="FFFFFF"/>
        <w:spacing w:before="0" w:beforeAutospacing="0" w:after="0" w:afterAutospacing="0"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shd w:val="clear" w:color="auto" w:fill="FFFFFF"/>
        </w:rPr>
        <w:t xml:space="preserve">（一）加强街道各部门之间的衔接与配合，提高街道各部门对绩效评价工作的重视程度。　　</w:t>
      </w:r>
    </w:p>
    <w:p w:rsidR="00097307" w:rsidRDefault="00277CC9">
      <w:pPr>
        <w:pStyle w:val="a4"/>
        <w:widowControl/>
        <w:shd w:val="clear" w:color="auto" w:fill="FFFFFF"/>
        <w:spacing w:before="0" w:beforeAutospacing="0" w:after="0" w:afterAutospacing="0"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shd w:val="clear" w:color="auto" w:fill="FFFFFF"/>
        </w:rPr>
        <w:t>（二）科学设置预算绩效指标，合理安排经费和各项资金，保证各预算绩效指标的顺利实施。</w:t>
      </w:r>
    </w:p>
    <w:p w:rsidR="00097307" w:rsidRDefault="00277CC9">
      <w:pPr>
        <w:pStyle w:val="a4"/>
        <w:widowControl/>
        <w:shd w:val="clear" w:color="auto" w:fill="FFFFFF"/>
        <w:spacing w:before="0" w:beforeAutospacing="0" w:after="0" w:afterAutospacing="0"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shd w:val="clear" w:color="auto" w:fill="FFFFFF"/>
        </w:rPr>
        <w:lastRenderedPageBreak/>
        <w:t>附件：</w:t>
      </w:r>
      <w:r>
        <w:rPr>
          <w:rFonts w:ascii="仿宋" w:eastAsia="仿宋" w:hAnsi="仿宋" w:cs="仿宋" w:hint="eastAsia"/>
          <w:color w:val="000000"/>
          <w:sz w:val="30"/>
          <w:szCs w:val="30"/>
          <w:shd w:val="clear" w:color="auto" w:fill="FFFFFF"/>
        </w:rPr>
        <w:t>2021</w:t>
      </w:r>
      <w:r>
        <w:rPr>
          <w:rFonts w:ascii="仿宋" w:eastAsia="仿宋" w:hAnsi="仿宋" w:cs="仿宋" w:hint="eastAsia"/>
          <w:color w:val="000000"/>
          <w:sz w:val="30"/>
          <w:szCs w:val="30"/>
          <w:shd w:val="clear" w:color="auto" w:fill="FFFFFF"/>
        </w:rPr>
        <w:t>年度部门整体支出绩效自评指标记分表</w:t>
      </w:r>
    </w:p>
    <w:p w:rsidR="00097307" w:rsidRDefault="00277CC9">
      <w:pPr>
        <w:pStyle w:val="a4"/>
        <w:widowControl/>
        <w:shd w:val="clear" w:color="auto" w:fill="FFFFFF"/>
        <w:spacing w:before="0" w:beforeAutospacing="0" w:after="0" w:afterAutospacing="0" w:line="600" w:lineRule="exact"/>
        <w:ind w:firstLineChars="200" w:firstLine="600"/>
        <w:jc w:val="right"/>
        <w:rPr>
          <w:rFonts w:ascii="仿宋" w:eastAsia="仿宋" w:hAnsi="仿宋" w:cs="仿宋"/>
          <w:color w:val="000000"/>
          <w:sz w:val="30"/>
          <w:szCs w:val="30"/>
          <w:shd w:val="clear" w:color="auto" w:fill="FFFFFF"/>
        </w:rPr>
      </w:pPr>
      <w:r>
        <w:rPr>
          <w:rFonts w:ascii="仿宋" w:eastAsia="仿宋" w:hAnsi="仿宋" w:cs="仿宋" w:hint="eastAsia"/>
          <w:color w:val="000000"/>
          <w:sz w:val="30"/>
          <w:szCs w:val="30"/>
          <w:shd w:val="clear" w:color="auto" w:fill="FFFFFF"/>
        </w:rPr>
        <w:t xml:space="preserve">　</w:t>
      </w:r>
      <w:r>
        <w:rPr>
          <w:rFonts w:ascii="仿宋" w:eastAsia="仿宋" w:hAnsi="仿宋" w:cs="仿宋" w:hint="eastAsia"/>
          <w:color w:val="000000"/>
          <w:sz w:val="30"/>
          <w:szCs w:val="30"/>
          <w:shd w:val="clear" w:color="auto" w:fill="FFFFFF"/>
        </w:rPr>
        <w:t>                </w:t>
      </w:r>
    </w:p>
    <w:p w:rsidR="00097307" w:rsidRDefault="00097307">
      <w:pPr>
        <w:pStyle w:val="a4"/>
        <w:widowControl/>
        <w:shd w:val="clear" w:color="auto" w:fill="FFFFFF"/>
        <w:spacing w:before="0" w:beforeAutospacing="0" w:after="0" w:afterAutospacing="0" w:line="600" w:lineRule="exact"/>
        <w:jc w:val="both"/>
        <w:rPr>
          <w:rFonts w:ascii="仿宋" w:eastAsia="仿宋" w:hAnsi="仿宋" w:cs="仿宋"/>
          <w:color w:val="333333"/>
          <w:sz w:val="30"/>
          <w:szCs w:val="30"/>
          <w:shd w:val="clear" w:color="auto" w:fill="FFFFFF"/>
        </w:rPr>
      </w:pPr>
      <w:bookmarkStart w:id="0" w:name="_GoBack"/>
      <w:bookmarkEnd w:id="0"/>
    </w:p>
    <w:p w:rsidR="00097307" w:rsidRDefault="00277CC9">
      <w:pPr>
        <w:pStyle w:val="a4"/>
        <w:widowControl/>
        <w:shd w:val="clear" w:color="auto" w:fill="FFFFFF"/>
        <w:spacing w:before="0" w:beforeAutospacing="0" w:after="0" w:afterAutospacing="0" w:line="600" w:lineRule="exact"/>
        <w:ind w:firstLineChars="200" w:firstLine="600"/>
        <w:rPr>
          <w:rFonts w:ascii="黑体" w:eastAsia="黑体" w:hAnsi="黑体" w:cs="黑体"/>
          <w:sz w:val="30"/>
          <w:szCs w:val="30"/>
        </w:rPr>
      </w:pPr>
      <w:r>
        <w:rPr>
          <w:rFonts w:ascii="黑体" w:eastAsia="黑体" w:hAnsi="黑体" w:cs="黑体" w:hint="eastAsia"/>
          <w:color w:val="333333"/>
          <w:sz w:val="30"/>
          <w:szCs w:val="30"/>
          <w:shd w:val="clear" w:color="auto" w:fill="FFFFFF"/>
        </w:rPr>
        <w:t>赫山街道</w:t>
      </w:r>
      <w:r>
        <w:rPr>
          <w:rFonts w:ascii="黑体" w:eastAsia="黑体" w:hAnsi="黑体" w:cs="黑体" w:hint="eastAsia"/>
          <w:color w:val="333333"/>
          <w:sz w:val="30"/>
          <w:szCs w:val="30"/>
          <w:shd w:val="clear" w:color="auto" w:fill="FFFFFF"/>
        </w:rPr>
        <w:t>2021</w:t>
      </w:r>
      <w:r>
        <w:rPr>
          <w:rFonts w:ascii="黑体" w:eastAsia="黑体" w:hAnsi="黑体" w:cs="黑体" w:hint="eastAsia"/>
          <w:color w:val="333333"/>
          <w:sz w:val="30"/>
          <w:szCs w:val="30"/>
          <w:shd w:val="clear" w:color="auto" w:fill="FFFFFF"/>
        </w:rPr>
        <w:t>年度部门整体支出绩效自评指标计分表</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104"/>
        <w:gridCol w:w="950"/>
        <w:gridCol w:w="1000"/>
        <w:gridCol w:w="650"/>
        <w:gridCol w:w="2260"/>
        <w:gridCol w:w="2264"/>
      </w:tblGrid>
      <w:tr w:rsidR="00097307">
        <w:trPr>
          <w:trHeight w:val="141"/>
        </w:trPr>
        <w:tc>
          <w:tcPr>
            <w:tcW w:w="110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一级</w:t>
            </w:r>
            <w:r>
              <w:rPr>
                <w:rFonts w:ascii="宋体" w:eastAsia="宋体" w:hAnsi="宋体" w:cs="宋体" w:hint="eastAsia"/>
                <w:color w:val="333333"/>
                <w:szCs w:val="24"/>
              </w:rPr>
              <w:br/>
            </w:r>
            <w:r>
              <w:rPr>
                <w:rFonts w:ascii="宋体" w:eastAsia="宋体" w:hAnsi="宋体" w:cs="宋体" w:hint="eastAsia"/>
                <w:color w:val="333333"/>
                <w:szCs w:val="24"/>
              </w:rPr>
              <w:t>指标</w:t>
            </w:r>
          </w:p>
        </w:tc>
        <w:tc>
          <w:tcPr>
            <w:tcW w:w="9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二级指标</w:t>
            </w: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三级指标</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自评分</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指标解释</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指标说明</w:t>
            </w:r>
          </w:p>
        </w:tc>
      </w:tr>
      <w:tr w:rsidR="00097307">
        <w:trPr>
          <w:trHeight w:val="141"/>
        </w:trPr>
        <w:tc>
          <w:tcPr>
            <w:tcW w:w="1104" w:type="dxa"/>
            <w:vMerge w:val="restart"/>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投</w:t>
            </w:r>
            <w:r>
              <w:rPr>
                <w:rFonts w:ascii="宋体" w:eastAsia="宋体" w:hAnsi="宋体" w:cs="宋体" w:hint="eastAsia"/>
                <w:color w:val="333333"/>
                <w:szCs w:val="24"/>
              </w:rPr>
              <w:t>   </w:t>
            </w:r>
            <w:r>
              <w:rPr>
                <w:rFonts w:ascii="宋体" w:eastAsia="宋体" w:hAnsi="宋体" w:cs="宋体" w:hint="eastAsia"/>
                <w:color w:val="333333"/>
                <w:szCs w:val="24"/>
              </w:rPr>
              <w:t>入（</w:t>
            </w:r>
            <w:r>
              <w:rPr>
                <w:rFonts w:ascii="宋体" w:eastAsia="宋体" w:hAnsi="宋体" w:cs="宋体" w:hint="eastAsia"/>
                <w:color w:val="333333"/>
                <w:szCs w:val="24"/>
              </w:rPr>
              <w:t>20</w:t>
            </w:r>
            <w:r>
              <w:rPr>
                <w:rFonts w:ascii="宋体" w:eastAsia="宋体" w:hAnsi="宋体" w:cs="宋体" w:hint="eastAsia"/>
                <w:color w:val="333333"/>
                <w:szCs w:val="24"/>
              </w:rPr>
              <w:t>分）</w:t>
            </w:r>
          </w:p>
        </w:tc>
        <w:tc>
          <w:tcPr>
            <w:tcW w:w="950" w:type="dxa"/>
            <w:vMerge w:val="restart"/>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目标</w:t>
            </w:r>
            <w:r>
              <w:rPr>
                <w:rFonts w:ascii="宋体" w:eastAsia="宋体" w:hAnsi="宋体" w:cs="宋体" w:hint="eastAsia"/>
                <w:color w:val="333333"/>
                <w:szCs w:val="24"/>
              </w:rPr>
              <w:br/>
            </w:r>
            <w:r>
              <w:rPr>
                <w:rFonts w:ascii="宋体" w:eastAsia="宋体" w:hAnsi="宋体" w:cs="宋体" w:hint="eastAsia"/>
                <w:color w:val="333333"/>
                <w:szCs w:val="24"/>
              </w:rPr>
              <w:t>设定（</w:t>
            </w:r>
            <w:r>
              <w:rPr>
                <w:rFonts w:ascii="宋体" w:eastAsia="宋体" w:hAnsi="宋体" w:cs="宋体" w:hint="eastAsia"/>
                <w:color w:val="333333"/>
                <w:szCs w:val="24"/>
              </w:rPr>
              <w:t>5</w:t>
            </w:r>
            <w:r>
              <w:rPr>
                <w:rFonts w:ascii="宋体" w:eastAsia="宋体" w:hAnsi="宋体" w:cs="宋体" w:hint="eastAsia"/>
                <w:color w:val="333333"/>
                <w:szCs w:val="24"/>
              </w:rPr>
              <w:t>分）</w:t>
            </w: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绩效目标合理性（</w:t>
            </w:r>
            <w:r>
              <w:rPr>
                <w:rFonts w:ascii="宋体" w:eastAsia="宋体" w:hAnsi="宋体" w:cs="宋体" w:hint="eastAsia"/>
                <w:color w:val="333333"/>
                <w:szCs w:val="24"/>
              </w:rPr>
              <w:t>2</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2</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部门所设立的整体绩效目标依据是否充分，是否符合客观实际，用以反映和考核部门整体绩效目标与部门履职、年度工作任务的相符性情况。</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①符合国家法律法规、国民经济和社会发展总体规划计</w:t>
            </w:r>
            <w:r>
              <w:rPr>
                <w:rFonts w:ascii="宋体" w:eastAsia="宋体" w:hAnsi="宋体" w:cs="宋体" w:hint="eastAsia"/>
                <w:color w:val="333333"/>
                <w:szCs w:val="24"/>
              </w:rPr>
              <w:t>1</w:t>
            </w:r>
            <w:r>
              <w:rPr>
                <w:rFonts w:ascii="宋体" w:eastAsia="宋体" w:hAnsi="宋体" w:cs="宋体" w:hint="eastAsia"/>
                <w:color w:val="333333"/>
                <w:szCs w:val="24"/>
              </w:rPr>
              <w:t>分；②符合部门“三定”方案确定的职责计</w:t>
            </w:r>
            <w:r>
              <w:rPr>
                <w:rFonts w:ascii="宋体" w:eastAsia="宋体" w:hAnsi="宋体" w:cs="宋体" w:hint="eastAsia"/>
                <w:color w:val="333333"/>
                <w:szCs w:val="24"/>
              </w:rPr>
              <w:t>0.5</w:t>
            </w:r>
            <w:r>
              <w:rPr>
                <w:rFonts w:ascii="宋体" w:eastAsia="宋体" w:hAnsi="宋体" w:cs="宋体" w:hint="eastAsia"/>
                <w:color w:val="333333"/>
                <w:szCs w:val="24"/>
              </w:rPr>
              <w:t>分；③是否符合部门制定的中长期实施规划计</w:t>
            </w:r>
            <w:r>
              <w:rPr>
                <w:rFonts w:ascii="宋体" w:eastAsia="宋体" w:hAnsi="宋体" w:cs="宋体" w:hint="eastAsia"/>
                <w:color w:val="333333"/>
                <w:szCs w:val="24"/>
              </w:rPr>
              <w:t>0.5</w:t>
            </w:r>
            <w:r>
              <w:rPr>
                <w:rFonts w:ascii="宋体" w:eastAsia="宋体" w:hAnsi="宋体" w:cs="宋体" w:hint="eastAsia"/>
                <w:color w:val="333333"/>
                <w:szCs w:val="24"/>
              </w:rPr>
              <w:t>分。</w:t>
            </w: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绩效指标明确性（</w:t>
            </w:r>
            <w:r>
              <w:rPr>
                <w:rFonts w:ascii="宋体" w:eastAsia="宋体" w:hAnsi="宋体" w:cs="宋体" w:hint="eastAsia"/>
                <w:color w:val="333333"/>
                <w:szCs w:val="24"/>
              </w:rPr>
              <w:t>3</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2</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部门依据整体绩效目标所设定的绩效指标是否清晰、细化、可衡量，用以反映和考核部门整体绩效目标的明细化情况。</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①将部门整体的绩效目标细化分解为具体的工作任务计</w:t>
            </w:r>
            <w:r>
              <w:rPr>
                <w:rFonts w:ascii="宋体" w:eastAsia="宋体" w:hAnsi="宋体" w:cs="宋体" w:hint="eastAsia"/>
                <w:color w:val="333333"/>
                <w:szCs w:val="24"/>
              </w:rPr>
              <w:t>1</w:t>
            </w:r>
            <w:r>
              <w:rPr>
                <w:rFonts w:ascii="宋体" w:eastAsia="宋体" w:hAnsi="宋体" w:cs="宋体" w:hint="eastAsia"/>
                <w:color w:val="333333"/>
                <w:szCs w:val="24"/>
              </w:rPr>
              <w:t>分；②通过清晰、可衡量的指标值予以体现计</w:t>
            </w:r>
            <w:r>
              <w:rPr>
                <w:rFonts w:ascii="宋体" w:eastAsia="宋体" w:hAnsi="宋体" w:cs="宋体" w:hint="eastAsia"/>
                <w:color w:val="333333"/>
                <w:szCs w:val="24"/>
              </w:rPr>
              <w:t>0.5</w:t>
            </w:r>
            <w:r>
              <w:rPr>
                <w:rFonts w:ascii="宋体" w:eastAsia="宋体" w:hAnsi="宋体" w:cs="宋体" w:hint="eastAsia"/>
                <w:color w:val="333333"/>
                <w:szCs w:val="24"/>
              </w:rPr>
              <w:t>分。③与部门年度的任务数或计划数相对应计</w:t>
            </w:r>
            <w:r>
              <w:rPr>
                <w:rFonts w:ascii="宋体" w:eastAsia="宋体" w:hAnsi="宋体" w:cs="宋体" w:hint="eastAsia"/>
                <w:color w:val="333333"/>
                <w:szCs w:val="24"/>
              </w:rPr>
              <w:t>0.5</w:t>
            </w:r>
            <w:r>
              <w:rPr>
                <w:rFonts w:ascii="宋体" w:eastAsia="宋体" w:hAnsi="宋体" w:cs="宋体" w:hint="eastAsia"/>
                <w:color w:val="333333"/>
                <w:szCs w:val="24"/>
              </w:rPr>
              <w:t>分；④与本年度部门预算资金相匹配计</w:t>
            </w:r>
            <w:r>
              <w:rPr>
                <w:rFonts w:ascii="宋体" w:eastAsia="宋体" w:hAnsi="宋体" w:cs="宋体" w:hint="eastAsia"/>
                <w:color w:val="333333"/>
                <w:szCs w:val="24"/>
              </w:rPr>
              <w:t>1</w:t>
            </w:r>
            <w:r>
              <w:rPr>
                <w:rFonts w:ascii="宋体" w:eastAsia="宋体" w:hAnsi="宋体" w:cs="宋体" w:hint="eastAsia"/>
                <w:color w:val="333333"/>
                <w:szCs w:val="24"/>
              </w:rPr>
              <w:t>分。</w:t>
            </w: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val="restart"/>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预算</w:t>
            </w:r>
            <w:r>
              <w:rPr>
                <w:rFonts w:ascii="宋体" w:eastAsia="宋体" w:hAnsi="宋体" w:cs="宋体" w:hint="eastAsia"/>
                <w:color w:val="333333"/>
                <w:szCs w:val="24"/>
              </w:rPr>
              <w:br/>
            </w:r>
            <w:r>
              <w:rPr>
                <w:rFonts w:ascii="宋体" w:eastAsia="宋体" w:hAnsi="宋体" w:cs="宋体" w:hint="eastAsia"/>
                <w:color w:val="333333"/>
                <w:szCs w:val="24"/>
              </w:rPr>
              <w:t>配置（</w:t>
            </w:r>
            <w:r>
              <w:rPr>
                <w:rFonts w:ascii="宋体" w:eastAsia="宋体" w:hAnsi="宋体" w:cs="宋体" w:hint="eastAsia"/>
                <w:color w:val="333333"/>
                <w:szCs w:val="24"/>
              </w:rPr>
              <w:t>15</w:t>
            </w:r>
            <w:r>
              <w:rPr>
                <w:rFonts w:ascii="宋体" w:eastAsia="宋体" w:hAnsi="宋体" w:cs="宋体" w:hint="eastAsia"/>
                <w:color w:val="333333"/>
                <w:szCs w:val="24"/>
              </w:rPr>
              <w:t>分）</w:t>
            </w: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在职人员控制率（</w:t>
            </w:r>
            <w:r>
              <w:rPr>
                <w:rFonts w:ascii="宋体" w:eastAsia="宋体" w:hAnsi="宋体" w:cs="宋体" w:hint="eastAsia"/>
                <w:color w:val="333333"/>
                <w:szCs w:val="24"/>
              </w:rPr>
              <w:t>5</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5</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部门本年度实际在职人员数与编制数的比率，用以反映和考核部门对人员成本的控制程度。</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在职人员控制率</w:t>
            </w:r>
            <w:r>
              <w:rPr>
                <w:rFonts w:ascii="宋体" w:eastAsia="宋体" w:hAnsi="宋体" w:cs="宋体" w:hint="eastAsia"/>
                <w:color w:val="333333"/>
                <w:szCs w:val="24"/>
              </w:rPr>
              <w:t>=</w:t>
            </w:r>
            <w:r>
              <w:rPr>
                <w:rFonts w:ascii="宋体" w:eastAsia="宋体" w:hAnsi="宋体" w:cs="宋体" w:hint="eastAsia"/>
                <w:color w:val="333333"/>
                <w:szCs w:val="24"/>
              </w:rPr>
              <w:t>（在职人员数</w:t>
            </w:r>
            <w:r>
              <w:rPr>
                <w:rFonts w:ascii="宋体" w:eastAsia="宋体" w:hAnsi="宋体" w:cs="宋体" w:hint="eastAsia"/>
                <w:color w:val="333333"/>
                <w:szCs w:val="24"/>
              </w:rPr>
              <w:t>/</w:t>
            </w:r>
            <w:r>
              <w:rPr>
                <w:rFonts w:ascii="宋体" w:eastAsia="宋体" w:hAnsi="宋体" w:cs="宋体" w:hint="eastAsia"/>
                <w:color w:val="333333"/>
                <w:szCs w:val="24"/>
              </w:rPr>
              <w:t>编制数）×</w:t>
            </w:r>
            <w:r>
              <w:rPr>
                <w:rFonts w:ascii="宋体" w:eastAsia="宋体" w:hAnsi="宋体" w:cs="宋体" w:hint="eastAsia"/>
                <w:color w:val="333333"/>
                <w:szCs w:val="24"/>
              </w:rPr>
              <w:t>100%</w:t>
            </w:r>
            <w:r>
              <w:rPr>
                <w:rFonts w:ascii="宋体" w:eastAsia="宋体" w:hAnsi="宋体" w:cs="宋体" w:hint="eastAsia"/>
                <w:color w:val="333333"/>
                <w:szCs w:val="24"/>
              </w:rPr>
              <w:t>小于或等于</w:t>
            </w:r>
            <w:r>
              <w:rPr>
                <w:rFonts w:ascii="宋体" w:eastAsia="宋体" w:hAnsi="宋体" w:cs="宋体" w:hint="eastAsia"/>
                <w:color w:val="333333"/>
                <w:szCs w:val="24"/>
              </w:rPr>
              <w:t>1</w:t>
            </w:r>
            <w:r>
              <w:rPr>
                <w:rFonts w:ascii="宋体" w:eastAsia="宋体" w:hAnsi="宋体" w:cs="宋体" w:hint="eastAsia"/>
                <w:color w:val="333333"/>
                <w:szCs w:val="24"/>
              </w:rPr>
              <w:t>计</w:t>
            </w:r>
            <w:r>
              <w:rPr>
                <w:rFonts w:ascii="宋体" w:eastAsia="宋体" w:hAnsi="宋体" w:cs="宋体" w:hint="eastAsia"/>
                <w:color w:val="333333"/>
                <w:szCs w:val="24"/>
              </w:rPr>
              <w:t>5</w:t>
            </w:r>
            <w:r>
              <w:rPr>
                <w:rFonts w:ascii="宋体" w:eastAsia="宋体" w:hAnsi="宋体" w:cs="宋体" w:hint="eastAsia"/>
                <w:color w:val="333333"/>
                <w:szCs w:val="24"/>
              </w:rPr>
              <w:t>分，否则按比例计分。在职人员数：部门实际在职人数，以财政部确定的部门决算编制口径为准。编制数：机构编制部门核定批复的部门的人员编制数。</w:t>
            </w: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“三公经费”</w:t>
            </w:r>
          </w:p>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变动率（</w:t>
            </w:r>
            <w:r>
              <w:rPr>
                <w:rFonts w:ascii="宋体" w:eastAsia="宋体" w:hAnsi="宋体" w:cs="宋体" w:hint="eastAsia"/>
                <w:color w:val="333333"/>
                <w:szCs w:val="24"/>
              </w:rPr>
              <w:t>5</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5</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部门本年度“三公经费”预算数与上年度“三公经费”预算数的变动比率，用以反映和考核部门对控制</w:t>
            </w:r>
            <w:r>
              <w:rPr>
                <w:rFonts w:ascii="宋体" w:eastAsia="宋体" w:hAnsi="宋体" w:cs="宋体" w:hint="eastAsia"/>
                <w:color w:val="333333"/>
                <w:szCs w:val="24"/>
              </w:rPr>
              <w:lastRenderedPageBreak/>
              <w:t>重点行政成本的努力程度。</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lastRenderedPageBreak/>
              <w:t>“三公经费”变动率</w:t>
            </w:r>
            <w:r>
              <w:rPr>
                <w:rFonts w:ascii="宋体" w:eastAsia="宋体" w:hAnsi="宋体" w:cs="宋体" w:hint="eastAsia"/>
                <w:color w:val="333333"/>
                <w:szCs w:val="24"/>
              </w:rPr>
              <w:t>=[</w:t>
            </w:r>
            <w:r>
              <w:rPr>
                <w:rFonts w:ascii="宋体" w:eastAsia="宋体" w:hAnsi="宋体" w:cs="宋体" w:hint="eastAsia"/>
                <w:color w:val="333333"/>
                <w:szCs w:val="24"/>
              </w:rPr>
              <w:t>（本年度“三公经费”总额</w:t>
            </w:r>
            <w:r>
              <w:rPr>
                <w:rFonts w:ascii="宋体" w:eastAsia="宋体" w:hAnsi="宋体" w:cs="宋体" w:hint="eastAsia"/>
                <w:color w:val="333333"/>
                <w:szCs w:val="24"/>
              </w:rPr>
              <w:t>-</w:t>
            </w:r>
            <w:r>
              <w:rPr>
                <w:rFonts w:ascii="宋体" w:eastAsia="宋体" w:hAnsi="宋体" w:cs="宋体" w:hint="eastAsia"/>
                <w:color w:val="333333"/>
                <w:szCs w:val="24"/>
              </w:rPr>
              <w:t>上年度“三公经费”总额）</w:t>
            </w:r>
            <w:r>
              <w:rPr>
                <w:rFonts w:ascii="宋体" w:eastAsia="宋体" w:hAnsi="宋体" w:cs="宋体" w:hint="eastAsia"/>
                <w:color w:val="333333"/>
                <w:szCs w:val="24"/>
              </w:rPr>
              <w:t>/</w:t>
            </w:r>
            <w:r>
              <w:rPr>
                <w:rFonts w:ascii="宋体" w:eastAsia="宋体" w:hAnsi="宋体" w:cs="宋体" w:hint="eastAsia"/>
                <w:color w:val="333333"/>
                <w:szCs w:val="24"/>
              </w:rPr>
              <w:t>上年度“三公经费”总额</w:t>
            </w:r>
            <w:r>
              <w:rPr>
                <w:rFonts w:ascii="宋体" w:eastAsia="宋体" w:hAnsi="宋体" w:cs="宋体" w:hint="eastAsia"/>
                <w:color w:val="333333"/>
                <w:szCs w:val="24"/>
              </w:rPr>
              <w:t>]</w:t>
            </w:r>
            <w:r>
              <w:rPr>
                <w:rFonts w:ascii="宋体" w:eastAsia="宋体" w:hAnsi="宋体" w:cs="宋体" w:hint="eastAsia"/>
                <w:color w:val="333333"/>
                <w:szCs w:val="24"/>
              </w:rPr>
              <w:lastRenderedPageBreak/>
              <w:t>×</w:t>
            </w:r>
            <w:r>
              <w:rPr>
                <w:rFonts w:ascii="宋体" w:eastAsia="宋体" w:hAnsi="宋体" w:cs="宋体" w:hint="eastAsia"/>
                <w:color w:val="333333"/>
                <w:szCs w:val="24"/>
              </w:rPr>
              <w:t>100%</w:t>
            </w:r>
            <w:r>
              <w:rPr>
                <w:rFonts w:ascii="宋体" w:eastAsia="宋体" w:hAnsi="宋体" w:cs="宋体" w:hint="eastAsia"/>
                <w:color w:val="333333"/>
                <w:szCs w:val="24"/>
              </w:rPr>
              <w:t>。下降的计</w:t>
            </w:r>
            <w:r>
              <w:rPr>
                <w:rFonts w:ascii="宋体" w:eastAsia="宋体" w:hAnsi="宋体" w:cs="宋体" w:hint="eastAsia"/>
                <w:color w:val="333333"/>
                <w:szCs w:val="24"/>
              </w:rPr>
              <w:t>5</w:t>
            </w:r>
            <w:r>
              <w:rPr>
                <w:rFonts w:ascii="宋体" w:eastAsia="宋体" w:hAnsi="宋体" w:cs="宋体" w:hint="eastAsia"/>
                <w:color w:val="333333"/>
                <w:szCs w:val="24"/>
              </w:rPr>
              <w:t>分，增加的按比例扣减。“三公经费”：年度预算安排的因公出国（境）费、公务车辆购置及运行费和公务招待费。</w:t>
            </w: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重点支出安排率（</w:t>
            </w:r>
            <w:r>
              <w:rPr>
                <w:rFonts w:ascii="宋体" w:eastAsia="宋体" w:hAnsi="宋体" w:cs="宋体" w:hint="eastAsia"/>
                <w:color w:val="333333"/>
                <w:szCs w:val="24"/>
              </w:rPr>
              <w:t>5</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5</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部门本年度预算安排的重点项目支出与部门项目总支出的比率，用以反映和考核部门对履行主要职责或完成重点任务的保障程度。</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重点支出安排率</w:t>
            </w:r>
            <w:r>
              <w:rPr>
                <w:rFonts w:ascii="宋体" w:eastAsia="宋体" w:hAnsi="宋体" w:cs="宋体" w:hint="eastAsia"/>
                <w:color w:val="333333"/>
                <w:szCs w:val="24"/>
              </w:rPr>
              <w:t>=</w:t>
            </w:r>
            <w:r>
              <w:rPr>
                <w:rFonts w:ascii="宋体" w:eastAsia="宋体" w:hAnsi="宋体" w:cs="宋体" w:hint="eastAsia"/>
                <w:color w:val="333333"/>
                <w:szCs w:val="24"/>
              </w:rPr>
              <w:t>（重点项目支出</w:t>
            </w:r>
            <w:r>
              <w:rPr>
                <w:rFonts w:ascii="宋体" w:eastAsia="宋体" w:hAnsi="宋体" w:cs="宋体" w:hint="eastAsia"/>
                <w:color w:val="333333"/>
                <w:szCs w:val="24"/>
              </w:rPr>
              <w:t>/</w:t>
            </w:r>
            <w:r>
              <w:rPr>
                <w:rFonts w:ascii="宋体" w:eastAsia="宋体" w:hAnsi="宋体" w:cs="宋体" w:hint="eastAsia"/>
                <w:color w:val="333333"/>
                <w:szCs w:val="24"/>
              </w:rPr>
              <w:t>项目总支出）×</w:t>
            </w:r>
            <w:r>
              <w:rPr>
                <w:rFonts w:ascii="宋体" w:eastAsia="宋体" w:hAnsi="宋体" w:cs="宋体" w:hint="eastAsia"/>
                <w:color w:val="333333"/>
                <w:szCs w:val="24"/>
              </w:rPr>
              <w:t>100%</w:t>
            </w:r>
            <w:r>
              <w:rPr>
                <w:rFonts w:ascii="宋体" w:eastAsia="宋体" w:hAnsi="宋体" w:cs="宋体" w:hint="eastAsia"/>
                <w:color w:val="333333"/>
                <w:szCs w:val="24"/>
              </w:rPr>
              <w:t>。实际得分</w:t>
            </w:r>
            <w:r>
              <w:rPr>
                <w:rFonts w:ascii="宋体" w:eastAsia="宋体" w:hAnsi="宋体" w:cs="宋体" w:hint="eastAsia"/>
                <w:color w:val="333333"/>
                <w:szCs w:val="24"/>
              </w:rPr>
              <w:t>=</w:t>
            </w:r>
            <w:r>
              <w:rPr>
                <w:rFonts w:ascii="宋体" w:eastAsia="宋体" w:hAnsi="宋体" w:cs="宋体" w:hint="eastAsia"/>
                <w:color w:val="333333"/>
                <w:szCs w:val="24"/>
              </w:rPr>
              <w:t>支出安排率</w:t>
            </w:r>
            <w:r>
              <w:rPr>
                <w:rFonts w:ascii="宋体" w:eastAsia="宋体" w:hAnsi="宋体" w:cs="宋体" w:hint="eastAsia"/>
                <w:color w:val="333333"/>
                <w:szCs w:val="24"/>
              </w:rPr>
              <w:t>*5</w:t>
            </w:r>
            <w:r>
              <w:rPr>
                <w:rFonts w:ascii="宋体" w:eastAsia="宋体" w:hAnsi="宋体" w:cs="宋体" w:hint="eastAsia"/>
                <w:color w:val="333333"/>
                <w:szCs w:val="24"/>
              </w:rPr>
              <w:t>分。重点项目支出：部门年度预算安排的，与本部门履职和发展密切相关、具有明显社会和经济影响、党委政府关心或社会比较关注的项目支出总额。项目总支出：部门年度预算安排的项目支出总额。</w:t>
            </w:r>
          </w:p>
        </w:tc>
      </w:tr>
      <w:tr w:rsidR="00097307">
        <w:trPr>
          <w:trHeight w:val="141"/>
        </w:trPr>
        <w:tc>
          <w:tcPr>
            <w:tcW w:w="1104" w:type="dxa"/>
            <w:vMerge w:val="restart"/>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过</w:t>
            </w:r>
            <w:r>
              <w:rPr>
                <w:rFonts w:ascii="宋体" w:eastAsia="宋体" w:hAnsi="宋体" w:cs="宋体" w:hint="eastAsia"/>
                <w:color w:val="333333"/>
                <w:szCs w:val="24"/>
              </w:rPr>
              <w:t>             </w:t>
            </w:r>
            <w:r>
              <w:rPr>
                <w:rFonts w:ascii="宋体" w:eastAsia="宋体" w:hAnsi="宋体" w:cs="宋体" w:hint="eastAsia"/>
                <w:color w:val="333333"/>
                <w:szCs w:val="24"/>
              </w:rPr>
              <w:t>程（</w:t>
            </w:r>
            <w:r>
              <w:rPr>
                <w:rFonts w:ascii="宋体" w:eastAsia="宋体" w:hAnsi="宋体" w:cs="宋体" w:hint="eastAsia"/>
                <w:color w:val="333333"/>
                <w:szCs w:val="24"/>
              </w:rPr>
              <w:t>30</w:t>
            </w:r>
            <w:r>
              <w:rPr>
                <w:rFonts w:ascii="宋体" w:eastAsia="宋体" w:hAnsi="宋体" w:cs="宋体" w:hint="eastAsia"/>
                <w:color w:val="333333"/>
                <w:szCs w:val="24"/>
              </w:rPr>
              <w:t>分）</w:t>
            </w:r>
          </w:p>
        </w:tc>
        <w:tc>
          <w:tcPr>
            <w:tcW w:w="950" w:type="dxa"/>
            <w:vMerge w:val="restart"/>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预算</w:t>
            </w:r>
            <w:r>
              <w:rPr>
                <w:rFonts w:ascii="宋体" w:eastAsia="宋体" w:hAnsi="宋体" w:cs="宋体" w:hint="eastAsia"/>
                <w:color w:val="333333"/>
                <w:szCs w:val="24"/>
              </w:rPr>
              <w:br/>
            </w:r>
            <w:r>
              <w:rPr>
                <w:rFonts w:ascii="宋体" w:eastAsia="宋体" w:hAnsi="宋体" w:cs="宋体" w:hint="eastAsia"/>
                <w:color w:val="333333"/>
                <w:szCs w:val="24"/>
              </w:rPr>
              <w:t>执行</w:t>
            </w:r>
          </w:p>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w:t>
            </w:r>
            <w:r>
              <w:rPr>
                <w:rFonts w:ascii="宋体" w:eastAsia="宋体" w:hAnsi="宋体" w:cs="宋体" w:hint="eastAsia"/>
                <w:color w:val="333333"/>
                <w:szCs w:val="24"/>
              </w:rPr>
              <w:t>20</w:t>
            </w:r>
            <w:r>
              <w:rPr>
                <w:rFonts w:ascii="宋体" w:eastAsia="宋体" w:hAnsi="宋体" w:cs="宋体" w:hint="eastAsia"/>
                <w:color w:val="333333"/>
                <w:szCs w:val="24"/>
              </w:rPr>
              <w:t>分）</w:t>
            </w: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预算完成率（</w:t>
            </w:r>
            <w:r>
              <w:rPr>
                <w:rFonts w:ascii="宋体" w:eastAsia="宋体" w:hAnsi="宋体" w:cs="宋体" w:hint="eastAsia"/>
                <w:color w:val="333333"/>
                <w:szCs w:val="24"/>
              </w:rPr>
              <w:t>4</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4</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部门本年度预算完成数与预算数的比率，用以反映和考核部门预算完成程度。</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预算完成率</w:t>
            </w:r>
            <w:r>
              <w:rPr>
                <w:rFonts w:ascii="宋体" w:eastAsia="宋体" w:hAnsi="宋体" w:cs="宋体" w:hint="eastAsia"/>
                <w:color w:val="333333"/>
                <w:szCs w:val="24"/>
              </w:rPr>
              <w:t>=</w:t>
            </w:r>
            <w:r>
              <w:rPr>
                <w:rFonts w:ascii="宋体" w:eastAsia="宋体" w:hAnsi="宋体" w:cs="宋体" w:hint="eastAsia"/>
                <w:color w:val="333333"/>
                <w:szCs w:val="24"/>
              </w:rPr>
              <w:t>（预算完成数</w:t>
            </w:r>
            <w:r>
              <w:rPr>
                <w:rFonts w:ascii="宋体" w:eastAsia="宋体" w:hAnsi="宋体" w:cs="宋体" w:hint="eastAsia"/>
                <w:color w:val="333333"/>
                <w:szCs w:val="24"/>
              </w:rPr>
              <w:t>/</w:t>
            </w:r>
            <w:r>
              <w:rPr>
                <w:rFonts w:ascii="宋体" w:eastAsia="宋体" w:hAnsi="宋体" w:cs="宋体" w:hint="eastAsia"/>
                <w:color w:val="333333"/>
                <w:szCs w:val="24"/>
              </w:rPr>
              <w:t>预算数）×</w:t>
            </w:r>
            <w:r>
              <w:rPr>
                <w:rFonts w:ascii="宋体" w:eastAsia="宋体" w:hAnsi="宋体" w:cs="宋体" w:hint="eastAsia"/>
                <w:color w:val="333333"/>
                <w:szCs w:val="24"/>
              </w:rPr>
              <w:t>100%</w:t>
            </w:r>
            <w:r>
              <w:rPr>
                <w:rFonts w:ascii="宋体" w:eastAsia="宋体" w:hAnsi="宋体" w:cs="宋体" w:hint="eastAsia"/>
                <w:color w:val="333333"/>
                <w:szCs w:val="24"/>
              </w:rPr>
              <w:t>。完成年初预算计</w:t>
            </w:r>
            <w:r>
              <w:rPr>
                <w:rFonts w:ascii="宋体" w:eastAsia="宋体" w:hAnsi="宋体" w:cs="宋体" w:hint="eastAsia"/>
                <w:color w:val="333333"/>
                <w:szCs w:val="24"/>
              </w:rPr>
              <w:t>4</w:t>
            </w:r>
            <w:r>
              <w:rPr>
                <w:rFonts w:ascii="宋体" w:eastAsia="宋体" w:hAnsi="宋体" w:cs="宋体" w:hint="eastAsia"/>
                <w:color w:val="333333"/>
                <w:szCs w:val="24"/>
              </w:rPr>
              <w:t>分，未完成年初预算按比例扣减，预算完成数：部门本年度实际完成的预算数。预算数：财政部门批复的本年度部门预算数。</w:t>
            </w: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预算调整率（</w:t>
            </w:r>
            <w:r>
              <w:rPr>
                <w:rFonts w:ascii="宋体" w:eastAsia="宋体" w:hAnsi="宋体" w:cs="宋体" w:hint="eastAsia"/>
                <w:color w:val="333333"/>
                <w:szCs w:val="24"/>
              </w:rPr>
              <w:t>2</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2</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部门本年度预算调整数与预算数的比率，用以反映和考核部门预算的调整程度。</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预算调整率</w:t>
            </w:r>
            <w:r>
              <w:rPr>
                <w:rFonts w:ascii="宋体" w:eastAsia="宋体" w:hAnsi="宋体" w:cs="宋体" w:hint="eastAsia"/>
                <w:color w:val="333333"/>
                <w:szCs w:val="24"/>
              </w:rPr>
              <w:t>=</w:t>
            </w:r>
            <w:r>
              <w:rPr>
                <w:rFonts w:ascii="宋体" w:eastAsia="宋体" w:hAnsi="宋体" w:cs="宋体" w:hint="eastAsia"/>
                <w:color w:val="333333"/>
                <w:szCs w:val="24"/>
              </w:rPr>
              <w:t>（预算调整数</w:t>
            </w:r>
            <w:r>
              <w:rPr>
                <w:rFonts w:ascii="宋体" w:eastAsia="宋体" w:hAnsi="宋体" w:cs="宋体" w:hint="eastAsia"/>
                <w:color w:val="333333"/>
                <w:szCs w:val="24"/>
              </w:rPr>
              <w:t>/</w:t>
            </w:r>
            <w:r>
              <w:rPr>
                <w:rFonts w:ascii="宋体" w:eastAsia="宋体" w:hAnsi="宋体" w:cs="宋体" w:hint="eastAsia"/>
                <w:color w:val="333333"/>
                <w:szCs w:val="24"/>
              </w:rPr>
              <w:t>预算数）×</w:t>
            </w:r>
            <w:r>
              <w:rPr>
                <w:rFonts w:ascii="宋体" w:eastAsia="宋体" w:hAnsi="宋体" w:cs="宋体" w:hint="eastAsia"/>
                <w:color w:val="333333"/>
                <w:szCs w:val="24"/>
              </w:rPr>
              <w:t>100%</w:t>
            </w:r>
            <w:r>
              <w:rPr>
                <w:rFonts w:ascii="宋体" w:eastAsia="宋体" w:hAnsi="宋体" w:cs="宋体" w:hint="eastAsia"/>
                <w:color w:val="333333"/>
                <w:szCs w:val="24"/>
              </w:rPr>
              <w:t>。未调整的计</w:t>
            </w:r>
            <w:r>
              <w:rPr>
                <w:rFonts w:ascii="宋体" w:eastAsia="宋体" w:hAnsi="宋体" w:cs="宋体" w:hint="eastAsia"/>
                <w:color w:val="333333"/>
                <w:szCs w:val="24"/>
              </w:rPr>
              <w:t>2</w:t>
            </w:r>
            <w:r>
              <w:rPr>
                <w:rFonts w:ascii="宋体" w:eastAsia="宋体" w:hAnsi="宋体" w:cs="宋体" w:hint="eastAsia"/>
                <w:color w:val="333333"/>
                <w:szCs w:val="24"/>
              </w:rPr>
              <w:t>分，调整了的除特殊原因外按比例扣减。预算调整数：部门在本年度内涉及预算的追加、追减或结构调整的资金总和（因落实国家政策、发生不可抗力、上级部门或同级党委政府临时交办而产生的调整除</w:t>
            </w:r>
            <w:r>
              <w:rPr>
                <w:rFonts w:ascii="宋体" w:eastAsia="宋体" w:hAnsi="宋体" w:cs="宋体" w:hint="eastAsia"/>
                <w:color w:val="333333"/>
                <w:szCs w:val="24"/>
              </w:rPr>
              <w:lastRenderedPageBreak/>
              <w:t>外）。</w:t>
            </w: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支付进度率（</w:t>
            </w:r>
            <w:r>
              <w:rPr>
                <w:rFonts w:ascii="宋体" w:eastAsia="宋体" w:hAnsi="宋体" w:cs="宋体" w:hint="eastAsia"/>
                <w:color w:val="333333"/>
                <w:szCs w:val="24"/>
              </w:rPr>
              <w:t>2</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2</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部门实际支付进度与既定支付进度的比率，用以反映和考核部门预算执行的及时性和均衡性程度。</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支付进度率</w:t>
            </w:r>
            <w:r>
              <w:rPr>
                <w:rFonts w:ascii="宋体" w:eastAsia="宋体" w:hAnsi="宋体" w:cs="宋体" w:hint="eastAsia"/>
                <w:color w:val="333333"/>
                <w:szCs w:val="24"/>
              </w:rPr>
              <w:t>=</w:t>
            </w:r>
            <w:r>
              <w:rPr>
                <w:rFonts w:ascii="宋体" w:eastAsia="宋体" w:hAnsi="宋体" w:cs="宋体" w:hint="eastAsia"/>
                <w:color w:val="333333"/>
                <w:szCs w:val="24"/>
              </w:rPr>
              <w:t>（实际支付进度</w:t>
            </w:r>
            <w:r>
              <w:rPr>
                <w:rFonts w:ascii="宋体" w:eastAsia="宋体" w:hAnsi="宋体" w:cs="宋体" w:hint="eastAsia"/>
                <w:color w:val="333333"/>
                <w:szCs w:val="24"/>
              </w:rPr>
              <w:t>/</w:t>
            </w:r>
            <w:r>
              <w:rPr>
                <w:rFonts w:ascii="宋体" w:eastAsia="宋体" w:hAnsi="宋体" w:cs="宋体" w:hint="eastAsia"/>
                <w:color w:val="333333"/>
                <w:szCs w:val="24"/>
              </w:rPr>
              <w:t>既定支付进度）×</w:t>
            </w:r>
            <w:r>
              <w:rPr>
                <w:rFonts w:ascii="宋体" w:eastAsia="宋体" w:hAnsi="宋体" w:cs="宋体" w:hint="eastAsia"/>
                <w:color w:val="333333"/>
                <w:szCs w:val="24"/>
              </w:rPr>
              <w:t>100%</w:t>
            </w:r>
            <w:r>
              <w:rPr>
                <w:rFonts w:ascii="宋体" w:eastAsia="宋体" w:hAnsi="宋体" w:cs="宋体" w:hint="eastAsia"/>
                <w:color w:val="333333"/>
                <w:szCs w:val="24"/>
              </w:rPr>
              <w:t>。完成年终进度的计</w:t>
            </w:r>
            <w:r>
              <w:rPr>
                <w:rFonts w:ascii="宋体" w:eastAsia="宋体" w:hAnsi="宋体" w:cs="宋体" w:hint="eastAsia"/>
                <w:color w:val="333333"/>
                <w:szCs w:val="24"/>
              </w:rPr>
              <w:t>1</w:t>
            </w:r>
            <w:r>
              <w:rPr>
                <w:rFonts w:ascii="宋体" w:eastAsia="宋体" w:hAnsi="宋体" w:cs="宋体" w:hint="eastAsia"/>
                <w:color w:val="333333"/>
                <w:szCs w:val="24"/>
              </w:rPr>
              <w:t>分，按季度完成预算进度的计</w:t>
            </w:r>
            <w:r>
              <w:rPr>
                <w:rFonts w:ascii="宋体" w:eastAsia="宋体" w:hAnsi="宋体" w:cs="宋体" w:hint="eastAsia"/>
                <w:color w:val="333333"/>
                <w:szCs w:val="24"/>
              </w:rPr>
              <w:t>1</w:t>
            </w:r>
            <w:r>
              <w:rPr>
                <w:rFonts w:ascii="宋体" w:eastAsia="宋体" w:hAnsi="宋体" w:cs="宋体" w:hint="eastAsia"/>
                <w:color w:val="333333"/>
                <w:szCs w:val="24"/>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结转结余控制率（</w:t>
            </w:r>
            <w:r>
              <w:rPr>
                <w:rFonts w:ascii="宋体" w:eastAsia="宋体" w:hAnsi="宋体" w:cs="宋体" w:hint="eastAsia"/>
                <w:color w:val="333333"/>
                <w:szCs w:val="24"/>
              </w:rPr>
              <w:t>4</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4</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部门本年度结转结余总额与上年结转结余总额增减比例，用以反映和考核部门对存量资金的实际控制程度。</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结转结余控制率</w:t>
            </w:r>
            <w:r>
              <w:rPr>
                <w:rFonts w:ascii="宋体" w:eastAsia="宋体" w:hAnsi="宋体" w:cs="宋体" w:hint="eastAsia"/>
                <w:color w:val="333333"/>
                <w:szCs w:val="24"/>
              </w:rPr>
              <w:t>=</w:t>
            </w:r>
            <w:r>
              <w:rPr>
                <w:rFonts w:ascii="宋体" w:eastAsia="宋体" w:hAnsi="宋体" w:cs="宋体" w:hint="eastAsia"/>
                <w:color w:val="333333"/>
                <w:szCs w:val="24"/>
              </w:rPr>
              <w:t>（本年结转结余总额</w:t>
            </w:r>
            <w:r>
              <w:rPr>
                <w:rFonts w:ascii="宋体" w:eastAsia="宋体" w:hAnsi="宋体" w:cs="宋体" w:hint="eastAsia"/>
                <w:color w:val="333333"/>
                <w:szCs w:val="24"/>
              </w:rPr>
              <w:t>-</w:t>
            </w:r>
            <w:r>
              <w:rPr>
                <w:rFonts w:ascii="宋体" w:eastAsia="宋体" w:hAnsi="宋体" w:cs="宋体" w:hint="eastAsia"/>
                <w:color w:val="333333"/>
                <w:szCs w:val="24"/>
              </w:rPr>
              <w:t>上年结转结余总额）</w:t>
            </w:r>
            <w:r>
              <w:rPr>
                <w:rFonts w:ascii="宋体" w:eastAsia="宋体" w:hAnsi="宋体" w:cs="宋体" w:hint="eastAsia"/>
                <w:color w:val="333333"/>
                <w:szCs w:val="24"/>
              </w:rPr>
              <w:t>/</w:t>
            </w:r>
            <w:r>
              <w:rPr>
                <w:rFonts w:ascii="宋体" w:eastAsia="宋体" w:hAnsi="宋体" w:cs="宋体" w:hint="eastAsia"/>
                <w:color w:val="333333"/>
                <w:szCs w:val="24"/>
              </w:rPr>
              <w:t>上年结转结余总额×</w:t>
            </w:r>
            <w:r>
              <w:rPr>
                <w:rFonts w:ascii="宋体" w:eastAsia="宋体" w:hAnsi="宋体" w:cs="宋体" w:hint="eastAsia"/>
                <w:color w:val="333333"/>
                <w:szCs w:val="24"/>
              </w:rPr>
              <w:t>100%</w:t>
            </w:r>
            <w:r>
              <w:rPr>
                <w:rFonts w:ascii="宋体" w:eastAsia="宋体" w:hAnsi="宋体" w:cs="宋体" w:hint="eastAsia"/>
                <w:color w:val="333333"/>
                <w:szCs w:val="24"/>
              </w:rPr>
              <w:t>。低于</w:t>
            </w:r>
            <w:r>
              <w:rPr>
                <w:rFonts w:ascii="宋体" w:eastAsia="宋体" w:hAnsi="宋体" w:cs="宋体" w:hint="eastAsia"/>
                <w:color w:val="333333"/>
                <w:szCs w:val="24"/>
              </w:rPr>
              <w:t>15%</w:t>
            </w:r>
            <w:r>
              <w:rPr>
                <w:rFonts w:ascii="宋体" w:eastAsia="宋体" w:hAnsi="宋体" w:cs="宋体" w:hint="eastAsia"/>
                <w:color w:val="333333"/>
                <w:szCs w:val="24"/>
              </w:rPr>
              <w:t>的计</w:t>
            </w:r>
            <w:r>
              <w:rPr>
                <w:rFonts w:ascii="宋体" w:eastAsia="宋体" w:hAnsi="宋体" w:cs="宋体" w:hint="eastAsia"/>
                <w:color w:val="333333"/>
                <w:szCs w:val="24"/>
              </w:rPr>
              <w:t>4</w:t>
            </w:r>
            <w:r>
              <w:rPr>
                <w:rFonts w:ascii="宋体" w:eastAsia="宋体" w:hAnsi="宋体" w:cs="宋体" w:hint="eastAsia"/>
                <w:color w:val="333333"/>
                <w:szCs w:val="24"/>
              </w:rPr>
              <w:t>分，每超过</w:t>
            </w:r>
            <w:r>
              <w:rPr>
                <w:rFonts w:ascii="宋体" w:eastAsia="宋体" w:hAnsi="宋体" w:cs="宋体" w:hint="eastAsia"/>
                <w:color w:val="333333"/>
                <w:szCs w:val="24"/>
              </w:rPr>
              <w:t>5</w:t>
            </w:r>
            <w:r>
              <w:rPr>
                <w:rFonts w:ascii="宋体" w:eastAsia="宋体" w:hAnsi="宋体" w:cs="宋体" w:hint="eastAsia"/>
                <w:color w:val="333333"/>
                <w:szCs w:val="24"/>
              </w:rPr>
              <w:t>个百分点扣</w:t>
            </w:r>
            <w:r>
              <w:rPr>
                <w:rFonts w:ascii="宋体" w:eastAsia="宋体" w:hAnsi="宋体" w:cs="宋体" w:hint="eastAsia"/>
                <w:color w:val="333333"/>
                <w:szCs w:val="24"/>
              </w:rPr>
              <w:t>1</w:t>
            </w:r>
            <w:r>
              <w:rPr>
                <w:rFonts w:ascii="宋体" w:eastAsia="宋体" w:hAnsi="宋体" w:cs="宋体" w:hint="eastAsia"/>
                <w:color w:val="333333"/>
                <w:szCs w:val="24"/>
              </w:rPr>
              <w:t>分，扣完为止。结转结余总额：部门本年度的结转资金与结余资金之和（以决算数为准）。</w:t>
            </w: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公用经费</w:t>
            </w:r>
          </w:p>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控制率（</w:t>
            </w:r>
            <w:r>
              <w:rPr>
                <w:rFonts w:ascii="宋体" w:eastAsia="宋体" w:hAnsi="宋体" w:cs="宋体" w:hint="eastAsia"/>
                <w:color w:val="333333"/>
                <w:szCs w:val="24"/>
              </w:rPr>
              <w:t>2</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2</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部门本年度实际支出的公用经费总额与预算安排的公用经费总额的比率，用以反映和考核部门对机构运转成本的实际控制程度。</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公用经费控制率</w:t>
            </w:r>
            <w:r>
              <w:rPr>
                <w:rFonts w:ascii="宋体" w:eastAsia="宋体" w:hAnsi="宋体" w:cs="宋体" w:hint="eastAsia"/>
                <w:color w:val="333333"/>
                <w:szCs w:val="24"/>
              </w:rPr>
              <w:t>=</w:t>
            </w:r>
            <w:r>
              <w:rPr>
                <w:rFonts w:ascii="宋体" w:eastAsia="宋体" w:hAnsi="宋体" w:cs="宋体" w:hint="eastAsia"/>
                <w:color w:val="333333"/>
                <w:szCs w:val="24"/>
              </w:rPr>
              <w:t>（实际支出公用经费总额</w:t>
            </w:r>
            <w:r>
              <w:rPr>
                <w:rFonts w:ascii="宋体" w:eastAsia="宋体" w:hAnsi="宋体" w:cs="宋体" w:hint="eastAsia"/>
                <w:color w:val="333333"/>
                <w:szCs w:val="24"/>
              </w:rPr>
              <w:t>/</w:t>
            </w:r>
            <w:r>
              <w:rPr>
                <w:rFonts w:ascii="宋体" w:eastAsia="宋体" w:hAnsi="宋体" w:cs="宋体" w:hint="eastAsia"/>
                <w:color w:val="333333"/>
                <w:szCs w:val="24"/>
              </w:rPr>
              <w:t>预算安排公用经费总额）×</w:t>
            </w:r>
            <w:r>
              <w:rPr>
                <w:rFonts w:ascii="宋体" w:eastAsia="宋体" w:hAnsi="宋体" w:cs="宋体" w:hint="eastAsia"/>
                <w:color w:val="333333"/>
                <w:szCs w:val="24"/>
              </w:rPr>
              <w:t>100%</w:t>
            </w:r>
            <w:r>
              <w:rPr>
                <w:rFonts w:ascii="宋体" w:eastAsia="宋体" w:hAnsi="宋体" w:cs="宋体" w:hint="eastAsia"/>
                <w:color w:val="333333"/>
                <w:szCs w:val="24"/>
              </w:rPr>
              <w:t>。为</w:t>
            </w:r>
            <w:r>
              <w:rPr>
                <w:rFonts w:ascii="宋体" w:eastAsia="宋体" w:hAnsi="宋体" w:cs="宋体" w:hint="eastAsia"/>
                <w:color w:val="333333"/>
                <w:szCs w:val="24"/>
              </w:rPr>
              <w:t>100%</w:t>
            </w:r>
            <w:r>
              <w:rPr>
                <w:rFonts w:ascii="宋体" w:eastAsia="宋体" w:hAnsi="宋体" w:cs="宋体" w:hint="eastAsia"/>
                <w:color w:val="333333"/>
                <w:szCs w:val="24"/>
              </w:rPr>
              <w:t>的计</w:t>
            </w:r>
            <w:r>
              <w:rPr>
                <w:rFonts w:ascii="宋体" w:eastAsia="宋体" w:hAnsi="宋体" w:cs="宋体" w:hint="eastAsia"/>
                <w:color w:val="333333"/>
                <w:szCs w:val="24"/>
              </w:rPr>
              <w:t>2</w:t>
            </w:r>
            <w:r>
              <w:rPr>
                <w:rFonts w:ascii="宋体" w:eastAsia="宋体" w:hAnsi="宋体" w:cs="宋体" w:hint="eastAsia"/>
                <w:color w:val="333333"/>
                <w:szCs w:val="24"/>
              </w:rPr>
              <w:t>分，每超过</w:t>
            </w:r>
            <w:r>
              <w:rPr>
                <w:rFonts w:ascii="宋体" w:eastAsia="宋体" w:hAnsi="宋体" w:cs="宋体" w:hint="eastAsia"/>
                <w:color w:val="333333"/>
                <w:szCs w:val="24"/>
              </w:rPr>
              <w:t>1</w:t>
            </w:r>
            <w:r>
              <w:rPr>
                <w:rFonts w:ascii="宋体" w:eastAsia="宋体" w:hAnsi="宋体" w:cs="宋体" w:hint="eastAsia"/>
                <w:color w:val="333333"/>
                <w:szCs w:val="24"/>
              </w:rPr>
              <w:t>个百分点扣</w:t>
            </w:r>
            <w:r>
              <w:rPr>
                <w:rFonts w:ascii="宋体" w:eastAsia="宋体" w:hAnsi="宋体" w:cs="宋体" w:hint="eastAsia"/>
                <w:color w:val="333333"/>
                <w:szCs w:val="24"/>
              </w:rPr>
              <w:t>0.1</w:t>
            </w:r>
            <w:r>
              <w:rPr>
                <w:rFonts w:ascii="宋体" w:eastAsia="宋体" w:hAnsi="宋体" w:cs="宋体" w:hint="eastAsia"/>
                <w:color w:val="333333"/>
                <w:szCs w:val="24"/>
              </w:rPr>
              <w:t>分，扣完为止。</w:t>
            </w: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“三公经费”控制率（</w:t>
            </w:r>
            <w:r>
              <w:rPr>
                <w:rFonts w:ascii="宋体" w:eastAsia="宋体" w:hAnsi="宋体" w:cs="宋体" w:hint="eastAsia"/>
                <w:color w:val="333333"/>
                <w:szCs w:val="24"/>
              </w:rPr>
              <w:t>2</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2</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部门本年度“三公经费”实际支出数与预算安排数的比率，用以反映和考核部门对“三公经费”的实际控制程度。</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“三公经费”控制率</w:t>
            </w:r>
            <w:r>
              <w:rPr>
                <w:rFonts w:ascii="宋体" w:eastAsia="宋体" w:hAnsi="宋体" w:cs="宋体" w:hint="eastAsia"/>
                <w:color w:val="333333"/>
                <w:szCs w:val="24"/>
              </w:rPr>
              <w:t>=</w:t>
            </w:r>
            <w:r>
              <w:rPr>
                <w:rFonts w:ascii="宋体" w:eastAsia="宋体" w:hAnsi="宋体" w:cs="宋体" w:hint="eastAsia"/>
                <w:color w:val="333333"/>
                <w:szCs w:val="24"/>
              </w:rPr>
              <w:t>（“三公经费”实际支出数</w:t>
            </w:r>
            <w:r>
              <w:rPr>
                <w:rFonts w:ascii="宋体" w:eastAsia="宋体" w:hAnsi="宋体" w:cs="宋体" w:hint="eastAsia"/>
                <w:color w:val="333333"/>
                <w:szCs w:val="24"/>
              </w:rPr>
              <w:t>/</w:t>
            </w:r>
            <w:r>
              <w:rPr>
                <w:rFonts w:ascii="宋体" w:eastAsia="宋体" w:hAnsi="宋体" w:cs="宋体" w:hint="eastAsia"/>
                <w:color w:val="333333"/>
                <w:szCs w:val="24"/>
              </w:rPr>
              <w:t>“三公经费”预算安排数）×</w:t>
            </w:r>
            <w:r>
              <w:rPr>
                <w:rFonts w:ascii="宋体" w:eastAsia="宋体" w:hAnsi="宋体" w:cs="宋体" w:hint="eastAsia"/>
                <w:color w:val="333333"/>
                <w:szCs w:val="24"/>
              </w:rPr>
              <w:t>100%</w:t>
            </w:r>
            <w:r>
              <w:rPr>
                <w:rFonts w:ascii="宋体" w:eastAsia="宋体" w:hAnsi="宋体" w:cs="宋体" w:hint="eastAsia"/>
                <w:color w:val="333333"/>
                <w:szCs w:val="24"/>
              </w:rPr>
              <w:t>。为</w:t>
            </w:r>
            <w:r>
              <w:rPr>
                <w:rFonts w:ascii="宋体" w:eastAsia="宋体" w:hAnsi="宋体" w:cs="宋体" w:hint="eastAsia"/>
                <w:color w:val="333333"/>
                <w:szCs w:val="24"/>
              </w:rPr>
              <w:t>100%</w:t>
            </w:r>
            <w:r>
              <w:rPr>
                <w:rFonts w:ascii="宋体" w:eastAsia="宋体" w:hAnsi="宋体" w:cs="宋体" w:hint="eastAsia"/>
                <w:color w:val="333333"/>
                <w:szCs w:val="24"/>
              </w:rPr>
              <w:t>的计</w:t>
            </w:r>
            <w:r>
              <w:rPr>
                <w:rFonts w:ascii="宋体" w:eastAsia="宋体" w:hAnsi="宋体" w:cs="宋体" w:hint="eastAsia"/>
                <w:color w:val="333333"/>
                <w:szCs w:val="24"/>
              </w:rPr>
              <w:t>2</w:t>
            </w:r>
            <w:r>
              <w:rPr>
                <w:rFonts w:ascii="宋体" w:eastAsia="宋体" w:hAnsi="宋体" w:cs="宋体" w:hint="eastAsia"/>
                <w:color w:val="333333"/>
                <w:szCs w:val="24"/>
              </w:rPr>
              <w:t>分，每超过</w:t>
            </w:r>
            <w:r>
              <w:rPr>
                <w:rFonts w:ascii="宋体" w:eastAsia="宋体" w:hAnsi="宋体" w:cs="宋体" w:hint="eastAsia"/>
                <w:color w:val="333333"/>
                <w:szCs w:val="24"/>
              </w:rPr>
              <w:t>1</w:t>
            </w:r>
            <w:r>
              <w:rPr>
                <w:rFonts w:ascii="宋体" w:eastAsia="宋体" w:hAnsi="宋体" w:cs="宋体" w:hint="eastAsia"/>
                <w:color w:val="333333"/>
                <w:szCs w:val="24"/>
              </w:rPr>
              <w:t>个百分点扣</w:t>
            </w:r>
            <w:r>
              <w:rPr>
                <w:rFonts w:ascii="宋体" w:eastAsia="宋体" w:hAnsi="宋体" w:cs="宋体" w:hint="eastAsia"/>
                <w:color w:val="333333"/>
                <w:szCs w:val="24"/>
              </w:rPr>
              <w:t>0.5</w:t>
            </w:r>
            <w:r>
              <w:rPr>
                <w:rFonts w:ascii="宋体" w:eastAsia="宋体" w:hAnsi="宋体" w:cs="宋体" w:hint="eastAsia"/>
                <w:color w:val="333333"/>
                <w:szCs w:val="24"/>
              </w:rPr>
              <w:t>分，扣完为止。</w:t>
            </w: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政府采购</w:t>
            </w:r>
          </w:p>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执行率（</w:t>
            </w:r>
            <w:r>
              <w:rPr>
                <w:rFonts w:ascii="宋体" w:eastAsia="宋体" w:hAnsi="宋体" w:cs="宋体" w:hint="eastAsia"/>
                <w:color w:val="333333"/>
                <w:szCs w:val="24"/>
              </w:rPr>
              <w:t>4</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4</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部门本年度实际政府采购金额与年初政府采购预算的比率，用以反映和考核部门政府采购预算执行情况。</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政府采购执行率</w:t>
            </w:r>
            <w:r>
              <w:rPr>
                <w:rFonts w:ascii="宋体" w:eastAsia="宋体" w:hAnsi="宋体" w:cs="宋体" w:hint="eastAsia"/>
                <w:color w:val="333333"/>
                <w:szCs w:val="24"/>
              </w:rPr>
              <w:t>=</w:t>
            </w:r>
            <w:r>
              <w:rPr>
                <w:rFonts w:ascii="宋体" w:eastAsia="宋体" w:hAnsi="宋体" w:cs="宋体" w:hint="eastAsia"/>
                <w:color w:val="333333"/>
                <w:szCs w:val="24"/>
              </w:rPr>
              <w:t>（实际政府采购金额</w:t>
            </w:r>
            <w:r>
              <w:rPr>
                <w:rFonts w:ascii="宋体" w:eastAsia="宋体" w:hAnsi="宋体" w:cs="宋体" w:hint="eastAsia"/>
                <w:color w:val="333333"/>
                <w:szCs w:val="24"/>
              </w:rPr>
              <w:t>/</w:t>
            </w:r>
            <w:r>
              <w:rPr>
                <w:rFonts w:ascii="宋体" w:eastAsia="宋体" w:hAnsi="宋体" w:cs="宋体" w:hint="eastAsia"/>
                <w:color w:val="333333"/>
                <w:szCs w:val="24"/>
              </w:rPr>
              <w:t>政府采购预算数）×</w:t>
            </w:r>
            <w:r>
              <w:rPr>
                <w:rFonts w:ascii="宋体" w:eastAsia="宋体" w:hAnsi="宋体" w:cs="宋体" w:hint="eastAsia"/>
                <w:color w:val="333333"/>
                <w:szCs w:val="24"/>
              </w:rPr>
              <w:t>100%</w:t>
            </w:r>
            <w:r>
              <w:rPr>
                <w:rFonts w:ascii="宋体" w:eastAsia="宋体" w:hAnsi="宋体" w:cs="宋体" w:hint="eastAsia"/>
                <w:color w:val="333333"/>
                <w:szCs w:val="24"/>
              </w:rPr>
              <w:t>，为</w:t>
            </w:r>
            <w:r>
              <w:rPr>
                <w:rFonts w:ascii="宋体" w:eastAsia="宋体" w:hAnsi="宋体" w:cs="宋体" w:hint="eastAsia"/>
                <w:color w:val="333333"/>
                <w:szCs w:val="24"/>
              </w:rPr>
              <w:t>100%</w:t>
            </w:r>
            <w:r>
              <w:rPr>
                <w:rFonts w:ascii="宋体" w:eastAsia="宋体" w:hAnsi="宋体" w:cs="宋体" w:hint="eastAsia"/>
                <w:color w:val="333333"/>
                <w:szCs w:val="24"/>
              </w:rPr>
              <w:t>的计</w:t>
            </w:r>
            <w:r>
              <w:rPr>
                <w:rFonts w:ascii="宋体" w:eastAsia="宋体" w:hAnsi="宋体" w:cs="宋体" w:hint="eastAsia"/>
                <w:color w:val="333333"/>
                <w:szCs w:val="24"/>
              </w:rPr>
              <w:t>2</w:t>
            </w:r>
            <w:r>
              <w:rPr>
                <w:rFonts w:ascii="宋体" w:eastAsia="宋体" w:hAnsi="宋体" w:cs="宋体" w:hint="eastAsia"/>
                <w:color w:val="333333"/>
                <w:szCs w:val="24"/>
              </w:rPr>
              <w:t>分，每低于</w:t>
            </w:r>
            <w:r>
              <w:rPr>
                <w:rFonts w:ascii="宋体" w:eastAsia="宋体" w:hAnsi="宋体" w:cs="宋体" w:hint="eastAsia"/>
                <w:color w:val="333333"/>
                <w:szCs w:val="24"/>
              </w:rPr>
              <w:t>1</w:t>
            </w:r>
            <w:r>
              <w:rPr>
                <w:rFonts w:ascii="宋体" w:eastAsia="宋体" w:hAnsi="宋体" w:cs="宋体" w:hint="eastAsia"/>
                <w:color w:val="333333"/>
                <w:szCs w:val="24"/>
              </w:rPr>
              <w:t>个百分点扣</w:t>
            </w:r>
            <w:r>
              <w:rPr>
                <w:rFonts w:ascii="宋体" w:eastAsia="宋体" w:hAnsi="宋体" w:cs="宋体" w:hint="eastAsia"/>
                <w:color w:val="333333"/>
                <w:szCs w:val="24"/>
              </w:rPr>
              <w:t>0.5</w:t>
            </w:r>
            <w:r>
              <w:rPr>
                <w:rFonts w:ascii="宋体" w:eastAsia="宋体" w:hAnsi="宋体" w:cs="宋体" w:hint="eastAsia"/>
                <w:color w:val="333333"/>
                <w:szCs w:val="24"/>
              </w:rPr>
              <w:t>分，扣完为止；政府采购预算：采购机关根据事业发展计划和行政任务编制的、并经过规定程序批准的年度政府采购计划。</w:t>
            </w: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val="restart"/>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预算</w:t>
            </w:r>
          </w:p>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管理</w:t>
            </w:r>
          </w:p>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w:t>
            </w:r>
            <w:r>
              <w:rPr>
                <w:rFonts w:ascii="宋体" w:eastAsia="宋体" w:hAnsi="宋体" w:cs="宋体" w:hint="eastAsia"/>
                <w:color w:val="333333"/>
                <w:szCs w:val="24"/>
              </w:rPr>
              <w:t>5</w:t>
            </w:r>
            <w:r>
              <w:rPr>
                <w:rFonts w:ascii="宋体" w:eastAsia="宋体" w:hAnsi="宋体" w:cs="宋体" w:hint="eastAsia"/>
                <w:color w:val="333333"/>
                <w:szCs w:val="24"/>
              </w:rPr>
              <w:t>分）</w:t>
            </w: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管理制度</w:t>
            </w:r>
          </w:p>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健全性（</w:t>
            </w:r>
            <w:r>
              <w:rPr>
                <w:rFonts w:ascii="宋体" w:eastAsia="宋体" w:hAnsi="宋体" w:cs="宋体" w:hint="eastAsia"/>
                <w:color w:val="333333"/>
                <w:szCs w:val="24"/>
              </w:rPr>
              <w:t>2</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2</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部门为加强预算管理、规范财务行为而制定的管理制度是否健全完整，用以反映和考核部门预算管理制度对完成主要职责或促进事业发展的保障情况。</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已制定或具有预算资金管理办法、内部财务管理制度、会计核算制度等管理制度计</w:t>
            </w:r>
            <w:r>
              <w:rPr>
                <w:rFonts w:ascii="宋体" w:eastAsia="宋体" w:hAnsi="宋体" w:cs="宋体" w:hint="eastAsia"/>
                <w:color w:val="333333"/>
                <w:szCs w:val="24"/>
              </w:rPr>
              <w:t>1</w:t>
            </w:r>
            <w:r>
              <w:rPr>
                <w:rFonts w:ascii="宋体" w:eastAsia="宋体" w:hAnsi="宋体" w:cs="宋体" w:hint="eastAsia"/>
                <w:color w:val="333333"/>
                <w:szCs w:val="24"/>
              </w:rPr>
              <w:t>分；相关管理制度合法、合规、完整计</w:t>
            </w:r>
            <w:r>
              <w:rPr>
                <w:rFonts w:ascii="宋体" w:eastAsia="宋体" w:hAnsi="宋体" w:cs="宋体" w:hint="eastAsia"/>
                <w:color w:val="333333"/>
                <w:szCs w:val="24"/>
              </w:rPr>
              <w:t>0.5</w:t>
            </w:r>
            <w:r>
              <w:rPr>
                <w:rFonts w:ascii="宋体" w:eastAsia="宋体" w:hAnsi="宋体" w:cs="宋体" w:hint="eastAsia"/>
                <w:color w:val="333333"/>
                <w:szCs w:val="24"/>
              </w:rPr>
              <w:t>分；相关管理制度得到有效执行计</w:t>
            </w:r>
            <w:r>
              <w:rPr>
                <w:rFonts w:ascii="宋体" w:eastAsia="宋体" w:hAnsi="宋体" w:cs="宋体" w:hint="eastAsia"/>
                <w:color w:val="333333"/>
                <w:szCs w:val="24"/>
              </w:rPr>
              <w:t>0.5</w:t>
            </w:r>
            <w:r>
              <w:rPr>
                <w:rFonts w:ascii="宋体" w:eastAsia="宋体" w:hAnsi="宋体" w:cs="宋体" w:hint="eastAsia"/>
                <w:color w:val="333333"/>
                <w:szCs w:val="24"/>
              </w:rPr>
              <w:t>分。</w:t>
            </w: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资金使用</w:t>
            </w:r>
          </w:p>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合规性（</w:t>
            </w:r>
            <w:r>
              <w:rPr>
                <w:rFonts w:ascii="宋体" w:eastAsia="宋体" w:hAnsi="宋体" w:cs="宋体" w:hint="eastAsia"/>
                <w:color w:val="333333"/>
                <w:szCs w:val="24"/>
              </w:rPr>
              <w:t>1</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1</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部门使用预算资金是否符合相关的预算财务管理制度的规定，用以反映和考核部门预算资金的规范运行情况。</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①符合国家财经法规和财务管理制度规定以及有关专项资金管理办法的规定计</w:t>
            </w:r>
            <w:r>
              <w:rPr>
                <w:rFonts w:ascii="宋体" w:eastAsia="宋体" w:hAnsi="宋体" w:cs="宋体" w:hint="eastAsia"/>
                <w:color w:val="333333"/>
                <w:szCs w:val="24"/>
              </w:rPr>
              <w:t>0.2</w:t>
            </w:r>
            <w:r>
              <w:rPr>
                <w:rFonts w:ascii="宋体" w:eastAsia="宋体" w:hAnsi="宋体" w:cs="宋体" w:hint="eastAsia"/>
                <w:color w:val="333333"/>
                <w:szCs w:val="24"/>
              </w:rPr>
              <w:t>分；②资金的拨付有完整的审批程序和手续计</w:t>
            </w:r>
            <w:r>
              <w:rPr>
                <w:rFonts w:ascii="宋体" w:eastAsia="宋体" w:hAnsi="宋体" w:cs="宋体" w:hint="eastAsia"/>
                <w:color w:val="333333"/>
                <w:szCs w:val="24"/>
              </w:rPr>
              <w:t>0.2</w:t>
            </w:r>
            <w:r>
              <w:rPr>
                <w:rFonts w:ascii="宋体" w:eastAsia="宋体" w:hAnsi="宋体" w:cs="宋体" w:hint="eastAsia"/>
                <w:color w:val="333333"/>
                <w:szCs w:val="24"/>
              </w:rPr>
              <w:t>分；③项目的重大开支经过评估论证计</w:t>
            </w:r>
            <w:r>
              <w:rPr>
                <w:rFonts w:ascii="宋体" w:eastAsia="宋体" w:hAnsi="宋体" w:cs="宋体" w:hint="eastAsia"/>
                <w:color w:val="333333"/>
                <w:szCs w:val="24"/>
              </w:rPr>
              <w:t>0.2</w:t>
            </w:r>
            <w:r>
              <w:rPr>
                <w:rFonts w:ascii="宋体" w:eastAsia="宋体" w:hAnsi="宋体" w:cs="宋体" w:hint="eastAsia"/>
                <w:color w:val="333333"/>
                <w:szCs w:val="24"/>
              </w:rPr>
              <w:t>分；④符合部门预算批复的用途计</w:t>
            </w:r>
            <w:r>
              <w:rPr>
                <w:rFonts w:ascii="宋体" w:eastAsia="宋体" w:hAnsi="宋体" w:cs="宋体" w:hint="eastAsia"/>
                <w:color w:val="333333"/>
                <w:szCs w:val="24"/>
              </w:rPr>
              <w:t>0.2</w:t>
            </w:r>
            <w:r>
              <w:rPr>
                <w:rFonts w:ascii="宋体" w:eastAsia="宋体" w:hAnsi="宋体" w:cs="宋体" w:hint="eastAsia"/>
                <w:color w:val="333333"/>
                <w:szCs w:val="24"/>
              </w:rPr>
              <w:t>分；⑤不存在截留、挤占、挪用、虚列支出等情况计</w:t>
            </w:r>
            <w:r>
              <w:rPr>
                <w:rFonts w:ascii="宋体" w:eastAsia="宋体" w:hAnsi="宋体" w:cs="宋体" w:hint="eastAsia"/>
                <w:color w:val="333333"/>
                <w:szCs w:val="24"/>
              </w:rPr>
              <w:t>0.2</w:t>
            </w:r>
            <w:r>
              <w:rPr>
                <w:rFonts w:ascii="宋体" w:eastAsia="宋体" w:hAnsi="宋体" w:cs="宋体" w:hint="eastAsia"/>
                <w:color w:val="333333"/>
                <w:szCs w:val="24"/>
              </w:rPr>
              <w:t>分。</w:t>
            </w: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预决算信</w:t>
            </w:r>
          </w:p>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息公开性（</w:t>
            </w:r>
            <w:r>
              <w:rPr>
                <w:rFonts w:ascii="宋体" w:eastAsia="宋体" w:hAnsi="宋体" w:cs="宋体" w:hint="eastAsia"/>
                <w:color w:val="333333"/>
                <w:szCs w:val="24"/>
              </w:rPr>
              <w:t>1</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1</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部门是否按照政府信息公开有关规定公开相关预决算信息，用以反映和考核部门预决算管理的公开透明情况。</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①按规定内容公开预决算信息计</w:t>
            </w:r>
            <w:r>
              <w:rPr>
                <w:rFonts w:ascii="宋体" w:eastAsia="宋体" w:hAnsi="宋体" w:cs="宋体" w:hint="eastAsia"/>
                <w:color w:val="333333"/>
                <w:szCs w:val="24"/>
              </w:rPr>
              <w:t>0.5</w:t>
            </w:r>
            <w:r>
              <w:rPr>
                <w:rFonts w:ascii="宋体" w:eastAsia="宋体" w:hAnsi="宋体" w:cs="宋体" w:hint="eastAsia"/>
                <w:color w:val="333333"/>
                <w:szCs w:val="24"/>
              </w:rPr>
              <w:t>分；②按规定时限公开预决算信息计</w:t>
            </w:r>
            <w:r>
              <w:rPr>
                <w:rFonts w:ascii="宋体" w:eastAsia="宋体" w:hAnsi="宋体" w:cs="宋体" w:hint="eastAsia"/>
                <w:color w:val="333333"/>
                <w:szCs w:val="24"/>
              </w:rPr>
              <w:t>0.5</w:t>
            </w:r>
            <w:r>
              <w:rPr>
                <w:rFonts w:ascii="宋体" w:eastAsia="宋体" w:hAnsi="宋体" w:cs="宋体" w:hint="eastAsia"/>
                <w:color w:val="333333"/>
                <w:szCs w:val="24"/>
              </w:rPr>
              <w:t>分。预决算信息是指与部门预算、执行、决算、监督、绩效等管理相关的信息。</w:t>
            </w: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基础信息</w:t>
            </w:r>
          </w:p>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完善性（</w:t>
            </w:r>
            <w:r>
              <w:rPr>
                <w:rFonts w:ascii="宋体" w:eastAsia="宋体" w:hAnsi="宋体" w:cs="宋体" w:hint="eastAsia"/>
                <w:color w:val="333333"/>
                <w:szCs w:val="24"/>
              </w:rPr>
              <w:t>1</w:t>
            </w:r>
            <w:r>
              <w:rPr>
                <w:rFonts w:ascii="宋体" w:eastAsia="宋体" w:hAnsi="宋体" w:cs="宋体" w:hint="eastAsia"/>
                <w:color w:val="333333"/>
                <w:szCs w:val="24"/>
              </w:rPr>
              <w:lastRenderedPageBreak/>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lastRenderedPageBreak/>
              <w:t>1</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部门基础信息是否完善，用以反映和考核</w:t>
            </w:r>
            <w:r>
              <w:rPr>
                <w:rFonts w:ascii="宋体" w:eastAsia="宋体" w:hAnsi="宋体" w:cs="宋体" w:hint="eastAsia"/>
                <w:color w:val="333333"/>
                <w:szCs w:val="24"/>
              </w:rPr>
              <w:lastRenderedPageBreak/>
              <w:t>基础信息对预算管理工作的支撑情况。</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lastRenderedPageBreak/>
              <w:t>①基础数据信息和会计信息资料真实计</w:t>
            </w:r>
            <w:r>
              <w:rPr>
                <w:rFonts w:ascii="宋体" w:eastAsia="宋体" w:hAnsi="宋体" w:cs="宋体" w:hint="eastAsia"/>
                <w:color w:val="333333"/>
                <w:szCs w:val="24"/>
              </w:rPr>
              <w:lastRenderedPageBreak/>
              <w:t>0.4</w:t>
            </w:r>
            <w:r>
              <w:rPr>
                <w:rFonts w:ascii="宋体" w:eastAsia="宋体" w:hAnsi="宋体" w:cs="宋体" w:hint="eastAsia"/>
                <w:color w:val="333333"/>
                <w:szCs w:val="24"/>
              </w:rPr>
              <w:t>分；②基础数据信息和会计信息资料完整计</w:t>
            </w:r>
            <w:r>
              <w:rPr>
                <w:rFonts w:ascii="宋体" w:eastAsia="宋体" w:hAnsi="宋体" w:cs="宋体" w:hint="eastAsia"/>
                <w:color w:val="333333"/>
                <w:szCs w:val="24"/>
              </w:rPr>
              <w:t>0.3</w:t>
            </w:r>
            <w:r>
              <w:rPr>
                <w:rFonts w:ascii="宋体" w:eastAsia="宋体" w:hAnsi="宋体" w:cs="宋体" w:hint="eastAsia"/>
                <w:color w:val="333333"/>
                <w:szCs w:val="24"/>
              </w:rPr>
              <w:t>分；③基础数据信息和会计信息资料准确计</w:t>
            </w:r>
            <w:r>
              <w:rPr>
                <w:rFonts w:ascii="宋体" w:eastAsia="宋体" w:hAnsi="宋体" w:cs="宋体" w:hint="eastAsia"/>
                <w:color w:val="333333"/>
                <w:szCs w:val="24"/>
              </w:rPr>
              <w:t>0.3</w:t>
            </w:r>
            <w:r>
              <w:rPr>
                <w:rFonts w:ascii="宋体" w:eastAsia="宋体" w:hAnsi="宋体" w:cs="宋体" w:hint="eastAsia"/>
                <w:color w:val="333333"/>
                <w:szCs w:val="24"/>
              </w:rPr>
              <w:t>分。</w:t>
            </w: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val="restart"/>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资产</w:t>
            </w:r>
            <w:r>
              <w:rPr>
                <w:rFonts w:ascii="宋体" w:eastAsia="宋体" w:hAnsi="宋体" w:cs="宋体" w:hint="eastAsia"/>
                <w:color w:val="333333"/>
                <w:szCs w:val="24"/>
              </w:rPr>
              <w:br/>
            </w:r>
            <w:r>
              <w:rPr>
                <w:rFonts w:ascii="宋体" w:eastAsia="宋体" w:hAnsi="宋体" w:cs="宋体" w:hint="eastAsia"/>
                <w:color w:val="333333"/>
                <w:szCs w:val="24"/>
              </w:rPr>
              <w:t>管理</w:t>
            </w:r>
          </w:p>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w:t>
            </w:r>
            <w:r>
              <w:rPr>
                <w:rFonts w:ascii="宋体" w:eastAsia="宋体" w:hAnsi="宋体" w:cs="宋体" w:hint="eastAsia"/>
                <w:color w:val="333333"/>
                <w:szCs w:val="24"/>
              </w:rPr>
              <w:t>5</w:t>
            </w:r>
            <w:r>
              <w:rPr>
                <w:rFonts w:ascii="宋体" w:eastAsia="宋体" w:hAnsi="宋体" w:cs="宋体" w:hint="eastAsia"/>
                <w:color w:val="333333"/>
                <w:szCs w:val="24"/>
              </w:rPr>
              <w:t>分）</w:t>
            </w: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管理制度</w:t>
            </w:r>
          </w:p>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健全性（</w:t>
            </w:r>
            <w:r>
              <w:rPr>
                <w:rFonts w:ascii="宋体" w:eastAsia="宋体" w:hAnsi="宋体" w:cs="宋体" w:hint="eastAsia"/>
                <w:color w:val="333333"/>
                <w:szCs w:val="24"/>
              </w:rPr>
              <w:t>2</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2</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部门为加强资产管理、规范资产管理行为而制定的管理制度是否健全完整，用以反映和考核部门资产管理制度对完成主要职责或促进社会发展的保障情况。</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①制定或具有资产管理制度计</w:t>
            </w:r>
            <w:r>
              <w:rPr>
                <w:rFonts w:ascii="宋体" w:eastAsia="宋体" w:hAnsi="宋体" w:cs="宋体" w:hint="eastAsia"/>
                <w:color w:val="333333"/>
                <w:szCs w:val="24"/>
              </w:rPr>
              <w:t>1</w:t>
            </w:r>
            <w:r>
              <w:rPr>
                <w:rFonts w:ascii="宋体" w:eastAsia="宋体" w:hAnsi="宋体" w:cs="宋体" w:hint="eastAsia"/>
                <w:color w:val="333333"/>
                <w:szCs w:val="24"/>
              </w:rPr>
              <w:t>分；②相关资金管理制度合法、合规、完整计</w:t>
            </w:r>
            <w:r>
              <w:rPr>
                <w:rFonts w:ascii="宋体" w:eastAsia="宋体" w:hAnsi="宋体" w:cs="宋体" w:hint="eastAsia"/>
                <w:color w:val="333333"/>
                <w:szCs w:val="24"/>
              </w:rPr>
              <w:t>0.5</w:t>
            </w:r>
            <w:r>
              <w:rPr>
                <w:rFonts w:ascii="宋体" w:eastAsia="宋体" w:hAnsi="宋体" w:cs="宋体" w:hint="eastAsia"/>
                <w:color w:val="333333"/>
                <w:szCs w:val="24"/>
              </w:rPr>
              <w:t>分；③相关资产管理制度得到有效执行计</w:t>
            </w:r>
            <w:r>
              <w:rPr>
                <w:rFonts w:ascii="宋体" w:eastAsia="宋体" w:hAnsi="宋体" w:cs="宋体" w:hint="eastAsia"/>
                <w:color w:val="333333"/>
                <w:szCs w:val="24"/>
              </w:rPr>
              <w:t>0.5</w:t>
            </w:r>
            <w:r>
              <w:rPr>
                <w:rFonts w:ascii="宋体" w:eastAsia="宋体" w:hAnsi="宋体" w:cs="宋体" w:hint="eastAsia"/>
                <w:color w:val="333333"/>
                <w:szCs w:val="24"/>
              </w:rPr>
              <w:t>分。</w:t>
            </w: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资产管理</w:t>
            </w:r>
          </w:p>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安全性（</w:t>
            </w:r>
            <w:r>
              <w:rPr>
                <w:rFonts w:ascii="宋体" w:eastAsia="宋体" w:hAnsi="宋体" w:cs="宋体" w:hint="eastAsia"/>
                <w:color w:val="333333"/>
                <w:szCs w:val="24"/>
              </w:rPr>
              <w:t>2</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2</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部门的资产是否保存完整、使用合规、配置合理、处置规范、收入及时足额上缴，用以反映和考核部门资产安全运行情况。</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①资产保存完整计</w:t>
            </w:r>
            <w:r>
              <w:rPr>
                <w:rFonts w:ascii="宋体" w:eastAsia="宋体" w:hAnsi="宋体" w:cs="宋体" w:hint="eastAsia"/>
                <w:color w:val="333333"/>
                <w:szCs w:val="24"/>
              </w:rPr>
              <w:t>0.4</w:t>
            </w:r>
            <w:r>
              <w:rPr>
                <w:rFonts w:ascii="宋体" w:eastAsia="宋体" w:hAnsi="宋体" w:cs="宋体" w:hint="eastAsia"/>
                <w:color w:val="333333"/>
                <w:szCs w:val="24"/>
              </w:rPr>
              <w:t>分；②资产配置合理计</w:t>
            </w:r>
            <w:r>
              <w:rPr>
                <w:rFonts w:ascii="宋体" w:eastAsia="宋体" w:hAnsi="宋体" w:cs="宋体" w:hint="eastAsia"/>
                <w:color w:val="333333"/>
                <w:szCs w:val="24"/>
              </w:rPr>
              <w:t>0.4</w:t>
            </w:r>
            <w:r>
              <w:rPr>
                <w:rFonts w:ascii="宋体" w:eastAsia="宋体" w:hAnsi="宋体" w:cs="宋体" w:hint="eastAsia"/>
                <w:color w:val="333333"/>
                <w:szCs w:val="24"/>
              </w:rPr>
              <w:t>分；③资产处置规范计</w:t>
            </w:r>
            <w:r>
              <w:rPr>
                <w:rFonts w:ascii="宋体" w:eastAsia="宋体" w:hAnsi="宋体" w:cs="宋体" w:hint="eastAsia"/>
                <w:color w:val="333333"/>
                <w:szCs w:val="24"/>
              </w:rPr>
              <w:t>0.4</w:t>
            </w:r>
            <w:r>
              <w:rPr>
                <w:rFonts w:ascii="宋体" w:eastAsia="宋体" w:hAnsi="宋体" w:cs="宋体" w:hint="eastAsia"/>
                <w:color w:val="333333"/>
                <w:szCs w:val="24"/>
              </w:rPr>
              <w:t>分；④资产账务管理合规、帐实相符计</w:t>
            </w:r>
            <w:r>
              <w:rPr>
                <w:rFonts w:ascii="宋体" w:eastAsia="宋体" w:hAnsi="宋体" w:cs="宋体" w:hint="eastAsia"/>
                <w:color w:val="333333"/>
                <w:szCs w:val="24"/>
              </w:rPr>
              <w:t>0.4</w:t>
            </w:r>
            <w:r>
              <w:rPr>
                <w:rFonts w:ascii="宋体" w:eastAsia="宋体" w:hAnsi="宋体" w:cs="宋体" w:hint="eastAsia"/>
                <w:color w:val="333333"/>
                <w:szCs w:val="24"/>
              </w:rPr>
              <w:t>分；⑤资产有偿使用及处置收入及时足额上缴计</w:t>
            </w:r>
            <w:r>
              <w:rPr>
                <w:rFonts w:ascii="宋体" w:eastAsia="宋体" w:hAnsi="宋体" w:cs="宋体" w:hint="eastAsia"/>
                <w:color w:val="333333"/>
                <w:szCs w:val="24"/>
              </w:rPr>
              <w:t>0.4</w:t>
            </w:r>
            <w:r>
              <w:rPr>
                <w:rFonts w:ascii="宋体" w:eastAsia="宋体" w:hAnsi="宋体" w:cs="宋体" w:hint="eastAsia"/>
                <w:color w:val="333333"/>
                <w:szCs w:val="24"/>
              </w:rPr>
              <w:t>分。</w:t>
            </w: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固定资产</w:t>
            </w:r>
          </w:p>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利用率（</w:t>
            </w:r>
            <w:r>
              <w:rPr>
                <w:rFonts w:ascii="宋体" w:eastAsia="宋体" w:hAnsi="宋体" w:cs="宋体" w:hint="eastAsia"/>
                <w:color w:val="333333"/>
                <w:szCs w:val="24"/>
              </w:rPr>
              <w:t>1</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1</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部门实际在用固定资产总额与所有固定资产总额的比率，用以反映和考核部门固定资产使用效率程度。</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固定资产利用率</w:t>
            </w:r>
            <w:r>
              <w:rPr>
                <w:rFonts w:ascii="宋体" w:eastAsia="宋体" w:hAnsi="宋体" w:cs="宋体" w:hint="eastAsia"/>
                <w:color w:val="333333"/>
                <w:szCs w:val="24"/>
              </w:rPr>
              <w:t>=</w:t>
            </w:r>
            <w:r>
              <w:rPr>
                <w:rFonts w:ascii="宋体" w:eastAsia="宋体" w:hAnsi="宋体" w:cs="宋体" w:hint="eastAsia"/>
                <w:color w:val="333333"/>
                <w:szCs w:val="24"/>
              </w:rPr>
              <w:t>（实际在用固定资产总额</w:t>
            </w:r>
            <w:r>
              <w:rPr>
                <w:rFonts w:ascii="宋体" w:eastAsia="宋体" w:hAnsi="宋体" w:cs="宋体" w:hint="eastAsia"/>
                <w:color w:val="333333"/>
                <w:szCs w:val="24"/>
              </w:rPr>
              <w:t>/</w:t>
            </w:r>
            <w:r>
              <w:rPr>
                <w:rFonts w:ascii="宋体" w:eastAsia="宋体" w:hAnsi="宋体" w:cs="宋体" w:hint="eastAsia"/>
                <w:color w:val="333333"/>
                <w:szCs w:val="24"/>
              </w:rPr>
              <w:t>所有固定资产总额）×</w:t>
            </w:r>
            <w:r>
              <w:rPr>
                <w:rFonts w:ascii="宋体" w:eastAsia="宋体" w:hAnsi="宋体" w:cs="宋体" w:hint="eastAsia"/>
                <w:color w:val="333333"/>
                <w:szCs w:val="24"/>
              </w:rPr>
              <w:t>100%</w:t>
            </w:r>
            <w:r>
              <w:rPr>
                <w:rFonts w:ascii="宋体" w:eastAsia="宋体" w:hAnsi="宋体" w:cs="宋体" w:hint="eastAsia"/>
                <w:color w:val="333333"/>
                <w:szCs w:val="24"/>
              </w:rPr>
              <w:t>。利用率为</w:t>
            </w:r>
            <w:r>
              <w:rPr>
                <w:rFonts w:ascii="宋体" w:eastAsia="宋体" w:hAnsi="宋体" w:cs="宋体" w:hint="eastAsia"/>
                <w:color w:val="333333"/>
                <w:szCs w:val="24"/>
              </w:rPr>
              <w:t>100%</w:t>
            </w:r>
            <w:r>
              <w:rPr>
                <w:rFonts w:ascii="宋体" w:eastAsia="宋体" w:hAnsi="宋体" w:cs="宋体" w:hint="eastAsia"/>
                <w:color w:val="333333"/>
                <w:szCs w:val="24"/>
              </w:rPr>
              <w:t>的计</w:t>
            </w:r>
            <w:r>
              <w:rPr>
                <w:rFonts w:ascii="宋体" w:eastAsia="宋体" w:hAnsi="宋体" w:cs="宋体" w:hint="eastAsia"/>
                <w:color w:val="333333"/>
                <w:szCs w:val="24"/>
              </w:rPr>
              <w:t>1</w:t>
            </w:r>
            <w:r>
              <w:rPr>
                <w:rFonts w:ascii="宋体" w:eastAsia="宋体" w:hAnsi="宋体" w:cs="宋体" w:hint="eastAsia"/>
                <w:color w:val="333333"/>
                <w:szCs w:val="24"/>
              </w:rPr>
              <w:t>分，每降</w:t>
            </w:r>
            <w:r>
              <w:rPr>
                <w:rFonts w:ascii="宋体" w:eastAsia="宋体" w:hAnsi="宋体" w:cs="宋体" w:hint="eastAsia"/>
                <w:color w:val="333333"/>
                <w:szCs w:val="24"/>
              </w:rPr>
              <w:t>1</w:t>
            </w:r>
            <w:r>
              <w:rPr>
                <w:rFonts w:ascii="宋体" w:eastAsia="宋体" w:hAnsi="宋体" w:cs="宋体" w:hint="eastAsia"/>
                <w:color w:val="333333"/>
                <w:szCs w:val="24"/>
              </w:rPr>
              <w:t>个百分点扣</w:t>
            </w:r>
            <w:r>
              <w:rPr>
                <w:rFonts w:ascii="宋体" w:eastAsia="宋体" w:hAnsi="宋体" w:cs="宋体" w:hint="eastAsia"/>
                <w:color w:val="333333"/>
                <w:szCs w:val="24"/>
              </w:rPr>
              <w:t>0.1</w:t>
            </w:r>
            <w:r>
              <w:rPr>
                <w:rFonts w:ascii="宋体" w:eastAsia="宋体" w:hAnsi="宋体" w:cs="宋体" w:hint="eastAsia"/>
                <w:color w:val="333333"/>
                <w:szCs w:val="24"/>
              </w:rPr>
              <w:t>分，扣完为止。</w:t>
            </w:r>
          </w:p>
        </w:tc>
      </w:tr>
      <w:tr w:rsidR="00097307">
        <w:trPr>
          <w:trHeight w:val="141"/>
        </w:trPr>
        <w:tc>
          <w:tcPr>
            <w:tcW w:w="1104" w:type="dxa"/>
            <w:vMerge w:val="restart"/>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产</w:t>
            </w:r>
            <w:r>
              <w:rPr>
                <w:rFonts w:ascii="宋体" w:eastAsia="宋体" w:hAnsi="宋体" w:cs="宋体" w:hint="eastAsia"/>
                <w:color w:val="333333"/>
                <w:szCs w:val="24"/>
              </w:rPr>
              <w:t>   </w:t>
            </w:r>
            <w:r>
              <w:rPr>
                <w:rFonts w:ascii="宋体" w:eastAsia="宋体" w:hAnsi="宋体" w:cs="宋体" w:hint="eastAsia"/>
                <w:color w:val="333333"/>
                <w:szCs w:val="24"/>
              </w:rPr>
              <w:t>出（</w:t>
            </w:r>
            <w:r>
              <w:rPr>
                <w:rFonts w:ascii="宋体" w:eastAsia="宋体" w:hAnsi="宋体" w:cs="宋体" w:hint="eastAsia"/>
                <w:color w:val="333333"/>
                <w:szCs w:val="24"/>
              </w:rPr>
              <w:t>30</w:t>
            </w:r>
            <w:r>
              <w:rPr>
                <w:rFonts w:ascii="宋体" w:eastAsia="宋体" w:hAnsi="宋体" w:cs="宋体" w:hint="eastAsia"/>
                <w:color w:val="333333"/>
                <w:szCs w:val="24"/>
              </w:rPr>
              <w:t>分）</w:t>
            </w:r>
          </w:p>
        </w:tc>
        <w:tc>
          <w:tcPr>
            <w:tcW w:w="950" w:type="dxa"/>
            <w:vMerge w:val="restart"/>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职责</w:t>
            </w:r>
            <w:r>
              <w:rPr>
                <w:rFonts w:ascii="宋体" w:eastAsia="宋体" w:hAnsi="宋体" w:cs="宋体" w:hint="eastAsia"/>
                <w:color w:val="333333"/>
                <w:szCs w:val="24"/>
              </w:rPr>
              <w:br/>
            </w:r>
            <w:r>
              <w:rPr>
                <w:rFonts w:ascii="宋体" w:eastAsia="宋体" w:hAnsi="宋体" w:cs="宋体" w:hint="eastAsia"/>
                <w:color w:val="333333"/>
                <w:szCs w:val="24"/>
              </w:rPr>
              <w:t>履行</w:t>
            </w: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实际完成率（</w:t>
            </w:r>
            <w:r>
              <w:rPr>
                <w:rFonts w:ascii="宋体" w:eastAsia="宋体" w:hAnsi="宋体" w:cs="宋体" w:hint="eastAsia"/>
                <w:color w:val="333333"/>
                <w:szCs w:val="24"/>
              </w:rPr>
              <w:t>8</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8</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部门履行职责而实际完成工作数与计划工作数的比率，用以反映和考核部门履职工作任务目标的实现程度。</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实际完成率得分</w:t>
            </w:r>
            <w:r>
              <w:rPr>
                <w:rFonts w:ascii="宋体" w:eastAsia="宋体" w:hAnsi="宋体" w:cs="宋体" w:hint="eastAsia"/>
                <w:color w:val="333333"/>
                <w:szCs w:val="24"/>
              </w:rPr>
              <w:t>=</w:t>
            </w:r>
            <w:r>
              <w:rPr>
                <w:rFonts w:ascii="宋体" w:eastAsia="宋体" w:hAnsi="宋体" w:cs="宋体" w:hint="eastAsia"/>
                <w:color w:val="333333"/>
                <w:szCs w:val="24"/>
              </w:rPr>
              <w:t>完成市委市政府绩效考核得分或上级主管部门考核指标得分</w:t>
            </w:r>
            <w:r>
              <w:rPr>
                <w:rFonts w:ascii="宋体" w:eastAsia="宋体" w:hAnsi="宋体" w:cs="宋体" w:hint="eastAsia"/>
                <w:color w:val="333333"/>
                <w:szCs w:val="24"/>
              </w:rPr>
              <w:t>/</w:t>
            </w:r>
            <w:r>
              <w:rPr>
                <w:rFonts w:ascii="宋体" w:eastAsia="宋体" w:hAnsi="宋体" w:cs="宋体" w:hint="eastAsia"/>
                <w:color w:val="333333"/>
                <w:szCs w:val="24"/>
              </w:rPr>
              <w:t>指标分值</w:t>
            </w:r>
            <w:r>
              <w:rPr>
                <w:rFonts w:ascii="宋体" w:eastAsia="宋体" w:hAnsi="宋体" w:cs="宋体" w:hint="eastAsia"/>
                <w:color w:val="333333"/>
                <w:szCs w:val="24"/>
              </w:rPr>
              <w:t>*8</w:t>
            </w:r>
            <w:r>
              <w:rPr>
                <w:rFonts w:ascii="宋体" w:eastAsia="宋体" w:hAnsi="宋体" w:cs="宋体" w:hint="eastAsia"/>
                <w:color w:val="333333"/>
                <w:szCs w:val="24"/>
              </w:rPr>
              <w:t>分</w:t>
            </w: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完成及时率（</w:t>
            </w:r>
            <w:r>
              <w:rPr>
                <w:rFonts w:ascii="宋体" w:eastAsia="宋体" w:hAnsi="宋体" w:cs="宋体" w:hint="eastAsia"/>
                <w:color w:val="333333"/>
                <w:szCs w:val="24"/>
              </w:rPr>
              <w:t>4</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4</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部门在规定时限内及时完成的实际工作数与计划工作数的比率</w:t>
            </w:r>
            <w:r>
              <w:rPr>
                <w:rFonts w:ascii="宋体" w:eastAsia="宋体" w:hAnsi="宋体" w:cs="宋体" w:hint="eastAsia"/>
                <w:color w:val="333333"/>
                <w:szCs w:val="24"/>
              </w:rPr>
              <w:t>,</w:t>
            </w:r>
            <w:r>
              <w:rPr>
                <w:rFonts w:ascii="宋体" w:eastAsia="宋体" w:hAnsi="宋体" w:cs="宋体" w:hint="eastAsia"/>
                <w:color w:val="333333"/>
                <w:szCs w:val="24"/>
              </w:rPr>
              <w:t>用以反映和考核部门履职时效目标的实现程度。</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240" w:afterAutospacing="0" w:line="240" w:lineRule="atLeast"/>
              <w:rPr>
                <w:rFonts w:ascii="Times New Roman" w:hAnsi="Times New Roman"/>
                <w:sz w:val="21"/>
                <w:szCs w:val="21"/>
              </w:rPr>
            </w:pPr>
            <w:r>
              <w:rPr>
                <w:rFonts w:ascii="宋体" w:eastAsia="宋体" w:hAnsi="宋体" w:cs="宋体" w:hint="eastAsia"/>
                <w:color w:val="333333"/>
                <w:szCs w:val="24"/>
              </w:rPr>
              <w:t>完成及时率</w:t>
            </w:r>
            <w:r>
              <w:rPr>
                <w:rFonts w:ascii="宋体" w:eastAsia="宋体" w:hAnsi="宋体" w:cs="宋体" w:hint="eastAsia"/>
                <w:color w:val="333333"/>
                <w:szCs w:val="24"/>
              </w:rPr>
              <w:t>=</w:t>
            </w:r>
            <w:r>
              <w:rPr>
                <w:rFonts w:ascii="宋体" w:eastAsia="宋体" w:hAnsi="宋体" w:cs="宋体" w:hint="eastAsia"/>
                <w:color w:val="333333"/>
                <w:szCs w:val="24"/>
              </w:rPr>
              <w:t>（及时完成实际工作数</w:t>
            </w:r>
            <w:r>
              <w:rPr>
                <w:rFonts w:ascii="宋体" w:eastAsia="宋体" w:hAnsi="宋体" w:cs="宋体" w:hint="eastAsia"/>
                <w:color w:val="333333"/>
                <w:szCs w:val="24"/>
              </w:rPr>
              <w:t>/</w:t>
            </w:r>
            <w:r>
              <w:rPr>
                <w:rFonts w:ascii="宋体" w:eastAsia="宋体" w:hAnsi="宋体" w:cs="宋体" w:hint="eastAsia"/>
                <w:color w:val="333333"/>
                <w:szCs w:val="24"/>
              </w:rPr>
              <w:t>计划工作数）×</w:t>
            </w:r>
            <w:r>
              <w:rPr>
                <w:rFonts w:ascii="宋体" w:eastAsia="宋体" w:hAnsi="宋体" w:cs="宋体" w:hint="eastAsia"/>
                <w:color w:val="333333"/>
                <w:szCs w:val="24"/>
              </w:rPr>
              <w:t>100%</w:t>
            </w:r>
            <w:r>
              <w:rPr>
                <w:rFonts w:ascii="宋体" w:eastAsia="宋体" w:hAnsi="宋体" w:cs="宋体" w:hint="eastAsia"/>
                <w:color w:val="333333"/>
                <w:szCs w:val="24"/>
              </w:rPr>
              <w:t>。</w:t>
            </w:r>
            <w:r>
              <w:rPr>
                <w:rFonts w:ascii="宋体" w:eastAsia="宋体" w:hAnsi="宋体" w:cs="宋体" w:hint="eastAsia"/>
                <w:color w:val="333333"/>
                <w:szCs w:val="24"/>
              </w:rPr>
              <w:t>1-4</w:t>
            </w:r>
            <w:r>
              <w:rPr>
                <w:rFonts w:ascii="宋体" w:eastAsia="宋体" w:hAnsi="宋体" w:cs="宋体" w:hint="eastAsia"/>
                <w:color w:val="333333"/>
                <w:szCs w:val="24"/>
              </w:rPr>
              <w:t>季度各得</w:t>
            </w:r>
            <w:r>
              <w:rPr>
                <w:rFonts w:ascii="宋体" w:eastAsia="宋体" w:hAnsi="宋体" w:cs="宋体" w:hint="eastAsia"/>
                <w:color w:val="333333"/>
                <w:szCs w:val="24"/>
              </w:rPr>
              <w:t>1</w:t>
            </w:r>
            <w:r>
              <w:rPr>
                <w:rFonts w:ascii="宋体" w:eastAsia="宋体" w:hAnsi="宋体" w:cs="宋体" w:hint="eastAsia"/>
                <w:color w:val="333333"/>
                <w:szCs w:val="24"/>
              </w:rPr>
              <w:t>分</w:t>
            </w: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质量达标率（</w:t>
            </w:r>
            <w:r>
              <w:rPr>
                <w:rFonts w:ascii="宋体" w:eastAsia="宋体" w:hAnsi="宋体" w:cs="宋体" w:hint="eastAsia"/>
                <w:color w:val="333333"/>
                <w:szCs w:val="24"/>
              </w:rPr>
              <w:t>8</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8</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达到质量标准（绩效标准值）的实际工作数与计划工作数的比</w:t>
            </w:r>
            <w:r>
              <w:rPr>
                <w:rFonts w:ascii="宋体" w:eastAsia="宋体" w:hAnsi="宋体" w:cs="宋体" w:hint="eastAsia"/>
                <w:color w:val="333333"/>
                <w:szCs w:val="24"/>
              </w:rPr>
              <w:lastRenderedPageBreak/>
              <w:t>率</w:t>
            </w:r>
            <w:r>
              <w:rPr>
                <w:rFonts w:ascii="宋体" w:eastAsia="宋体" w:hAnsi="宋体" w:cs="宋体" w:hint="eastAsia"/>
                <w:color w:val="333333"/>
                <w:szCs w:val="24"/>
              </w:rPr>
              <w:t>,</w:t>
            </w:r>
            <w:r>
              <w:rPr>
                <w:rFonts w:ascii="宋体" w:eastAsia="宋体" w:hAnsi="宋体" w:cs="宋体" w:hint="eastAsia"/>
                <w:color w:val="333333"/>
                <w:szCs w:val="24"/>
              </w:rPr>
              <w:t>用以反映和考核部门履职质量目标的实现程度。</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lastRenderedPageBreak/>
              <w:t>质量达标率</w:t>
            </w:r>
            <w:r>
              <w:rPr>
                <w:rFonts w:ascii="宋体" w:eastAsia="宋体" w:hAnsi="宋体" w:cs="宋体" w:hint="eastAsia"/>
                <w:color w:val="333333"/>
                <w:szCs w:val="24"/>
              </w:rPr>
              <w:t>=</w:t>
            </w:r>
            <w:r>
              <w:rPr>
                <w:rFonts w:ascii="宋体" w:eastAsia="宋体" w:hAnsi="宋体" w:cs="宋体" w:hint="eastAsia"/>
                <w:color w:val="333333"/>
                <w:szCs w:val="24"/>
              </w:rPr>
              <w:t>（质量达标实际工作数</w:t>
            </w:r>
            <w:r>
              <w:rPr>
                <w:rFonts w:ascii="宋体" w:eastAsia="宋体" w:hAnsi="宋体" w:cs="宋体" w:hint="eastAsia"/>
                <w:color w:val="333333"/>
                <w:szCs w:val="24"/>
              </w:rPr>
              <w:t>/</w:t>
            </w:r>
            <w:r>
              <w:rPr>
                <w:rFonts w:ascii="宋体" w:eastAsia="宋体" w:hAnsi="宋体" w:cs="宋体" w:hint="eastAsia"/>
                <w:color w:val="333333"/>
                <w:szCs w:val="24"/>
              </w:rPr>
              <w:t>计划工作数）×</w:t>
            </w:r>
            <w:r>
              <w:rPr>
                <w:rFonts w:ascii="宋体" w:eastAsia="宋体" w:hAnsi="宋体" w:cs="宋体" w:hint="eastAsia"/>
                <w:color w:val="333333"/>
                <w:szCs w:val="24"/>
              </w:rPr>
              <w:t>100%</w:t>
            </w:r>
            <w:r>
              <w:rPr>
                <w:rFonts w:ascii="宋体" w:eastAsia="宋体" w:hAnsi="宋体" w:cs="宋体" w:hint="eastAsia"/>
                <w:color w:val="333333"/>
                <w:szCs w:val="24"/>
              </w:rPr>
              <w:t>。实</w:t>
            </w:r>
            <w:r>
              <w:rPr>
                <w:rFonts w:ascii="宋体" w:eastAsia="宋体" w:hAnsi="宋体" w:cs="宋体" w:hint="eastAsia"/>
                <w:color w:val="333333"/>
                <w:szCs w:val="24"/>
              </w:rPr>
              <w:lastRenderedPageBreak/>
              <w:t>际得分</w:t>
            </w:r>
            <w:r>
              <w:rPr>
                <w:rFonts w:ascii="宋体" w:eastAsia="宋体" w:hAnsi="宋体" w:cs="宋体" w:hint="eastAsia"/>
                <w:color w:val="333333"/>
                <w:szCs w:val="24"/>
              </w:rPr>
              <w:t>=</w:t>
            </w:r>
            <w:r>
              <w:rPr>
                <w:rFonts w:ascii="宋体" w:eastAsia="宋体" w:hAnsi="宋体" w:cs="宋体" w:hint="eastAsia"/>
                <w:color w:val="333333"/>
                <w:szCs w:val="24"/>
              </w:rPr>
              <w:t>达标率</w:t>
            </w:r>
            <w:r>
              <w:rPr>
                <w:rFonts w:ascii="宋体" w:eastAsia="宋体" w:hAnsi="宋体" w:cs="宋体" w:hint="eastAsia"/>
                <w:color w:val="333333"/>
                <w:szCs w:val="24"/>
              </w:rPr>
              <w:t>*8</w:t>
            </w:r>
            <w:r>
              <w:rPr>
                <w:rFonts w:ascii="宋体" w:eastAsia="宋体" w:hAnsi="宋体" w:cs="宋体" w:hint="eastAsia"/>
                <w:color w:val="333333"/>
                <w:szCs w:val="24"/>
              </w:rPr>
              <w:t>分</w:t>
            </w: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重点工作</w:t>
            </w:r>
          </w:p>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办结率（</w:t>
            </w:r>
            <w:r>
              <w:rPr>
                <w:rFonts w:ascii="宋体" w:eastAsia="宋体" w:hAnsi="宋体" w:cs="宋体" w:hint="eastAsia"/>
                <w:color w:val="333333"/>
                <w:szCs w:val="24"/>
              </w:rPr>
              <w:t>10</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10</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部门年度重点工作实际完成数与交办或下达数的比率，用以反映部门对重点工作的办理落实程度。</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重点工作办结率</w:t>
            </w:r>
            <w:r>
              <w:rPr>
                <w:rFonts w:ascii="宋体" w:eastAsia="宋体" w:hAnsi="宋体" w:cs="宋体" w:hint="eastAsia"/>
                <w:color w:val="333333"/>
                <w:szCs w:val="24"/>
              </w:rPr>
              <w:t>=</w:t>
            </w:r>
            <w:r>
              <w:rPr>
                <w:rFonts w:ascii="宋体" w:eastAsia="宋体" w:hAnsi="宋体" w:cs="宋体" w:hint="eastAsia"/>
                <w:color w:val="333333"/>
                <w:szCs w:val="24"/>
              </w:rPr>
              <w:t>（重点工作实际完成数</w:t>
            </w:r>
            <w:r>
              <w:rPr>
                <w:rFonts w:ascii="宋体" w:eastAsia="宋体" w:hAnsi="宋体" w:cs="宋体" w:hint="eastAsia"/>
                <w:color w:val="333333"/>
                <w:szCs w:val="24"/>
              </w:rPr>
              <w:t>/</w:t>
            </w:r>
            <w:r>
              <w:rPr>
                <w:rFonts w:ascii="宋体" w:eastAsia="宋体" w:hAnsi="宋体" w:cs="宋体" w:hint="eastAsia"/>
                <w:color w:val="333333"/>
                <w:szCs w:val="24"/>
              </w:rPr>
              <w:t>交办或下达数）×</w:t>
            </w:r>
            <w:r>
              <w:rPr>
                <w:rFonts w:ascii="宋体" w:eastAsia="宋体" w:hAnsi="宋体" w:cs="宋体" w:hint="eastAsia"/>
                <w:color w:val="333333"/>
                <w:szCs w:val="24"/>
              </w:rPr>
              <w:t>100%</w:t>
            </w:r>
            <w:r>
              <w:rPr>
                <w:rFonts w:ascii="宋体" w:eastAsia="宋体" w:hAnsi="宋体" w:cs="宋体" w:hint="eastAsia"/>
                <w:color w:val="333333"/>
                <w:szCs w:val="24"/>
              </w:rPr>
              <w:t>。实际得分</w:t>
            </w:r>
            <w:r>
              <w:rPr>
                <w:rFonts w:ascii="宋体" w:eastAsia="宋体" w:hAnsi="宋体" w:cs="宋体" w:hint="eastAsia"/>
                <w:color w:val="333333"/>
                <w:szCs w:val="24"/>
              </w:rPr>
              <w:t>=</w:t>
            </w:r>
            <w:r>
              <w:rPr>
                <w:rFonts w:ascii="宋体" w:eastAsia="宋体" w:hAnsi="宋体" w:cs="宋体" w:hint="eastAsia"/>
                <w:color w:val="333333"/>
                <w:szCs w:val="24"/>
              </w:rPr>
              <w:t>办结率</w:t>
            </w:r>
            <w:r>
              <w:rPr>
                <w:rFonts w:ascii="宋体" w:eastAsia="宋体" w:hAnsi="宋体" w:cs="宋体" w:hint="eastAsia"/>
                <w:color w:val="333333"/>
                <w:szCs w:val="24"/>
              </w:rPr>
              <w:t>*10</w:t>
            </w:r>
            <w:r>
              <w:rPr>
                <w:rFonts w:ascii="宋体" w:eastAsia="宋体" w:hAnsi="宋体" w:cs="宋体" w:hint="eastAsia"/>
                <w:color w:val="333333"/>
                <w:szCs w:val="24"/>
              </w:rPr>
              <w:t>分</w:t>
            </w:r>
          </w:p>
        </w:tc>
      </w:tr>
      <w:tr w:rsidR="00097307">
        <w:trPr>
          <w:trHeight w:val="141"/>
        </w:trPr>
        <w:tc>
          <w:tcPr>
            <w:tcW w:w="1104" w:type="dxa"/>
            <w:vMerge w:val="restart"/>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效</w:t>
            </w:r>
            <w:r>
              <w:rPr>
                <w:rFonts w:ascii="宋体" w:eastAsia="宋体" w:hAnsi="宋体" w:cs="宋体" w:hint="eastAsia"/>
                <w:color w:val="333333"/>
                <w:szCs w:val="24"/>
              </w:rPr>
              <w:t>   </w:t>
            </w:r>
            <w:r>
              <w:rPr>
                <w:rFonts w:ascii="宋体" w:eastAsia="宋体" w:hAnsi="宋体" w:cs="宋体" w:hint="eastAsia"/>
                <w:color w:val="333333"/>
                <w:szCs w:val="24"/>
              </w:rPr>
              <w:t>果（</w:t>
            </w:r>
            <w:r>
              <w:rPr>
                <w:rFonts w:ascii="宋体" w:eastAsia="宋体" w:hAnsi="宋体" w:cs="宋体" w:hint="eastAsia"/>
                <w:color w:val="333333"/>
                <w:szCs w:val="24"/>
              </w:rPr>
              <w:t>20</w:t>
            </w:r>
            <w:r>
              <w:rPr>
                <w:rFonts w:ascii="宋体" w:eastAsia="宋体" w:hAnsi="宋体" w:cs="宋体" w:hint="eastAsia"/>
                <w:color w:val="333333"/>
                <w:szCs w:val="24"/>
              </w:rPr>
              <w:t>分）</w:t>
            </w:r>
          </w:p>
        </w:tc>
        <w:tc>
          <w:tcPr>
            <w:tcW w:w="950" w:type="dxa"/>
            <w:vMerge w:val="restart"/>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履职</w:t>
            </w:r>
            <w:r>
              <w:rPr>
                <w:rFonts w:ascii="宋体" w:eastAsia="宋体" w:hAnsi="宋体" w:cs="宋体" w:hint="eastAsia"/>
                <w:color w:val="333333"/>
                <w:szCs w:val="24"/>
              </w:rPr>
              <w:br/>
            </w:r>
            <w:r>
              <w:rPr>
                <w:rFonts w:ascii="宋体" w:eastAsia="宋体" w:hAnsi="宋体" w:cs="宋体" w:hint="eastAsia"/>
                <w:color w:val="333333"/>
                <w:szCs w:val="24"/>
              </w:rPr>
              <w:t>效益（</w:t>
            </w:r>
            <w:r>
              <w:rPr>
                <w:rFonts w:ascii="宋体" w:eastAsia="宋体" w:hAnsi="宋体" w:cs="宋体" w:hint="eastAsia"/>
                <w:color w:val="333333"/>
                <w:szCs w:val="24"/>
              </w:rPr>
              <w:t>20</w:t>
            </w:r>
            <w:r>
              <w:rPr>
                <w:rFonts w:ascii="宋体" w:eastAsia="宋体" w:hAnsi="宋体" w:cs="宋体" w:hint="eastAsia"/>
                <w:color w:val="333333"/>
                <w:szCs w:val="24"/>
              </w:rPr>
              <w:t>分）</w:t>
            </w: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经济效益（</w:t>
            </w:r>
            <w:r>
              <w:rPr>
                <w:rFonts w:ascii="宋体" w:eastAsia="宋体" w:hAnsi="宋体" w:cs="宋体" w:hint="eastAsia"/>
                <w:color w:val="333333"/>
                <w:szCs w:val="24"/>
              </w:rPr>
              <w:t>5</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5</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部门履行职责对经济发展所带来的直接或间接影响。</w:t>
            </w:r>
          </w:p>
        </w:tc>
        <w:tc>
          <w:tcPr>
            <w:tcW w:w="2264" w:type="dxa"/>
            <w:vMerge w:val="restart"/>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按经济效益实现程度计算得分（</w:t>
            </w:r>
            <w:r>
              <w:rPr>
                <w:rFonts w:ascii="宋体" w:eastAsia="宋体" w:hAnsi="宋体" w:cs="宋体" w:hint="eastAsia"/>
                <w:color w:val="333333"/>
                <w:szCs w:val="24"/>
              </w:rPr>
              <w:t>5</w:t>
            </w:r>
            <w:r>
              <w:rPr>
                <w:rFonts w:ascii="宋体" w:eastAsia="宋体" w:hAnsi="宋体" w:cs="宋体" w:hint="eastAsia"/>
                <w:color w:val="333333"/>
                <w:szCs w:val="24"/>
              </w:rPr>
              <w:t>分）；按社会效益实现程度计算得分（</w:t>
            </w:r>
            <w:r>
              <w:rPr>
                <w:rFonts w:ascii="宋体" w:eastAsia="宋体" w:hAnsi="宋体" w:cs="宋体" w:hint="eastAsia"/>
                <w:color w:val="333333"/>
                <w:szCs w:val="24"/>
              </w:rPr>
              <w:t>5</w:t>
            </w:r>
            <w:r>
              <w:rPr>
                <w:rFonts w:ascii="宋体" w:eastAsia="宋体" w:hAnsi="宋体" w:cs="宋体" w:hint="eastAsia"/>
                <w:color w:val="333333"/>
                <w:szCs w:val="24"/>
              </w:rPr>
              <w:t>分）；按生态效益实现程度计算得分（</w:t>
            </w:r>
            <w:r>
              <w:rPr>
                <w:rFonts w:ascii="宋体" w:eastAsia="宋体" w:hAnsi="宋体" w:cs="宋体" w:hint="eastAsia"/>
                <w:color w:val="333333"/>
                <w:szCs w:val="24"/>
              </w:rPr>
              <w:t>5</w:t>
            </w:r>
            <w:r>
              <w:rPr>
                <w:rFonts w:ascii="宋体" w:eastAsia="宋体" w:hAnsi="宋体" w:cs="宋体" w:hint="eastAsia"/>
                <w:color w:val="333333"/>
                <w:szCs w:val="24"/>
              </w:rPr>
              <w:t>分）</w:t>
            </w: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社会效益（</w:t>
            </w:r>
            <w:r>
              <w:rPr>
                <w:rFonts w:ascii="宋体" w:eastAsia="宋体" w:hAnsi="宋体" w:cs="宋体" w:hint="eastAsia"/>
                <w:color w:val="333333"/>
                <w:szCs w:val="24"/>
              </w:rPr>
              <w:t>5</w:t>
            </w:r>
            <w:r>
              <w:rPr>
                <w:rFonts w:ascii="宋体" w:eastAsia="宋体" w:hAnsi="宋体" w:cs="宋体" w:hint="eastAsia"/>
                <w:color w:val="333333"/>
                <w:szCs w:val="24"/>
              </w:rPr>
              <w:t>分）</w:t>
            </w:r>
          </w:p>
        </w:tc>
        <w:tc>
          <w:tcPr>
            <w:tcW w:w="650" w:type="dxa"/>
            <w:tcBorders>
              <w:tl2br w:val="nil"/>
              <w:tr2bl w:val="nil"/>
            </w:tcBorders>
            <w:shd w:val="clear" w:color="auto" w:fill="FFFFFF"/>
            <w:tcMar>
              <w:top w:w="0" w:type="dxa"/>
              <w:left w:w="0" w:type="dxa"/>
              <w:bottom w:w="0" w:type="dxa"/>
              <w:right w:w="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5</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部门履行职责对社会发展所带来的直接或间接影响。</w:t>
            </w:r>
          </w:p>
        </w:tc>
        <w:tc>
          <w:tcPr>
            <w:tcW w:w="226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生态效益（</w:t>
            </w:r>
            <w:r>
              <w:rPr>
                <w:rFonts w:ascii="宋体" w:eastAsia="宋体" w:hAnsi="宋体" w:cs="宋体" w:hint="eastAsia"/>
                <w:color w:val="333333"/>
                <w:szCs w:val="24"/>
              </w:rPr>
              <w:t>5</w:t>
            </w:r>
            <w:r>
              <w:rPr>
                <w:rFonts w:ascii="宋体" w:eastAsia="宋体" w:hAnsi="宋体" w:cs="宋体" w:hint="eastAsia"/>
                <w:color w:val="333333"/>
                <w:szCs w:val="24"/>
              </w:rPr>
              <w:t>分）</w:t>
            </w:r>
          </w:p>
        </w:tc>
        <w:tc>
          <w:tcPr>
            <w:tcW w:w="650" w:type="dxa"/>
            <w:tcBorders>
              <w:tl2br w:val="nil"/>
              <w:tr2bl w:val="nil"/>
            </w:tcBorders>
            <w:shd w:val="clear" w:color="auto" w:fill="FFFFFF"/>
            <w:tcMar>
              <w:top w:w="0" w:type="dxa"/>
              <w:left w:w="0" w:type="dxa"/>
              <w:bottom w:w="0" w:type="dxa"/>
              <w:right w:w="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5</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部门履行职责对生态环境所带来的直接或间接影响。</w:t>
            </w:r>
          </w:p>
        </w:tc>
        <w:tc>
          <w:tcPr>
            <w:tcW w:w="226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r>
      <w:tr w:rsidR="00097307">
        <w:trPr>
          <w:trHeight w:val="141"/>
        </w:trPr>
        <w:tc>
          <w:tcPr>
            <w:tcW w:w="1104"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950" w:type="dxa"/>
            <w:vMerge/>
            <w:tcBorders>
              <w:tl2br w:val="nil"/>
              <w:tr2bl w:val="nil"/>
            </w:tcBorders>
            <w:shd w:val="clear" w:color="auto" w:fill="FFFFFF"/>
            <w:tcMar>
              <w:top w:w="10" w:type="dxa"/>
              <w:left w:w="10" w:type="dxa"/>
              <w:bottom w:w="0" w:type="dxa"/>
              <w:right w:w="10" w:type="dxa"/>
            </w:tcMar>
            <w:vAlign w:val="center"/>
          </w:tcPr>
          <w:p w:rsidR="00097307" w:rsidRDefault="00097307">
            <w:pPr>
              <w:rPr>
                <w:rFonts w:ascii="Times New Roman" w:hAnsi="Times New Roman" w:cs="Times New Roman"/>
                <w:sz w:val="20"/>
                <w:szCs w:val="20"/>
              </w:rPr>
            </w:pPr>
          </w:p>
        </w:tc>
        <w:tc>
          <w:tcPr>
            <w:tcW w:w="100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社会公众</w:t>
            </w:r>
          </w:p>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或服务对</w:t>
            </w:r>
          </w:p>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象满意度（</w:t>
            </w:r>
            <w:r>
              <w:rPr>
                <w:rFonts w:ascii="宋体" w:eastAsia="宋体" w:hAnsi="宋体" w:cs="宋体" w:hint="eastAsia"/>
                <w:color w:val="333333"/>
                <w:szCs w:val="24"/>
              </w:rPr>
              <w:t>5</w:t>
            </w:r>
            <w:r>
              <w:rPr>
                <w:rFonts w:ascii="宋体" w:eastAsia="宋体" w:hAnsi="宋体" w:cs="宋体" w:hint="eastAsia"/>
                <w:color w:val="333333"/>
                <w:szCs w:val="24"/>
              </w:rPr>
              <w:t>分）</w:t>
            </w:r>
          </w:p>
        </w:tc>
        <w:tc>
          <w:tcPr>
            <w:tcW w:w="65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jc w:val="center"/>
              <w:rPr>
                <w:rFonts w:ascii="Times New Roman" w:hAnsi="Times New Roman"/>
                <w:sz w:val="21"/>
                <w:szCs w:val="21"/>
              </w:rPr>
            </w:pPr>
            <w:r>
              <w:rPr>
                <w:rFonts w:ascii="宋体" w:eastAsia="宋体" w:hAnsi="宋体" w:cs="宋体" w:hint="eastAsia"/>
                <w:color w:val="333333"/>
                <w:szCs w:val="24"/>
              </w:rPr>
              <w:t>4</w:t>
            </w:r>
          </w:p>
        </w:tc>
        <w:tc>
          <w:tcPr>
            <w:tcW w:w="2260"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社会公众或部门的服务对象对部门履职效果的满意程度。</w:t>
            </w:r>
          </w:p>
        </w:tc>
        <w:tc>
          <w:tcPr>
            <w:tcW w:w="2264" w:type="dxa"/>
            <w:tcBorders>
              <w:tl2br w:val="nil"/>
              <w:tr2bl w:val="nil"/>
            </w:tcBorders>
            <w:shd w:val="clear" w:color="auto" w:fill="FFFFFF"/>
            <w:tcMar>
              <w:top w:w="10" w:type="dxa"/>
              <w:left w:w="10" w:type="dxa"/>
              <w:bottom w:w="0" w:type="dxa"/>
              <w:right w:w="10" w:type="dxa"/>
            </w:tcMar>
            <w:vAlign w:val="center"/>
          </w:tcPr>
          <w:p w:rsidR="00097307" w:rsidRDefault="00277CC9">
            <w:pPr>
              <w:pStyle w:val="a4"/>
              <w:widowControl/>
              <w:spacing w:before="0" w:beforeAutospacing="0" w:after="0" w:afterAutospacing="0" w:line="240" w:lineRule="atLeast"/>
              <w:rPr>
                <w:rFonts w:ascii="Times New Roman" w:hAnsi="Times New Roman"/>
                <w:sz w:val="21"/>
                <w:szCs w:val="21"/>
              </w:rPr>
            </w:pPr>
            <w:r>
              <w:rPr>
                <w:rFonts w:ascii="宋体" w:eastAsia="宋体" w:hAnsi="宋体" w:cs="宋体" w:hint="eastAsia"/>
                <w:color w:val="333333"/>
                <w:szCs w:val="24"/>
              </w:rPr>
              <w:t>按收集到的服务对象的满意率计算得分（</w:t>
            </w:r>
            <w:r>
              <w:rPr>
                <w:rFonts w:ascii="宋体" w:eastAsia="宋体" w:hAnsi="宋体" w:cs="宋体" w:hint="eastAsia"/>
                <w:color w:val="333333"/>
                <w:szCs w:val="24"/>
              </w:rPr>
              <w:t>5</w:t>
            </w:r>
            <w:r>
              <w:rPr>
                <w:rFonts w:ascii="宋体" w:eastAsia="宋体" w:hAnsi="宋体" w:cs="宋体" w:hint="eastAsia"/>
                <w:color w:val="333333"/>
                <w:szCs w:val="24"/>
              </w:rPr>
              <w:t>分）</w:t>
            </w:r>
          </w:p>
        </w:tc>
      </w:tr>
      <w:tr w:rsidR="00097307">
        <w:trPr>
          <w:trHeight w:val="1"/>
        </w:trPr>
        <w:tc>
          <w:tcPr>
            <w:tcW w:w="1104" w:type="dxa"/>
            <w:tcBorders>
              <w:tl2br w:val="nil"/>
              <w:tr2bl w:val="nil"/>
            </w:tcBorders>
            <w:shd w:val="clear" w:color="auto" w:fill="FFFFFF"/>
            <w:tcMar>
              <w:top w:w="0" w:type="dxa"/>
              <w:left w:w="108" w:type="dxa"/>
              <w:bottom w:w="0" w:type="dxa"/>
              <w:right w:w="108" w:type="dxa"/>
            </w:tcMar>
          </w:tcPr>
          <w:p w:rsidR="00097307" w:rsidRDefault="00277CC9">
            <w:pPr>
              <w:pStyle w:val="a4"/>
              <w:widowControl/>
              <w:spacing w:before="0" w:beforeAutospacing="0" w:after="0" w:afterAutospacing="0" w:line="600" w:lineRule="atLeast"/>
              <w:ind w:left="10"/>
              <w:rPr>
                <w:rFonts w:ascii="Times New Roman" w:hAnsi="Times New Roman"/>
                <w:sz w:val="21"/>
                <w:szCs w:val="21"/>
              </w:rPr>
            </w:pPr>
            <w:r>
              <w:rPr>
                <w:rFonts w:ascii="黑体" w:eastAsia="黑体" w:hAnsi="宋体" w:cs="黑体" w:hint="eastAsia"/>
                <w:color w:val="333333"/>
                <w:szCs w:val="24"/>
              </w:rPr>
              <w:t>总分</w:t>
            </w:r>
          </w:p>
        </w:tc>
        <w:tc>
          <w:tcPr>
            <w:tcW w:w="1950" w:type="dxa"/>
            <w:gridSpan w:val="2"/>
            <w:tcBorders>
              <w:tl2br w:val="nil"/>
              <w:tr2bl w:val="nil"/>
            </w:tcBorders>
            <w:shd w:val="clear" w:color="auto" w:fill="FFFFFF"/>
            <w:tcMar>
              <w:top w:w="0" w:type="dxa"/>
              <w:left w:w="108" w:type="dxa"/>
              <w:bottom w:w="0" w:type="dxa"/>
              <w:right w:w="108" w:type="dxa"/>
            </w:tcMar>
          </w:tcPr>
          <w:p w:rsidR="00097307" w:rsidRDefault="00277CC9">
            <w:pPr>
              <w:pStyle w:val="a4"/>
              <w:widowControl/>
              <w:spacing w:before="0" w:beforeAutospacing="0" w:after="0" w:afterAutospacing="0"/>
              <w:rPr>
                <w:rFonts w:ascii="Times New Roman" w:hAnsi="Times New Roman"/>
                <w:sz w:val="21"/>
                <w:szCs w:val="21"/>
              </w:rPr>
            </w:pPr>
            <w:r>
              <w:rPr>
                <w:rFonts w:ascii="宋体" w:eastAsia="宋体" w:hAnsi="宋体" w:cs="宋体" w:hint="eastAsia"/>
                <w:color w:val="333333"/>
                <w:szCs w:val="24"/>
              </w:rPr>
              <w:t> </w:t>
            </w:r>
          </w:p>
        </w:tc>
        <w:tc>
          <w:tcPr>
            <w:tcW w:w="650" w:type="dxa"/>
            <w:tcBorders>
              <w:tl2br w:val="nil"/>
              <w:tr2bl w:val="nil"/>
            </w:tcBorders>
            <w:shd w:val="clear" w:color="auto" w:fill="FFFFFF"/>
            <w:tcMar>
              <w:top w:w="0" w:type="dxa"/>
              <w:left w:w="108" w:type="dxa"/>
              <w:bottom w:w="0" w:type="dxa"/>
              <w:right w:w="108" w:type="dxa"/>
            </w:tcMar>
          </w:tcPr>
          <w:p w:rsidR="00097307" w:rsidRDefault="00277CC9">
            <w:pPr>
              <w:pStyle w:val="a4"/>
              <w:widowControl/>
              <w:spacing w:before="0" w:beforeAutospacing="0" w:after="0" w:afterAutospacing="0"/>
              <w:rPr>
                <w:rFonts w:ascii="Times New Roman" w:hAnsi="Times New Roman"/>
                <w:sz w:val="21"/>
                <w:szCs w:val="21"/>
              </w:rPr>
            </w:pPr>
            <w:r>
              <w:rPr>
                <w:rFonts w:ascii="黑体" w:eastAsia="黑体" w:hAnsi="宋体" w:cs="黑体" w:hint="eastAsia"/>
                <w:color w:val="333333"/>
                <w:szCs w:val="24"/>
              </w:rPr>
              <w:t>98</w:t>
            </w:r>
          </w:p>
          <w:p w:rsidR="00097307" w:rsidRDefault="00277CC9">
            <w:pPr>
              <w:pStyle w:val="a4"/>
              <w:widowControl/>
              <w:spacing w:before="0" w:beforeAutospacing="0" w:after="0" w:afterAutospacing="0"/>
              <w:rPr>
                <w:rFonts w:ascii="Times New Roman" w:hAnsi="Times New Roman"/>
                <w:sz w:val="21"/>
                <w:szCs w:val="21"/>
              </w:rPr>
            </w:pPr>
            <w:r>
              <w:rPr>
                <w:rFonts w:ascii="宋体" w:eastAsia="宋体" w:hAnsi="宋体" w:cs="宋体" w:hint="eastAsia"/>
                <w:color w:val="333333"/>
                <w:szCs w:val="24"/>
              </w:rPr>
              <w:t> </w:t>
            </w:r>
          </w:p>
        </w:tc>
        <w:tc>
          <w:tcPr>
            <w:tcW w:w="4524" w:type="dxa"/>
            <w:gridSpan w:val="2"/>
            <w:tcBorders>
              <w:tl2br w:val="nil"/>
              <w:tr2bl w:val="nil"/>
            </w:tcBorders>
            <w:shd w:val="clear" w:color="auto" w:fill="FFFFFF"/>
            <w:tcMar>
              <w:top w:w="0" w:type="dxa"/>
              <w:left w:w="108" w:type="dxa"/>
              <w:bottom w:w="0" w:type="dxa"/>
              <w:right w:w="108" w:type="dxa"/>
            </w:tcMar>
          </w:tcPr>
          <w:p w:rsidR="00097307" w:rsidRDefault="00277CC9">
            <w:pPr>
              <w:pStyle w:val="a4"/>
              <w:widowControl/>
              <w:spacing w:before="0" w:beforeAutospacing="0" w:after="0" w:afterAutospacing="0"/>
              <w:rPr>
                <w:rFonts w:ascii="Times New Roman" w:hAnsi="Times New Roman"/>
                <w:sz w:val="21"/>
                <w:szCs w:val="21"/>
              </w:rPr>
            </w:pPr>
            <w:r>
              <w:rPr>
                <w:rFonts w:ascii="宋体" w:eastAsia="宋体" w:hAnsi="宋体" w:cs="宋体" w:hint="eastAsia"/>
                <w:color w:val="333333"/>
                <w:szCs w:val="24"/>
              </w:rPr>
              <w:t> </w:t>
            </w:r>
          </w:p>
        </w:tc>
      </w:tr>
    </w:tbl>
    <w:p w:rsidR="00097307" w:rsidRDefault="00277CC9">
      <w:pPr>
        <w:widowControl/>
        <w:jc w:val="left"/>
        <w:rPr>
          <w:rFonts w:asciiTheme="minorEastAsia" w:hAnsiTheme="minorEastAsia" w:cs="黑体"/>
          <w:color w:val="000000"/>
          <w:kern w:val="0"/>
          <w:sz w:val="32"/>
          <w:szCs w:val="32"/>
        </w:rPr>
      </w:pPr>
      <w:r>
        <w:rPr>
          <w:rFonts w:asciiTheme="minorEastAsia" w:hAnsiTheme="minorEastAsia" w:cs="黑体"/>
          <w:color w:val="000000"/>
          <w:kern w:val="0"/>
          <w:sz w:val="32"/>
          <w:szCs w:val="32"/>
        </w:rPr>
        <w:br w:type="page"/>
      </w:r>
    </w:p>
    <w:p w:rsidR="00097307" w:rsidRDefault="00097307"/>
    <w:sectPr w:rsidR="00097307" w:rsidSect="0009730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3">
    <w15:presenceInfo w15:providerId="None" w15:userId="admin-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097307"/>
    <w:rsid w:val="00097307"/>
    <w:rsid w:val="00277CC9"/>
    <w:rsid w:val="56905C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0973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097307"/>
    <w:rPr>
      <w:rFonts w:ascii="Times New Roman" w:eastAsia="宋体" w:hAnsi="Times New Roman" w:cs="Times New Roman"/>
    </w:rPr>
  </w:style>
  <w:style w:type="paragraph" w:styleId="a3">
    <w:name w:val="annotation text"/>
    <w:basedOn w:val="a"/>
    <w:uiPriority w:val="99"/>
    <w:semiHidden/>
    <w:unhideWhenUsed/>
    <w:qFormat/>
    <w:rsid w:val="00097307"/>
    <w:pPr>
      <w:jc w:val="left"/>
    </w:pPr>
  </w:style>
  <w:style w:type="paragraph" w:styleId="a4">
    <w:name w:val="Normal (Web)"/>
    <w:basedOn w:val="a"/>
    <w:uiPriority w:val="99"/>
    <w:qFormat/>
    <w:rsid w:val="00097307"/>
    <w:pPr>
      <w:spacing w:before="100" w:beforeAutospacing="1" w:after="100" w:afterAutospacing="1"/>
      <w:jc w:val="left"/>
    </w:pPr>
    <w:rPr>
      <w:rFonts w:cs="Times New Roman"/>
      <w:kern w:val="0"/>
      <w:sz w:val="24"/>
    </w:rPr>
  </w:style>
  <w:style w:type="character" w:styleId="a5">
    <w:name w:val="annotation reference"/>
    <w:basedOn w:val="a0"/>
    <w:rsid w:val="00097307"/>
    <w:rPr>
      <w:sz w:val="21"/>
      <w:szCs w:val="21"/>
    </w:rPr>
  </w:style>
  <w:style w:type="paragraph" w:styleId="a6">
    <w:name w:val="Balloon Text"/>
    <w:basedOn w:val="a"/>
    <w:link w:val="Char"/>
    <w:rsid w:val="00277CC9"/>
    <w:rPr>
      <w:sz w:val="18"/>
      <w:szCs w:val="18"/>
    </w:rPr>
  </w:style>
  <w:style w:type="character" w:customStyle="1" w:styleId="Char">
    <w:name w:val="批注框文本 Char"/>
    <w:basedOn w:val="a0"/>
    <w:link w:val="a6"/>
    <w:rsid w:val="00277CC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5631</Words>
  <Characters>576</Characters>
  <Application>Microsoft Office Word</Application>
  <DocSecurity>0</DocSecurity>
  <Lines>4</Lines>
  <Paragraphs>12</Paragraphs>
  <ScaleCrop>false</ScaleCrop>
  <Company/>
  <LinksUpToDate>false</LinksUpToDate>
  <CharactersWithSpaces>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xbany</cp:lastModifiedBy>
  <cp:revision>2</cp:revision>
  <dcterms:created xsi:type="dcterms:W3CDTF">2023-06-26T11:50:00Z</dcterms:created>
  <dcterms:modified xsi:type="dcterms:W3CDTF">2023-10-05T06:35:00Z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DCA6AC41C3D84AD08856FEFAF7F43B58_12</vt:lpwstr>
  </property>
</Properties>
</file>