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6F" w:rsidRDefault="0055506F">
      <w:pPr>
        <w:autoSpaceDE w:val="0"/>
        <w:autoSpaceDN w:val="0"/>
        <w:spacing w:line="600" w:lineRule="exact"/>
        <w:jc w:val="center"/>
        <w:rPr>
          <w:rFonts w:ascii="黑体" w:eastAsia="黑体" w:hAnsi="黑体" w:cs="黑体"/>
          <w:bCs/>
          <w:sz w:val="36"/>
          <w:szCs w:val="36"/>
        </w:rPr>
      </w:pPr>
    </w:p>
    <w:p w:rsidR="0055506F" w:rsidRDefault="00FE57F2">
      <w:pPr>
        <w:autoSpaceDE w:val="0"/>
        <w:autoSpaceDN w:val="0"/>
        <w:spacing w:line="600" w:lineRule="exact"/>
        <w:jc w:val="center"/>
        <w:rPr>
          <w:rFonts w:ascii="黑体" w:eastAsia="黑体" w:hAnsi="黑体" w:cs="黑体"/>
          <w:bCs/>
          <w:sz w:val="36"/>
          <w:szCs w:val="36"/>
        </w:rPr>
      </w:pPr>
      <w:r>
        <w:rPr>
          <w:rFonts w:ascii="黑体" w:eastAsia="黑体" w:hAnsi="黑体" w:cs="黑体" w:hint="eastAsia"/>
          <w:bCs/>
          <w:sz w:val="36"/>
          <w:szCs w:val="36"/>
        </w:rPr>
        <w:t>益阳</w:t>
      </w:r>
      <w:r>
        <w:rPr>
          <w:rFonts w:ascii="黑体" w:eastAsia="黑体" w:hAnsi="黑体" w:cs="黑体" w:hint="eastAsia"/>
          <w:bCs/>
          <w:sz w:val="36"/>
          <w:szCs w:val="36"/>
        </w:rPr>
        <w:t>市</w:t>
      </w:r>
      <w:r>
        <w:rPr>
          <w:rFonts w:ascii="黑体" w:eastAsia="黑体" w:hAnsi="黑体" w:cs="黑体" w:hint="eastAsia"/>
          <w:bCs/>
          <w:sz w:val="36"/>
          <w:szCs w:val="36"/>
        </w:rPr>
        <w:t>龙岭工业集中区管理委员会</w:t>
      </w:r>
      <w:r>
        <w:rPr>
          <w:rFonts w:ascii="黑体" w:eastAsia="黑体" w:hAnsi="黑体" w:cs="黑体" w:hint="eastAsia"/>
          <w:bCs/>
          <w:sz w:val="36"/>
          <w:szCs w:val="36"/>
        </w:rPr>
        <w:t>2021</w:t>
      </w:r>
      <w:r>
        <w:rPr>
          <w:rFonts w:ascii="黑体" w:eastAsia="黑体" w:hAnsi="黑体" w:cs="黑体" w:hint="eastAsia"/>
          <w:bCs/>
          <w:sz w:val="36"/>
          <w:szCs w:val="36"/>
        </w:rPr>
        <w:t>年</w:t>
      </w:r>
      <w:r>
        <w:rPr>
          <w:rFonts w:ascii="黑体" w:eastAsia="黑体" w:hAnsi="黑体" w:cs="黑体" w:hint="eastAsia"/>
          <w:bCs/>
          <w:sz w:val="36"/>
          <w:szCs w:val="36"/>
        </w:rPr>
        <w:t>度</w:t>
      </w:r>
      <w:r>
        <w:rPr>
          <w:rFonts w:ascii="黑体" w:eastAsia="黑体" w:hAnsi="黑体" w:cs="黑体" w:hint="eastAsia"/>
          <w:bCs/>
          <w:sz w:val="36"/>
          <w:szCs w:val="36"/>
        </w:rPr>
        <w:t>部门</w:t>
      </w:r>
    </w:p>
    <w:p w:rsidR="0055506F" w:rsidRDefault="00FE57F2">
      <w:pPr>
        <w:autoSpaceDE w:val="0"/>
        <w:autoSpaceDN w:val="0"/>
        <w:spacing w:line="600" w:lineRule="exact"/>
        <w:jc w:val="center"/>
        <w:rPr>
          <w:rFonts w:ascii="黑体" w:eastAsia="黑体" w:hAnsi="黑体" w:cs="黑体"/>
          <w:bCs/>
          <w:sz w:val="36"/>
          <w:szCs w:val="36"/>
        </w:rPr>
      </w:pPr>
      <w:r>
        <w:rPr>
          <w:rFonts w:ascii="黑体" w:eastAsia="黑体" w:hAnsi="黑体" w:cs="黑体" w:hint="eastAsia"/>
          <w:bCs/>
          <w:sz w:val="36"/>
          <w:szCs w:val="36"/>
        </w:rPr>
        <w:t>整体支出绩效自评报告</w:t>
      </w:r>
    </w:p>
    <w:p w:rsidR="0055506F" w:rsidRDefault="0055506F">
      <w:pPr>
        <w:autoSpaceDE w:val="0"/>
        <w:autoSpaceDN w:val="0"/>
        <w:spacing w:line="600" w:lineRule="exact"/>
        <w:ind w:firstLineChars="200" w:firstLine="600"/>
        <w:rPr>
          <w:rFonts w:ascii="仿宋" w:eastAsia="仿宋" w:hAnsi="仿宋" w:cs="仿宋"/>
          <w:sz w:val="30"/>
          <w:szCs w:val="30"/>
        </w:rPr>
      </w:pPr>
    </w:p>
    <w:p w:rsidR="0055506F" w:rsidRDefault="00FE57F2">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根据区财政局有关文件精神和对预算绩效管理的要求，结合我单位实际，对</w:t>
      </w:r>
      <w:r>
        <w:rPr>
          <w:rFonts w:ascii="仿宋" w:eastAsia="仿宋" w:hAnsi="仿宋" w:cs="仿宋" w:hint="eastAsia"/>
          <w:sz w:val="30"/>
          <w:szCs w:val="30"/>
        </w:rPr>
        <w:t>2021</w:t>
      </w:r>
      <w:r>
        <w:rPr>
          <w:rFonts w:ascii="仿宋" w:eastAsia="仿宋" w:hAnsi="仿宋" w:cs="仿宋" w:hint="eastAsia"/>
          <w:sz w:val="30"/>
          <w:szCs w:val="30"/>
        </w:rPr>
        <w:t>年部门整体支出绩效开展了自评，并报告如下：</w:t>
      </w:r>
    </w:p>
    <w:p w:rsidR="0055506F" w:rsidRDefault="00FE57F2">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一、部门概况</w:t>
      </w:r>
    </w:p>
    <w:p w:rsidR="0055506F" w:rsidRDefault="00FE57F2" w:rsidP="0055506F">
      <w:pPr>
        <w:autoSpaceDE w:val="0"/>
        <w:autoSpaceDN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（一）部门基本情况</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龙岭工业集中区管理委员会（</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7</w:t>
      </w:r>
      <w:r>
        <w:rPr>
          <w:rFonts w:ascii="仿宋" w:eastAsia="仿宋" w:hAnsi="仿宋" w:cs="仿宋" w:hint="eastAsia"/>
          <w:sz w:val="30"/>
          <w:szCs w:val="30"/>
        </w:rPr>
        <w:t>月由原益阳龙岭工业集中区更名为龙岭产业开发区）位于益阳市城区东南部，成立于</w:t>
      </w:r>
      <w:r>
        <w:rPr>
          <w:rFonts w:ascii="仿宋" w:eastAsia="仿宋" w:hAnsi="仿宋" w:cs="仿宋" w:hint="eastAsia"/>
          <w:sz w:val="30"/>
          <w:szCs w:val="30"/>
        </w:rPr>
        <w:t>2000</w:t>
      </w:r>
      <w:r>
        <w:rPr>
          <w:rFonts w:ascii="仿宋" w:eastAsia="仿宋" w:hAnsi="仿宋" w:cs="仿宋" w:hint="eastAsia"/>
          <w:sz w:val="30"/>
          <w:szCs w:val="30"/>
        </w:rPr>
        <w:t>年</w:t>
      </w:r>
      <w:r>
        <w:rPr>
          <w:rFonts w:ascii="仿宋" w:eastAsia="仿宋" w:hAnsi="仿宋" w:cs="仿宋" w:hint="eastAsia"/>
          <w:sz w:val="30"/>
          <w:szCs w:val="30"/>
        </w:rPr>
        <w:t>11</w:t>
      </w:r>
      <w:r>
        <w:rPr>
          <w:rFonts w:ascii="仿宋" w:eastAsia="仿宋" w:hAnsi="仿宋" w:cs="仿宋" w:hint="eastAsia"/>
          <w:sz w:val="30"/>
          <w:szCs w:val="30"/>
        </w:rPr>
        <w:t>月，近期规划面积</w:t>
      </w:r>
      <w:r>
        <w:rPr>
          <w:rFonts w:ascii="仿宋" w:eastAsia="仿宋" w:hAnsi="仿宋" w:cs="仿宋" w:hint="eastAsia"/>
          <w:sz w:val="30"/>
          <w:szCs w:val="30"/>
        </w:rPr>
        <w:t>15.7</w:t>
      </w:r>
      <w:r>
        <w:rPr>
          <w:rFonts w:ascii="仿宋" w:eastAsia="仿宋" w:hAnsi="仿宋" w:cs="仿宋" w:hint="eastAsia"/>
          <w:sz w:val="30"/>
          <w:szCs w:val="30"/>
        </w:rPr>
        <w:t>平方公里。龙岭工业集中区管理委员会为正处级行政单位，为中共益阳市委、益阳市人民政府派出机构，机构级别为正处级，主要负责制定、实施开发区的经济发展计划；负责开发区的招商引资工作；对开发区实施整体规划；负责开发区内的土地开发管理；负责开发区的基础设施、公共设施建设；负责开发区日常行政及相关工作及承办区委、区人民政府交办的其他事项。</w:t>
      </w:r>
    </w:p>
    <w:p w:rsidR="0055506F" w:rsidRDefault="00FE57F2">
      <w:pPr>
        <w:autoSpaceDN w:val="0"/>
        <w:spacing w:line="560" w:lineRule="exact"/>
        <w:ind w:rightChars="-20" w:right="-42" w:firstLineChars="200" w:firstLine="600"/>
        <w:rPr>
          <w:rFonts w:ascii="仿宋" w:eastAsia="仿宋" w:hAnsi="仿宋" w:cs="仿宋"/>
          <w:sz w:val="30"/>
          <w:szCs w:val="30"/>
        </w:rPr>
      </w:pPr>
      <w:r>
        <w:rPr>
          <w:rFonts w:ascii="仿宋" w:eastAsia="仿宋" w:hAnsi="仿宋" w:hint="eastAsia"/>
          <w:sz w:val="30"/>
          <w:szCs w:val="30"/>
        </w:rPr>
        <w:t>园区共</w:t>
      </w:r>
      <w:r>
        <w:rPr>
          <w:rFonts w:eastAsia="仿宋_GB2312" w:cs="仿宋_GB2312" w:hint="eastAsia"/>
          <w:sz w:val="32"/>
          <w:szCs w:val="32"/>
        </w:rPr>
        <w:t>设立</w:t>
      </w:r>
      <w:r>
        <w:rPr>
          <w:rFonts w:eastAsia="仿宋_GB2312" w:cs="仿宋_GB2312"/>
          <w:sz w:val="32"/>
          <w:szCs w:val="32"/>
        </w:rPr>
        <w:t>7</w:t>
      </w:r>
      <w:r>
        <w:rPr>
          <w:rFonts w:eastAsia="仿宋_GB2312" w:cs="仿宋_GB2312" w:hint="eastAsia"/>
          <w:sz w:val="32"/>
          <w:szCs w:val="32"/>
        </w:rPr>
        <w:t>个正科级内设机构，分</w:t>
      </w:r>
      <w:r>
        <w:rPr>
          <w:rFonts w:eastAsia="仿宋_GB2312" w:cs="仿宋_GB2312" w:hint="eastAsia"/>
          <w:sz w:val="32"/>
          <w:szCs w:val="32"/>
        </w:rPr>
        <w:t>别是办公室、产业发展局（安全生产监管局）、经济合作局、开发建设局、社会事务局、财政事务局、纪工委、征地拆迁和社会事务综合服务中心。</w:t>
      </w:r>
      <w:r>
        <w:rPr>
          <w:rFonts w:ascii="仿宋" w:eastAsia="仿宋" w:hAnsi="仿宋" w:hint="eastAsia"/>
          <w:sz w:val="30"/>
          <w:szCs w:val="30"/>
        </w:rPr>
        <w:t>管委会下辖</w:t>
      </w:r>
      <w:r>
        <w:rPr>
          <w:rFonts w:ascii="仿宋" w:eastAsia="仿宋" w:hAnsi="仿宋" w:hint="eastAsia"/>
          <w:sz w:val="30"/>
          <w:szCs w:val="30"/>
        </w:rPr>
        <w:t>9</w:t>
      </w:r>
      <w:r>
        <w:rPr>
          <w:rFonts w:ascii="仿宋" w:eastAsia="仿宋" w:hAnsi="仿宋" w:hint="eastAsia"/>
          <w:sz w:val="30"/>
          <w:szCs w:val="30"/>
        </w:rPr>
        <w:t>个社区（街道），</w:t>
      </w:r>
      <w:r>
        <w:rPr>
          <w:rFonts w:ascii="仿宋" w:eastAsia="仿宋" w:hAnsi="仿宋" w:cs="仿宋" w:hint="eastAsia"/>
          <w:sz w:val="30"/>
          <w:szCs w:val="30"/>
        </w:rPr>
        <w:t>现有在编人员</w:t>
      </w:r>
      <w:r>
        <w:rPr>
          <w:rFonts w:ascii="仿宋" w:eastAsia="仿宋" w:hAnsi="仿宋" w:cs="仿宋" w:hint="eastAsia"/>
          <w:sz w:val="30"/>
          <w:szCs w:val="30"/>
        </w:rPr>
        <w:t>94</w:t>
      </w:r>
      <w:r>
        <w:rPr>
          <w:rFonts w:ascii="仿宋" w:eastAsia="仿宋" w:hAnsi="仿宋" w:cs="仿宋" w:hint="eastAsia"/>
          <w:sz w:val="30"/>
          <w:szCs w:val="30"/>
        </w:rPr>
        <w:t>人，行政编制</w:t>
      </w:r>
      <w:r>
        <w:rPr>
          <w:rFonts w:ascii="仿宋" w:eastAsia="仿宋" w:hAnsi="仿宋" w:cs="仿宋" w:hint="eastAsia"/>
          <w:sz w:val="30"/>
          <w:szCs w:val="30"/>
        </w:rPr>
        <w:t>13</w:t>
      </w:r>
      <w:r>
        <w:rPr>
          <w:rFonts w:ascii="仿宋" w:eastAsia="仿宋" w:hAnsi="仿宋" w:cs="仿宋" w:hint="eastAsia"/>
          <w:sz w:val="30"/>
          <w:szCs w:val="30"/>
        </w:rPr>
        <w:t>人，全额事业编制</w:t>
      </w:r>
      <w:r>
        <w:rPr>
          <w:rFonts w:ascii="仿宋" w:eastAsia="仿宋" w:hAnsi="仿宋" w:cs="仿宋" w:hint="eastAsia"/>
          <w:sz w:val="30"/>
          <w:szCs w:val="30"/>
        </w:rPr>
        <w:t>48</w:t>
      </w:r>
      <w:r>
        <w:rPr>
          <w:rFonts w:ascii="仿宋" w:eastAsia="仿宋" w:hAnsi="仿宋" w:cs="仿宋" w:hint="eastAsia"/>
          <w:sz w:val="30"/>
          <w:szCs w:val="30"/>
        </w:rPr>
        <w:t>人，全额工勤人员</w:t>
      </w:r>
      <w:r>
        <w:rPr>
          <w:rFonts w:ascii="仿宋" w:eastAsia="仿宋" w:hAnsi="仿宋" w:cs="仿宋" w:hint="eastAsia"/>
          <w:sz w:val="30"/>
          <w:szCs w:val="30"/>
        </w:rPr>
        <w:t>5</w:t>
      </w:r>
      <w:r>
        <w:rPr>
          <w:rFonts w:ascii="仿宋" w:eastAsia="仿宋" w:hAnsi="仿宋" w:cs="仿宋" w:hint="eastAsia"/>
          <w:sz w:val="30"/>
          <w:szCs w:val="30"/>
        </w:rPr>
        <w:t>人，自收自支编制人员</w:t>
      </w:r>
      <w:r>
        <w:rPr>
          <w:rFonts w:ascii="仿宋" w:eastAsia="仿宋" w:hAnsi="仿宋" w:cs="仿宋" w:hint="eastAsia"/>
          <w:sz w:val="30"/>
          <w:szCs w:val="30"/>
        </w:rPr>
        <w:t>28</w:t>
      </w:r>
      <w:r>
        <w:rPr>
          <w:rFonts w:ascii="仿宋" w:eastAsia="仿宋" w:hAnsi="仿宋" w:cs="仿宋" w:hint="eastAsia"/>
          <w:sz w:val="30"/>
          <w:szCs w:val="30"/>
        </w:rPr>
        <w:t>人。实有工作人员</w:t>
      </w:r>
      <w:r>
        <w:rPr>
          <w:rFonts w:ascii="仿宋" w:eastAsia="仿宋" w:hAnsi="仿宋" w:cs="仿宋" w:hint="eastAsia"/>
          <w:sz w:val="30"/>
          <w:szCs w:val="30"/>
        </w:rPr>
        <w:t>101</w:t>
      </w:r>
      <w:r>
        <w:rPr>
          <w:rFonts w:ascii="仿宋" w:eastAsia="仿宋" w:hAnsi="仿宋" w:cs="仿宋" w:hint="eastAsia"/>
          <w:sz w:val="30"/>
          <w:szCs w:val="30"/>
        </w:rPr>
        <w:t>人，其中退休人员</w:t>
      </w:r>
      <w:r>
        <w:rPr>
          <w:rFonts w:ascii="仿宋" w:eastAsia="仿宋" w:hAnsi="仿宋" w:cs="仿宋" w:hint="eastAsia"/>
          <w:sz w:val="30"/>
          <w:szCs w:val="30"/>
        </w:rPr>
        <w:t>7</w:t>
      </w:r>
      <w:r>
        <w:rPr>
          <w:rFonts w:ascii="仿宋" w:eastAsia="仿宋" w:hAnsi="仿宋" w:cs="仿宋" w:hint="eastAsia"/>
          <w:sz w:val="30"/>
          <w:szCs w:val="30"/>
        </w:rPr>
        <w:t>人</w:t>
      </w:r>
      <w:r>
        <w:rPr>
          <w:rFonts w:ascii="仿宋" w:eastAsia="仿宋" w:hAnsi="仿宋" w:hint="eastAsia"/>
          <w:sz w:val="30"/>
          <w:szCs w:val="30"/>
        </w:rPr>
        <w:t>。</w:t>
      </w:r>
    </w:p>
    <w:p w:rsidR="0055506F" w:rsidRDefault="00FE57F2" w:rsidP="0055506F">
      <w:pPr>
        <w:autoSpaceDE w:val="0"/>
        <w:autoSpaceDN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（二）一般公共预算财政拨款支出情况</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b/>
          <w:bCs/>
          <w:sz w:val="30"/>
          <w:szCs w:val="30"/>
        </w:rPr>
        <w:t>一般公共预算财政拨款支出</w:t>
      </w:r>
      <w:r>
        <w:rPr>
          <w:rFonts w:ascii="仿宋" w:eastAsia="仿宋" w:hAnsi="仿宋" w:cs="仿宋" w:hint="eastAsia"/>
          <w:b/>
          <w:bCs/>
          <w:sz w:val="30"/>
          <w:szCs w:val="30"/>
        </w:rPr>
        <w:t>15894.79</w:t>
      </w:r>
      <w:r>
        <w:rPr>
          <w:rFonts w:ascii="仿宋" w:eastAsia="仿宋" w:hAnsi="仿宋" w:cs="仿宋" w:hint="eastAsia"/>
          <w:sz w:val="30"/>
          <w:szCs w:val="30"/>
        </w:rPr>
        <w:t>万元</w:t>
      </w:r>
      <w:r>
        <w:rPr>
          <w:rFonts w:ascii="仿宋" w:eastAsia="仿宋" w:hAnsi="仿宋" w:cs="仿宋" w:hint="eastAsia"/>
          <w:sz w:val="30"/>
          <w:szCs w:val="30"/>
        </w:rPr>
        <w:t>，其中：</w:t>
      </w:r>
    </w:p>
    <w:p w:rsidR="0055506F" w:rsidRDefault="00FE57F2">
      <w:pPr>
        <w:numPr>
          <w:ilvl w:val="0"/>
          <w:numId w:val="1"/>
        </w:num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lastRenderedPageBreak/>
        <w:t>基本支出</w:t>
      </w:r>
      <w:r>
        <w:rPr>
          <w:rFonts w:ascii="仿宋" w:eastAsia="仿宋" w:hAnsi="仿宋" w:cs="仿宋" w:hint="eastAsia"/>
          <w:sz w:val="30"/>
          <w:szCs w:val="30"/>
        </w:rPr>
        <w:t>6214.31</w:t>
      </w:r>
      <w:r>
        <w:rPr>
          <w:rFonts w:ascii="仿宋" w:eastAsia="仿宋" w:hAnsi="仿宋" w:cs="仿宋" w:hint="eastAsia"/>
          <w:sz w:val="30"/>
          <w:szCs w:val="30"/>
        </w:rPr>
        <w:t>万元，其中人员经费</w:t>
      </w:r>
      <w:r>
        <w:rPr>
          <w:rFonts w:ascii="仿宋" w:eastAsia="仿宋" w:hAnsi="仿宋" w:cs="仿宋" w:hint="eastAsia"/>
          <w:sz w:val="30"/>
          <w:szCs w:val="30"/>
        </w:rPr>
        <w:t>1481.83</w:t>
      </w:r>
      <w:r>
        <w:rPr>
          <w:rFonts w:ascii="仿宋" w:eastAsia="仿宋" w:hAnsi="仿宋" w:cs="仿宋" w:hint="eastAsia"/>
          <w:sz w:val="30"/>
          <w:szCs w:val="30"/>
        </w:rPr>
        <w:t>万元，日常公用经费</w:t>
      </w:r>
      <w:r>
        <w:rPr>
          <w:rFonts w:ascii="仿宋" w:eastAsia="仿宋" w:hAnsi="仿宋" w:cs="仿宋" w:hint="eastAsia"/>
          <w:sz w:val="30"/>
          <w:szCs w:val="30"/>
        </w:rPr>
        <w:t>4732.49</w:t>
      </w:r>
      <w:r>
        <w:rPr>
          <w:rFonts w:ascii="仿宋" w:eastAsia="仿宋" w:hAnsi="仿宋" w:cs="仿宋" w:hint="eastAsia"/>
          <w:sz w:val="30"/>
          <w:szCs w:val="30"/>
        </w:rPr>
        <w:t>万元。</w:t>
      </w:r>
      <w:r>
        <w:rPr>
          <w:rFonts w:ascii="仿宋" w:eastAsia="仿宋" w:hAnsi="仿宋" w:cs="仿宋" w:hint="eastAsia"/>
          <w:sz w:val="30"/>
          <w:szCs w:val="30"/>
        </w:rPr>
        <w:t>2020</w:t>
      </w:r>
      <w:r>
        <w:rPr>
          <w:rFonts w:ascii="仿宋" w:eastAsia="仿宋" w:hAnsi="仿宋" w:cs="仿宋" w:hint="eastAsia"/>
          <w:sz w:val="30"/>
          <w:szCs w:val="30"/>
        </w:rPr>
        <w:t>年基本支出</w:t>
      </w:r>
      <w:r>
        <w:rPr>
          <w:rFonts w:ascii="仿宋" w:eastAsia="仿宋" w:hAnsi="仿宋" w:cs="仿宋" w:hint="eastAsia"/>
          <w:sz w:val="30"/>
          <w:szCs w:val="30"/>
        </w:rPr>
        <w:t>16799.01</w:t>
      </w:r>
      <w:r>
        <w:rPr>
          <w:rFonts w:ascii="仿宋" w:eastAsia="仿宋" w:hAnsi="仿宋" w:cs="仿宋" w:hint="eastAsia"/>
          <w:sz w:val="30"/>
          <w:szCs w:val="30"/>
        </w:rPr>
        <w:t>万元，其中人员经费</w:t>
      </w:r>
      <w:r>
        <w:rPr>
          <w:rFonts w:ascii="仿宋" w:eastAsia="仿宋" w:hAnsi="仿宋" w:cs="仿宋" w:hint="eastAsia"/>
          <w:sz w:val="30"/>
          <w:szCs w:val="30"/>
        </w:rPr>
        <w:t>1584.82</w:t>
      </w:r>
      <w:r>
        <w:rPr>
          <w:rFonts w:ascii="仿宋" w:eastAsia="仿宋" w:hAnsi="仿宋" w:cs="仿宋" w:hint="eastAsia"/>
          <w:sz w:val="30"/>
          <w:szCs w:val="30"/>
        </w:rPr>
        <w:t>万元与本年基本持平，日常公用经费</w:t>
      </w:r>
      <w:r>
        <w:rPr>
          <w:rFonts w:ascii="仿宋" w:eastAsia="仿宋" w:hAnsi="仿宋" w:cs="仿宋" w:hint="eastAsia"/>
          <w:sz w:val="30"/>
          <w:szCs w:val="30"/>
        </w:rPr>
        <w:t>15214.2</w:t>
      </w:r>
      <w:r>
        <w:rPr>
          <w:rFonts w:ascii="仿宋" w:eastAsia="仿宋" w:hAnsi="仿宋" w:cs="仿宋" w:hint="eastAsia"/>
          <w:sz w:val="30"/>
          <w:szCs w:val="30"/>
        </w:rPr>
        <w:t>万元，与</w:t>
      </w:r>
      <w:r>
        <w:rPr>
          <w:rFonts w:ascii="仿宋" w:eastAsia="仿宋" w:hAnsi="仿宋" w:cs="仿宋" w:hint="eastAsia"/>
          <w:sz w:val="30"/>
          <w:szCs w:val="30"/>
        </w:rPr>
        <w:t>2020</w:t>
      </w:r>
      <w:r>
        <w:rPr>
          <w:rFonts w:ascii="仿宋" w:eastAsia="仿宋" w:hAnsi="仿宋" w:cs="仿宋" w:hint="eastAsia"/>
          <w:sz w:val="30"/>
          <w:szCs w:val="30"/>
        </w:rPr>
        <w:t>年相比主要是税金及附加费用减少加</w:t>
      </w:r>
      <w:r>
        <w:rPr>
          <w:rFonts w:ascii="仿宋" w:eastAsia="仿宋" w:hAnsi="仿宋" w:cs="仿宋" w:hint="eastAsia"/>
          <w:sz w:val="30"/>
          <w:szCs w:val="30"/>
        </w:rPr>
        <w:t>9951</w:t>
      </w:r>
      <w:r>
        <w:rPr>
          <w:rFonts w:ascii="仿宋" w:eastAsia="仿宋" w:hAnsi="仿宋" w:cs="仿宋" w:hint="eastAsia"/>
          <w:sz w:val="30"/>
          <w:szCs w:val="30"/>
        </w:rPr>
        <w:t>万元</w:t>
      </w:r>
      <w:r>
        <w:rPr>
          <w:rFonts w:ascii="仿宋" w:eastAsia="仿宋" w:hAnsi="仿宋" w:cs="仿宋" w:hint="eastAsia"/>
          <w:sz w:val="30"/>
          <w:szCs w:val="30"/>
        </w:rPr>
        <w:t>；</w:t>
      </w:r>
    </w:p>
    <w:p w:rsidR="0055506F" w:rsidRDefault="00FE57F2">
      <w:pPr>
        <w:numPr>
          <w:ilvl w:val="0"/>
          <w:numId w:val="1"/>
        </w:num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项目支出</w:t>
      </w:r>
      <w:r>
        <w:rPr>
          <w:rFonts w:ascii="仿宋" w:eastAsia="仿宋" w:hAnsi="仿宋" w:cs="仿宋" w:hint="eastAsia"/>
          <w:sz w:val="30"/>
          <w:szCs w:val="30"/>
        </w:rPr>
        <w:t>9680.48</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2020</w:t>
      </w:r>
      <w:r>
        <w:rPr>
          <w:rFonts w:ascii="仿宋" w:eastAsia="仿宋" w:hAnsi="仿宋" w:cs="仿宋" w:hint="eastAsia"/>
          <w:sz w:val="30"/>
          <w:szCs w:val="30"/>
        </w:rPr>
        <w:t>年项目支出为</w:t>
      </w:r>
      <w:r>
        <w:rPr>
          <w:rFonts w:ascii="仿宋" w:eastAsia="仿宋" w:hAnsi="仿宋" w:cs="仿宋" w:hint="eastAsia"/>
          <w:sz w:val="30"/>
          <w:szCs w:val="30"/>
        </w:rPr>
        <w:t>5982.71</w:t>
      </w:r>
      <w:r>
        <w:rPr>
          <w:rFonts w:ascii="仿宋" w:eastAsia="仿宋" w:hAnsi="仿宋" w:cs="仿宋" w:hint="eastAsia"/>
          <w:sz w:val="30"/>
          <w:szCs w:val="30"/>
        </w:rPr>
        <w:t>万元，相比</w:t>
      </w:r>
      <w:r>
        <w:rPr>
          <w:rFonts w:ascii="仿宋" w:eastAsia="仿宋" w:hAnsi="仿宋" w:cs="仿宋" w:hint="eastAsia"/>
          <w:sz w:val="30"/>
          <w:szCs w:val="30"/>
        </w:rPr>
        <w:t>2020</w:t>
      </w:r>
      <w:r>
        <w:rPr>
          <w:rFonts w:ascii="仿宋" w:eastAsia="仿宋" w:hAnsi="仿宋" w:cs="仿宋" w:hint="eastAsia"/>
          <w:sz w:val="30"/>
          <w:szCs w:val="30"/>
        </w:rPr>
        <w:t>年增加了</w:t>
      </w:r>
      <w:r>
        <w:rPr>
          <w:rFonts w:ascii="仿宋" w:eastAsia="仿宋" w:hAnsi="仿宋" w:cs="仿宋" w:hint="eastAsia"/>
          <w:sz w:val="30"/>
          <w:szCs w:val="30"/>
        </w:rPr>
        <w:t>3697.77</w:t>
      </w:r>
      <w:r>
        <w:rPr>
          <w:rFonts w:ascii="仿宋" w:eastAsia="仿宋" w:hAnsi="仿宋" w:cs="仿宋" w:hint="eastAsia"/>
          <w:sz w:val="30"/>
          <w:szCs w:val="30"/>
        </w:rPr>
        <w:t>万元，主要是</w:t>
      </w:r>
      <w:r>
        <w:rPr>
          <w:rFonts w:ascii="仿宋" w:eastAsia="仿宋" w:hAnsi="仿宋" w:cs="仿宋" w:hint="eastAsia"/>
          <w:sz w:val="30"/>
          <w:szCs w:val="30"/>
        </w:rPr>
        <w:t>2021</w:t>
      </w:r>
      <w:r>
        <w:rPr>
          <w:rFonts w:ascii="仿宋" w:eastAsia="仿宋" w:hAnsi="仿宋" w:cs="仿宋" w:hint="eastAsia"/>
          <w:sz w:val="30"/>
          <w:szCs w:val="30"/>
        </w:rPr>
        <w:t>年其他就业补助支出增加</w:t>
      </w:r>
      <w:r>
        <w:rPr>
          <w:rFonts w:ascii="仿宋" w:eastAsia="仿宋" w:hAnsi="仿宋" w:cs="仿宋" w:hint="eastAsia"/>
          <w:sz w:val="30"/>
          <w:szCs w:val="30"/>
        </w:rPr>
        <w:t>1500</w:t>
      </w:r>
      <w:r>
        <w:rPr>
          <w:rFonts w:ascii="仿宋" w:eastAsia="仿宋" w:hAnsi="仿宋" w:cs="仿宋" w:hint="eastAsia"/>
          <w:sz w:val="30"/>
          <w:szCs w:val="30"/>
        </w:rPr>
        <w:t>万元，污染防治支出增加</w:t>
      </w:r>
      <w:r>
        <w:rPr>
          <w:rFonts w:ascii="仿宋" w:eastAsia="仿宋" w:hAnsi="仿宋" w:cs="仿宋" w:hint="eastAsia"/>
          <w:sz w:val="30"/>
          <w:szCs w:val="30"/>
        </w:rPr>
        <w:t>1000</w:t>
      </w:r>
      <w:r>
        <w:rPr>
          <w:rFonts w:ascii="仿宋" w:eastAsia="仿宋" w:hAnsi="仿宋" w:cs="仿宋" w:hint="eastAsia"/>
          <w:sz w:val="30"/>
          <w:szCs w:val="30"/>
        </w:rPr>
        <w:t>万元，其他资源勘探工业信息支出增加</w:t>
      </w:r>
      <w:r>
        <w:rPr>
          <w:rFonts w:ascii="仿宋" w:eastAsia="仿宋" w:hAnsi="仿宋" w:cs="仿宋" w:hint="eastAsia"/>
          <w:sz w:val="30"/>
          <w:szCs w:val="30"/>
        </w:rPr>
        <w:t>1600</w:t>
      </w:r>
      <w:r>
        <w:rPr>
          <w:rFonts w:ascii="仿宋" w:eastAsia="仿宋" w:hAnsi="仿宋" w:cs="仿宋" w:hint="eastAsia"/>
          <w:sz w:val="30"/>
          <w:szCs w:val="30"/>
        </w:rPr>
        <w:t>万元。</w:t>
      </w:r>
    </w:p>
    <w:p w:rsidR="0055506F" w:rsidRDefault="00FE57F2">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二、部门整体支出管理情况</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根据《会计法》、《预算法》、《行政单位会计制度》等法律和财政部及省财政厅</w:t>
      </w:r>
      <w:r>
        <w:rPr>
          <w:rFonts w:ascii="仿宋" w:eastAsia="仿宋" w:hAnsi="仿宋" w:cs="仿宋" w:hint="eastAsia"/>
          <w:sz w:val="30"/>
          <w:szCs w:val="30"/>
        </w:rPr>
        <w:t>有关财务规章的规定，龙岭工业集中区管理委员会进一步修改完善了《龙岭产业开发区管理委员会财务管理制度》、《龙岭产业开发区管理委员会固定资产管理办法》、《龙岭产业开发区管理委员会关于违反财经纪律行为处理暂行规定》等制度再次明确了经费审批权限及程序，经费预算、核算管理、资产购置与处置、财务监督等。在“三公”经费管理方面再次强调了《龙岭产业开发区管理委员会办公室关于印发实施国内公务接待管理办法细则的通知》、《龙岭产业开发区管理委员会办公室关于印发实施差旅费管理规定的通知》，严格公务接待和差旅费的审批。</w:t>
      </w:r>
    </w:p>
    <w:p w:rsidR="0055506F" w:rsidRDefault="00FE57F2">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三、绩效评价工作情况</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根据财政部门对部门预算绩效管理工作的要求，对本单位的预算管理、预算配置、预算执行情况、职责履行、履职效率和部门新增财政支出、一般性支出、会议支出、办公经费支出、工资支出管理、厉行节约、保障措施等方面的执行情况进行了自评，形成了评价结论。</w:t>
      </w:r>
    </w:p>
    <w:p w:rsidR="0055506F" w:rsidRDefault="00FE57F2">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lastRenderedPageBreak/>
        <w:t>四、部门整体支出绩效情况</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年，龙岭工业集中区管理委员会突出抓改革强监管促发展，各方面工作稳步推进，根据《部门整体支出绩效评价指标》评分表自评得分</w:t>
      </w:r>
      <w:r>
        <w:rPr>
          <w:rFonts w:ascii="仿宋" w:eastAsia="仿宋" w:hAnsi="仿宋" w:cs="仿宋" w:hint="eastAsia"/>
          <w:sz w:val="30"/>
          <w:szCs w:val="30"/>
        </w:rPr>
        <w:t>96.7</w:t>
      </w:r>
      <w:r>
        <w:rPr>
          <w:rFonts w:ascii="仿宋" w:eastAsia="仿宋" w:hAnsi="仿宋" w:cs="仿宋" w:hint="eastAsia"/>
          <w:sz w:val="30"/>
          <w:szCs w:val="30"/>
        </w:rPr>
        <w:t>分，财政支出绩效为“良好”。主要绩效如下：</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年龙岭工业集中区管理委员会全年完成规模工业总产值</w:t>
      </w:r>
      <w:r>
        <w:rPr>
          <w:rFonts w:ascii="仿宋" w:eastAsia="仿宋" w:hAnsi="仿宋" w:cs="仿宋" w:hint="eastAsia"/>
          <w:sz w:val="30"/>
          <w:szCs w:val="30"/>
        </w:rPr>
        <w:t>738.7</w:t>
      </w:r>
      <w:r>
        <w:rPr>
          <w:rFonts w:ascii="仿宋" w:eastAsia="仿宋" w:hAnsi="仿宋" w:cs="仿宋" w:hint="eastAsia"/>
          <w:sz w:val="30"/>
          <w:szCs w:val="30"/>
        </w:rPr>
        <w:t>亿元，增长</w:t>
      </w:r>
      <w:r>
        <w:rPr>
          <w:rFonts w:ascii="仿宋" w:eastAsia="仿宋" w:hAnsi="仿宋" w:cs="仿宋" w:hint="eastAsia"/>
          <w:sz w:val="30"/>
          <w:szCs w:val="30"/>
        </w:rPr>
        <w:t>14.2%</w:t>
      </w:r>
      <w:r>
        <w:rPr>
          <w:rFonts w:ascii="仿宋" w:eastAsia="仿宋" w:hAnsi="仿宋" w:cs="仿宋" w:hint="eastAsia"/>
          <w:sz w:val="30"/>
          <w:szCs w:val="30"/>
        </w:rPr>
        <w:t>；规模工业增加值</w:t>
      </w:r>
      <w:r>
        <w:rPr>
          <w:rFonts w:ascii="仿宋" w:eastAsia="仿宋" w:hAnsi="仿宋" w:cs="仿宋" w:hint="eastAsia"/>
          <w:sz w:val="30"/>
          <w:szCs w:val="30"/>
        </w:rPr>
        <w:t>154.3</w:t>
      </w:r>
      <w:r>
        <w:rPr>
          <w:rFonts w:ascii="仿宋" w:eastAsia="仿宋" w:hAnsi="仿宋" w:cs="仿宋" w:hint="eastAsia"/>
          <w:sz w:val="30"/>
          <w:szCs w:val="30"/>
        </w:rPr>
        <w:t>亿元，增长</w:t>
      </w:r>
      <w:r>
        <w:rPr>
          <w:rFonts w:ascii="仿宋" w:eastAsia="仿宋" w:hAnsi="仿宋" w:cs="仿宋" w:hint="eastAsia"/>
          <w:sz w:val="30"/>
          <w:szCs w:val="30"/>
        </w:rPr>
        <w:t>11.6%</w:t>
      </w:r>
      <w:r>
        <w:rPr>
          <w:rFonts w:ascii="仿宋" w:eastAsia="仿宋" w:hAnsi="仿宋" w:cs="仿宋" w:hint="eastAsia"/>
          <w:sz w:val="30"/>
          <w:szCs w:val="30"/>
        </w:rPr>
        <w:t>；完成税收收入</w:t>
      </w:r>
      <w:r>
        <w:rPr>
          <w:rFonts w:ascii="仿宋" w:eastAsia="仿宋" w:hAnsi="仿宋" w:cs="仿宋" w:hint="eastAsia"/>
          <w:sz w:val="30"/>
          <w:szCs w:val="30"/>
        </w:rPr>
        <w:t>16.2</w:t>
      </w:r>
      <w:r>
        <w:rPr>
          <w:rFonts w:ascii="仿宋" w:eastAsia="仿宋" w:hAnsi="仿宋" w:cs="仿宋" w:hint="eastAsia"/>
          <w:sz w:val="30"/>
          <w:szCs w:val="30"/>
        </w:rPr>
        <w:t>亿元，增长</w:t>
      </w:r>
      <w:r>
        <w:rPr>
          <w:rFonts w:ascii="仿宋" w:eastAsia="仿宋" w:hAnsi="仿宋" w:cs="仿宋" w:hint="eastAsia"/>
          <w:sz w:val="30"/>
          <w:szCs w:val="30"/>
        </w:rPr>
        <w:t>15.8%</w:t>
      </w:r>
      <w:r>
        <w:rPr>
          <w:rFonts w:ascii="仿宋" w:eastAsia="仿宋" w:hAnsi="仿宋" w:cs="仿宋" w:hint="eastAsia"/>
          <w:sz w:val="30"/>
          <w:szCs w:val="30"/>
        </w:rPr>
        <w:t>（其中工业税收</w:t>
      </w:r>
      <w:r>
        <w:rPr>
          <w:rFonts w:ascii="仿宋" w:eastAsia="仿宋" w:hAnsi="仿宋" w:cs="仿宋" w:hint="eastAsia"/>
          <w:sz w:val="30"/>
          <w:szCs w:val="30"/>
        </w:rPr>
        <w:t>11.7</w:t>
      </w:r>
      <w:r>
        <w:rPr>
          <w:rFonts w:ascii="仿宋" w:eastAsia="仿宋" w:hAnsi="仿宋" w:cs="仿宋" w:hint="eastAsia"/>
          <w:sz w:val="30"/>
          <w:szCs w:val="30"/>
        </w:rPr>
        <w:t>亿元，增长</w:t>
      </w:r>
      <w:r>
        <w:rPr>
          <w:rFonts w:ascii="仿宋" w:eastAsia="仿宋" w:hAnsi="仿宋" w:cs="仿宋" w:hint="eastAsia"/>
          <w:sz w:val="30"/>
          <w:szCs w:val="30"/>
        </w:rPr>
        <w:t>21%</w:t>
      </w:r>
      <w:r>
        <w:rPr>
          <w:rFonts w:ascii="仿宋" w:eastAsia="仿宋" w:hAnsi="仿宋" w:cs="仿宋" w:hint="eastAsia"/>
          <w:sz w:val="30"/>
          <w:szCs w:val="30"/>
        </w:rPr>
        <w:t>）；完成外贸进出口总额</w:t>
      </w:r>
      <w:r>
        <w:rPr>
          <w:rFonts w:ascii="仿宋" w:eastAsia="仿宋" w:hAnsi="仿宋" w:cs="仿宋" w:hint="eastAsia"/>
          <w:sz w:val="30"/>
          <w:szCs w:val="30"/>
        </w:rPr>
        <w:t>33.32</w:t>
      </w:r>
      <w:r>
        <w:rPr>
          <w:rFonts w:ascii="仿宋" w:eastAsia="仿宋" w:hAnsi="仿宋" w:cs="仿宋" w:hint="eastAsia"/>
          <w:sz w:val="30"/>
          <w:szCs w:val="30"/>
        </w:rPr>
        <w:t>亿元；新增规上企业</w:t>
      </w:r>
      <w:r>
        <w:rPr>
          <w:rFonts w:ascii="仿宋" w:eastAsia="仿宋" w:hAnsi="仿宋" w:cs="仿宋" w:hint="eastAsia"/>
          <w:sz w:val="30"/>
          <w:szCs w:val="30"/>
        </w:rPr>
        <w:t>27</w:t>
      </w:r>
      <w:r>
        <w:rPr>
          <w:rFonts w:ascii="仿宋" w:eastAsia="仿宋" w:hAnsi="仿宋" w:cs="仿宋" w:hint="eastAsia"/>
          <w:sz w:val="30"/>
          <w:szCs w:val="30"/>
        </w:rPr>
        <w:t>家、高新技术企业</w:t>
      </w:r>
      <w:r>
        <w:rPr>
          <w:rFonts w:ascii="仿宋" w:eastAsia="仿宋" w:hAnsi="仿宋" w:cs="仿宋" w:hint="eastAsia"/>
          <w:sz w:val="30"/>
          <w:szCs w:val="30"/>
        </w:rPr>
        <w:t>11</w:t>
      </w:r>
      <w:r>
        <w:rPr>
          <w:rFonts w:ascii="仿宋" w:eastAsia="仿宋" w:hAnsi="仿宋" w:cs="仿宋" w:hint="eastAsia"/>
          <w:sz w:val="30"/>
          <w:szCs w:val="30"/>
        </w:rPr>
        <w:t>家；全省园区排名前进</w:t>
      </w:r>
      <w:r>
        <w:rPr>
          <w:rFonts w:ascii="仿宋" w:eastAsia="仿宋" w:hAnsi="仿宋" w:cs="仿宋" w:hint="eastAsia"/>
          <w:sz w:val="30"/>
          <w:szCs w:val="30"/>
        </w:rPr>
        <w:t>30</w:t>
      </w:r>
      <w:r>
        <w:rPr>
          <w:rFonts w:ascii="仿宋" w:eastAsia="仿宋" w:hAnsi="仿宋" w:cs="仿宋" w:hint="eastAsia"/>
          <w:sz w:val="30"/>
          <w:szCs w:val="30"/>
        </w:rPr>
        <w:t>位。</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年龙岭工业集中区管理委员会新签约项目</w:t>
      </w:r>
      <w:r>
        <w:rPr>
          <w:rFonts w:ascii="仿宋" w:eastAsia="仿宋" w:hAnsi="仿宋" w:cs="仿宋" w:hint="eastAsia"/>
          <w:sz w:val="30"/>
          <w:szCs w:val="30"/>
        </w:rPr>
        <w:t>59</w:t>
      </w:r>
      <w:r>
        <w:rPr>
          <w:rFonts w:ascii="仿宋" w:eastAsia="仿宋" w:hAnsi="仿宋" w:cs="仿宋" w:hint="eastAsia"/>
          <w:sz w:val="30"/>
          <w:szCs w:val="30"/>
        </w:rPr>
        <w:t>个，新开工项目</w:t>
      </w:r>
      <w:r>
        <w:rPr>
          <w:rFonts w:ascii="仿宋" w:eastAsia="仿宋" w:hAnsi="仿宋" w:cs="仿宋" w:hint="eastAsia"/>
          <w:sz w:val="30"/>
          <w:szCs w:val="30"/>
        </w:rPr>
        <w:t>28</w:t>
      </w:r>
      <w:r>
        <w:rPr>
          <w:rFonts w:ascii="仿宋" w:eastAsia="仿宋" w:hAnsi="仿宋" w:cs="仿宋" w:hint="eastAsia"/>
          <w:sz w:val="30"/>
          <w:szCs w:val="30"/>
        </w:rPr>
        <w:t>个、新投产项目</w:t>
      </w:r>
      <w:r>
        <w:rPr>
          <w:rFonts w:ascii="仿宋" w:eastAsia="仿宋" w:hAnsi="仿宋" w:cs="仿宋" w:hint="eastAsia"/>
          <w:sz w:val="30"/>
          <w:szCs w:val="30"/>
        </w:rPr>
        <w:t>28</w:t>
      </w:r>
      <w:r>
        <w:rPr>
          <w:rFonts w:ascii="仿宋" w:eastAsia="仿宋" w:hAnsi="仿宋" w:cs="仿宋" w:hint="eastAsia"/>
          <w:sz w:val="30"/>
          <w:szCs w:val="30"/>
        </w:rPr>
        <w:t>个，总投资</w:t>
      </w:r>
      <w:r>
        <w:rPr>
          <w:rFonts w:ascii="仿宋" w:eastAsia="仿宋" w:hAnsi="仿宋" w:cs="仿宋" w:hint="eastAsia"/>
          <w:sz w:val="30"/>
          <w:szCs w:val="30"/>
        </w:rPr>
        <w:t>122.5</w:t>
      </w:r>
      <w:r>
        <w:rPr>
          <w:rFonts w:ascii="仿宋" w:eastAsia="仿宋" w:hAnsi="仿宋" w:cs="仿宋" w:hint="eastAsia"/>
          <w:sz w:val="30"/>
          <w:szCs w:val="30"/>
        </w:rPr>
        <w:t>亿元。共承载“长株潭”产业转移项目</w:t>
      </w:r>
      <w:r>
        <w:rPr>
          <w:rFonts w:ascii="仿宋" w:eastAsia="仿宋" w:hAnsi="仿宋" w:cs="仿宋" w:hint="eastAsia"/>
          <w:sz w:val="30"/>
          <w:szCs w:val="30"/>
        </w:rPr>
        <w:t>19</w:t>
      </w:r>
      <w:r>
        <w:rPr>
          <w:rFonts w:ascii="仿宋" w:eastAsia="仿宋" w:hAnsi="仿宋" w:cs="仿宋" w:hint="eastAsia"/>
          <w:sz w:val="30"/>
          <w:szCs w:val="30"/>
        </w:rPr>
        <w:t>个、“三类</w:t>
      </w:r>
      <w:r>
        <w:rPr>
          <w:rFonts w:ascii="仿宋" w:eastAsia="仿宋" w:hAnsi="仿宋" w:cs="仿宋" w:hint="eastAsia"/>
          <w:sz w:val="30"/>
          <w:szCs w:val="30"/>
        </w:rPr>
        <w:t>500</w:t>
      </w:r>
      <w:r>
        <w:rPr>
          <w:rFonts w:ascii="仿宋" w:eastAsia="仿宋" w:hAnsi="仿宋" w:cs="仿宋" w:hint="eastAsia"/>
          <w:sz w:val="30"/>
          <w:szCs w:val="30"/>
        </w:rPr>
        <w:t>强”项目</w:t>
      </w:r>
      <w:r>
        <w:rPr>
          <w:rFonts w:ascii="仿宋" w:eastAsia="仿宋" w:hAnsi="仿宋" w:cs="仿宋" w:hint="eastAsia"/>
          <w:sz w:val="30"/>
          <w:szCs w:val="30"/>
        </w:rPr>
        <w:t>3</w:t>
      </w:r>
      <w:r>
        <w:rPr>
          <w:rFonts w:ascii="仿宋" w:eastAsia="仿宋" w:hAnsi="仿宋" w:cs="仿宋" w:hint="eastAsia"/>
          <w:sz w:val="30"/>
          <w:szCs w:val="30"/>
        </w:rPr>
        <w:t>个，引进区域外资金形成固</w:t>
      </w:r>
      <w:r>
        <w:rPr>
          <w:rFonts w:ascii="仿宋" w:eastAsia="仿宋" w:hAnsi="仿宋" w:cs="仿宋" w:hint="eastAsia"/>
          <w:sz w:val="30"/>
          <w:szCs w:val="30"/>
        </w:rPr>
        <w:t>定资产投资</w:t>
      </w:r>
      <w:r>
        <w:rPr>
          <w:rFonts w:ascii="仿宋" w:eastAsia="仿宋" w:hAnsi="仿宋" w:cs="仿宋" w:hint="eastAsia"/>
          <w:sz w:val="30"/>
          <w:szCs w:val="30"/>
        </w:rPr>
        <w:t>87</w:t>
      </w:r>
      <w:r>
        <w:rPr>
          <w:rFonts w:ascii="仿宋" w:eastAsia="仿宋" w:hAnsi="仿宋" w:cs="仿宋" w:hint="eastAsia"/>
          <w:sz w:val="30"/>
          <w:szCs w:val="30"/>
        </w:rPr>
        <w:t>亿元。落户辉骏科技、粤浙城等一批优质项目。艾华二期、江丰电子、吉祥家纺等项目相继投产。山河智能、汉森三期、艾华四期等</w:t>
      </w:r>
      <w:r>
        <w:rPr>
          <w:rFonts w:ascii="仿宋" w:eastAsia="仿宋" w:hAnsi="仿宋" w:cs="仿宋" w:hint="eastAsia"/>
          <w:sz w:val="30"/>
          <w:szCs w:val="30"/>
        </w:rPr>
        <w:t>43</w:t>
      </w:r>
      <w:r>
        <w:rPr>
          <w:rFonts w:ascii="仿宋" w:eastAsia="仿宋" w:hAnsi="仿宋" w:cs="仿宋" w:hint="eastAsia"/>
          <w:sz w:val="30"/>
          <w:szCs w:val="30"/>
        </w:rPr>
        <w:t>个项目正全力推进，意向投资总额</w:t>
      </w:r>
      <w:r>
        <w:rPr>
          <w:rFonts w:ascii="仿宋" w:eastAsia="仿宋" w:hAnsi="仿宋" w:cs="仿宋" w:hint="eastAsia"/>
          <w:sz w:val="30"/>
          <w:szCs w:val="30"/>
        </w:rPr>
        <w:t>96.8</w:t>
      </w:r>
      <w:r>
        <w:rPr>
          <w:rFonts w:ascii="仿宋" w:eastAsia="仿宋" w:hAnsi="仿宋" w:cs="仿宋" w:hint="eastAsia"/>
          <w:sz w:val="30"/>
          <w:szCs w:val="30"/>
        </w:rPr>
        <w:t>亿元。万洋众创项目，以市场化方式一揽子解决园区规划、设计、招商等问题。目前已入驻壹纳光电、鑫恒环保、君成机械等企业</w:t>
      </w:r>
      <w:r>
        <w:rPr>
          <w:rFonts w:ascii="仿宋" w:eastAsia="仿宋" w:hAnsi="仿宋" w:cs="仿宋" w:hint="eastAsia"/>
          <w:sz w:val="30"/>
          <w:szCs w:val="30"/>
        </w:rPr>
        <w:t>46</w:t>
      </w:r>
      <w:r>
        <w:rPr>
          <w:rFonts w:ascii="仿宋" w:eastAsia="仿宋" w:hAnsi="仿宋" w:cs="仿宋" w:hint="eastAsia"/>
          <w:sz w:val="30"/>
          <w:szCs w:val="30"/>
        </w:rPr>
        <w:t>家，认购面积</w:t>
      </w:r>
      <w:r>
        <w:rPr>
          <w:rFonts w:ascii="仿宋" w:eastAsia="仿宋" w:hAnsi="仿宋" w:cs="仿宋" w:hint="eastAsia"/>
          <w:sz w:val="30"/>
          <w:szCs w:val="30"/>
        </w:rPr>
        <w:t>18</w:t>
      </w:r>
      <w:r>
        <w:rPr>
          <w:rFonts w:ascii="仿宋" w:eastAsia="仿宋" w:hAnsi="仿宋" w:cs="仿宋" w:hint="eastAsia"/>
          <w:sz w:val="30"/>
          <w:szCs w:val="30"/>
        </w:rPr>
        <w:t>万余平方米，储备意向入驻企业</w:t>
      </w:r>
      <w:r>
        <w:rPr>
          <w:rFonts w:ascii="仿宋" w:eastAsia="仿宋" w:hAnsi="仿宋" w:cs="仿宋" w:hint="eastAsia"/>
          <w:sz w:val="30"/>
          <w:szCs w:val="30"/>
        </w:rPr>
        <w:t>187</w:t>
      </w:r>
      <w:r>
        <w:rPr>
          <w:rFonts w:ascii="仿宋" w:eastAsia="仿宋" w:hAnsi="仿宋" w:cs="仿宋" w:hint="eastAsia"/>
          <w:sz w:val="30"/>
          <w:szCs w:val="30"/>
        </w:rPr>
        <w:t>家。逐步形成了以电子信息为主导产业、新能源新材料为特色产业和智能装备制造、生物医药、轻纺、食品四大规模产业的产业格局。</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年龙岭工业集中区管理委员会筹融资</w:t>
      </w:r>
      <w:r>
        <w:rPr>
          <w:rFonts w:ascii="仿宋" w:eastAsia="仿宋" w:hAnsi="仿宋" w:cs="仿宋" w:hint="eastAsia"/>
          <w:sz w:val="30"/>
          <w:szCs w:val="30"/>
        </w:rPr>
        <w:t>35</w:t>
      </w:r>
      <w:r>
        <w:rPr>
          <w:rFonts w:ascii="仿宋" w:eastAsia="仿宋" w:hAnsi="仿宋" w:cs="仿宋" w:hint="eastAsia"/>
          <w:sz w:val="30"/>
          <w:szCs w:val="30"/>
        </w:rPr>
        <w:t>亿元</w:t>
      </w:r>
      <w:r>
        <w:rPr>
          <w:rFonts w:ascii="仿宋" w:eastAsia="仿宋" w:hAnsi="仿宋" w:cs="仿宋" w:hint="eastAsia"/>
          <w:sz w:val="30"/>
          <w:szCs w:val="30"/>
        </w:rPr>
        <w:t>，腾地</w:t>
      </w:r>
      <w:r>
        <w:rPr>
          <w:rFonts w:ascii="仿宋" w:eastAsia="仿宋" w:hAnsi="仿宋" w:cs="仿宋" w:hint="eastAsia"/>
          <w:sz w:val="30"/>
          <w:szCs w:val="30"/>
        </w:rPr>
        <w:t>1876</w:t>
      </w:r>
      <w:r>
        <w:rPr>
          <w:rFonts w:ascii="仿宋" w:eastAsia="仿宋" w:hAnsi="仿宋" w:cs="仿宋" w:hint="eastAsia"/>
          <w:sz w:val="30"/>
          <w:szCs w:val="30"/>
        </w:rPr>
        <w:t>亩，有效保障了项目资金和用地需求。全年共有省市重点建设项目</w:t>
      </w:r>
      <w:r>
        <w:rPr>
          <w:rFonts w:ascii="仿宋" w:eastAsia="仿宋" w:hAnsi="仿宋" w:cs="仿宋" w:hint="eastAsia"/>
          <w:sz w:val="30"/>
          <w:szCs w:val="30"/>
        </w:rPr>
        <w:t>38</w:t>
      </w:r>
      <w:r>
        <w:rPr>
          <w:rFonts w:ascii="仿宋" w:eastAsia="仿宋" w:hAnsi="仿宋" w:cs="仿宋" w:hint="eastAsia"/>
          <w:sz w:val="30"/>
          <w:szCs w:val="30"/>
        </w:rPr>
        <w:t>个，总投资</w:t>
      </w:r>
      <w:r>
        <w:rPr>
          <w:rFonts w:ascii="仿宋" w:eastAsia="仿宋" w:hAnsi="仿宋" w:cs="仿宋" w:hint="eastAsia"/>
          <w:sz w:val="30"/>
          <w:szCs w:val="30"/>
        </w:rPr>
        <w:t>286</w:t>
      </w:r>
      <w:r>
        <w:rPr>
          <w:rFonts w:ascii="仿宋" w:eastAsia="仿宋" w:hAnsi="仿宋" w:cs="仿宋" w:hint="eastAsia"/>
          <w:sz w:val="30"/>
          <w:szCs w:val="30"/>
        </w:rPr>
        <w:t>亿元。艾华二期、吉祥家纺、江丰电子、祥和实业等项目投产运营。龙岭智慧新城、辉骏华硕电脑主板、吉鲜生等</w:t>
      </w:r>
      <w:r>
        <w:rPr>
          <w:rFonts w:ascii="仿宋" w:eastAsia="仿宋" w:hAnsi="仿宋" w:cs="仿宋" w:hint="eastAsia"/>
          <w:sz w:val="30"/>
          <w:szCs w:val="30"/>
        </w:rPr>
        <w:t>35</w:t>
      </w:r>
      <w:r>
        <w:rPr>
          <w:rFonts w:ascii="仿宋" w:eastAsia="仿宋" w:hAnsi="仿宋" w:cs="仿宋" w:hint="eastAsia"/>
          <w:sz w:val="30"/>
          <w:szCs w:val="30"/>
        </w:rPr>
        <w:t>个项</w:t>
      </w:r>
      <w:r>
        <w:rPr>
          <w:rFonts w:ascii="仿宋" w:eastAsia="仿宋" w:hAnsi="仿宋" w:cs="仿宋" w:hint="eastAsia"/>
          <w:sz w:val="30"/>
          <w:szCs w:val="30"/>
        </w:rPr>
        <w:lastRenderedPageBreak/>
        <w:t>目正在加快建设。箴言龙光桥学校、第三人民医院（南院区）项目顺利开建。顺丰物流产业园、赫山区职业教育中心等</w:t>
      </w:r>
      <w:r>
        <w:rPr>
          <w:rFonts w:ascii="仿宋" w:eastAsia="仿宋" w:hAnsi="仿宋" w:cs="仿宋" w:hint="eastAsia"/>
          <w:sz w:val="30"/>
          <w:szCs w:val="30"/>
        </w:rPr>
        <w:t>8</w:t>
      </w:r>
      <w:r>
        <w:rPr>
          <w:rFonts w:ascii="仿宋" w:eastAsia="仿宋" w:hAnsi="仿宋" w:cs="仿宋" w:hint="eastAsia"/>
          <w:sz w:val="30"/>
          <w:szCs w:val="30"/>
        </w:rPr>
        <w:t>个项目正在办理前期手续。永福路（蓉园路</w:t>
      </w:r>
      <w:r>
        <w:rPr>
          <w:rFonts w:ascii="仿宋" w:eastAsia="仿宋" w:hAnsi="仿宋" w:cs="仿宋" w:hint="eastAsia"/>
          <w:sz w:val="30"/>
          <w:szCs w:val="30"/>
        </w:rPr>
        <w:t>-319</w:t>
      </w:r>
      <w:r>
        <w:rPr>
          <w:rFonts w:ascii="仿宋" w:eastAsia="仿宋" w:hAnsi="仿宋" w:cs="仿宋" w:hint="eastAsia"/>
          <w:sz w:val="30"/>
          <w:szCs w:val="30"/>
        </w:rPr>
        <w:t>国道）、梅林路（春嘉路</w:t>
      </w:r>
      <w:r>
        <w:rPr>
          <w:rFonts w:ascii="仿宋" w:eastAsia="仿宋" w:hAnsi="仿宋" w:cs="仿宋" w:hint="eastAsia"/>
          <w:sz w:val="30"/>
          <w:szCs w:val="30"/>
        </w:rPr>
        <w:t>-</w:t>
      </w:r>
      <w:r>
        <w:rPr>
          <w:rFonts w:ascii="仿宋" w:eastAsia="仿宋" w:hAnsi="仿宋" w:cs="仿宋" w:hint="eastAsia"/>
          <w:sz w:val="30"/>
          <w:szCs w:val="30"/>
        </w:rPr>
        <w:t>团山路）完成建设。春嘉路（迎宾路</w:t>
      </w:r>
      <w:r>
        <w:rPr>
          <w:rFonts w:ascii="仿宋" w:eastAsia="仿宋" w:hAnsi="仿宋" w:cs="仿宋" w:hint="eastAsia"/>
          <w:sz w:val="30"/>
          <w:szCs w:val="30"/>
        </w:rPr>
        <w:t>-</w:t>
      </w:r>
      <w:r>
        <w:rPr>
          <w:rFonts w:ascii="仿宋" w:eastAsia="仿宋" w:hAnsi="仿宋" w:cs="仿宋" w:hint="eastAsia"/>
          <w:sz w:val="30"/>
          <w:szCs w:val="30"/>
        </w:rPr>
        <w:t>关山路）完成提质改造。</w:t>
      </w:r>
    </w:p>
    <w:p w:rsidR="0055506F" w:rsidRDefault="00FE57F2">
      <w:pPr>
        <w:autoSpaceDN w:val="0"/>
        <w:spacing w:line="600" w:lineRule="exact"/>
        <w:ind w:rightChars="-20" w:right="-42" w:firstLineChars="200" w:firstLine="600"/>
        <w:rPr>
          <w:rFonts w:ascii="黑体" w:eastAsia="黑体" w:hAnsi="黑体" w:cs="黑体"/>
          <w:sz w:val="30"/>
          <w:szCs w:val="30"/>
        </w:rPr>
      </w:pPr>
      <w:r>
        <w:rPr>
          <w:rFonts w:ascii="黑体" w:eastAsia="黑体" w:hAnsi="黑体" w:cs="黑体" w:hint="eastAsia"/>
          <w:sz w:val="30"/>
          <w:szCs w:val="30"/>
        </w:rPr>
        <w:t xml:space="preserve"> </w:t>
      </w:r>
      <w:r>
        <w:rPr>
          <w:rFonts w:ascii="黑体" w:eastAsia="黑体" w:hAnsi="黑体" w:cs="黑体" w:hint="eastAsia"/>
          <w:sz w:val="30"/>
          <w:szCs w:val="30"/>
        </w:rPr>
        <w:t>五、存在的主要问题</w:t>
      </w:r>
    </w:p>
    <w:p w:rsidR="0055506F" w:rsidRDefault="00FE57F2" w:rsidP="0055506F">
      <w:pPr>
        <w:autoSpaceDN w:val="0"/>
        <w:spacing w:line="600" w:lineRule="exact"/>
        <w:ind w:rightChars="-20" w:right="-42" w:firstLineChars="200" w:firstLine="602"/>
        <w:rPr>
          <w:rFonts w:ascii="仿宋" w:eastAsia="仿宋" w:hAnsi="仿宋" w:cs="仿宋"/>
          <w:b/>
          <w:bCs/>
          <w:sz w:val="30"/>
          <w:szCs w:val="30"/>
        </w:rPr>
      </w:pPr>
      <w:r>
        <w:rPr>
          <w:rFonts w:ascii="仿宋" w:eastAsia="仿宋" w:hAnsi="仿宋" w:cs="仿宋" w:hint="eastAsia"/>
          <w:b/>
          <w:bCs/>
          <w:sz w:val="30"/>
          <w:szCs w:val="30"/>
        </w:rPr>
        <w:t>（一）园区支撑能力不足</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一是管委会财政收入来源少，支出压</w:t>
      </w:r>
      <w:r>
        <w:rPr>
          <w:rFonts w:ascii="仿宋" w:eastAsia="仿宋" w:hAnsi="仿宋" w:cs="仿宋" w:hint="eastAsia"/>
          <w:sz w:val="30"/>
          <w:szCs w:val="30"/>
        </w:rPr>
        <w:t>力大开发区现有干职工</w:t>
      </w:r>
      <w:r>
        <w:rPr>
          <w:rFonts w:ascii="仿宋" w:eastAsia="仿宋" w:hAnsi="仿宋" w:cs="仿宋" w:hint="eastAsia"/>
          <w:sz w:val="30"/>
          <w:szCs w:val="30"/>
        </w:rPr>
        <w:t>144</w:t>
      </w:r>
      <w:r>
        <w:rPr>
          <w:rFonts w:ascii="仿宋" w:eastAsia="仿宋" w:hAnsi="仿宋" w:cs="仿宋" w:hint="eastAsia"/>
          <w:sz w:val="30"/>
          <w:szCs w:val="30"/>
        </w:rPr>
        <w:t>人，其中自收自支</w:t>
      </w:r>
      <w:r>
        <w:rPr>
          <w:rFonts w:ascii="仿宋" w:eastAsia="仿宋" w:hAnsi="仿宋" w:cs="仿宋" w:hint="eastAsia"/>
          <w:sz w:val="30"/>
          <w:szCs w:val="30"/>
        </w:rPr>
        <w:t>63</w:t>
      </w:r>
      <w:r>
        <w:rPr>
          <w:rFonts w:ascii="仿宋" w:eastAsia="仿宋" w:hAnsi="仿宋" w:cs="仿宋" w:hint="eastAsia"/>
          <w:sz w:val="30"/>
          <w:szCs w:val="30"/>
        </w:rPr>
        <w:t>人。</w:t>
      </w:r>
      <w:r>
        <w:rPr>
          <w:rFonts w:ascii="仿宋" w:eastAsia="仿宋" w:hAnsi="仿宋" w:cs="仿宋" w:hint="eastAsia"/>
          <w:sz w:val="30"/>
          <w:szCs w:val="30"/>
        </w:rPr>
        <w:t>2022</w:t>
      </w:r>
      <w:r>
        <w:rPr>
          <w:rFonts w:ascii="仿宋" w:eastAsia="仿宋" w:hAnsi="仿宋" w:cs="仿宋" w:hint="eastAsia"/>
          <w:sz w:val="30"/>
          <w:szCs w:val="30"/>
        </w:rPr>
        <w:t>年区财政对开发区预算安排为</w:t>
      </w:r>
      <w:r>
        <w:rPr>
          <w:rFonts w:ascii="仿宋" w:eastAsia="仿宋" w:hAnsi="仿宋" w:cs="仿宋" w:hint="eastAsia"/>
          <w:sz w:val="30"/>
          <w:szCs w:val="30"/>
        </w:rPr>
        <w:t>1693</w:t>
      </w:r>
      <w:r>
        <w:rPr>
          <w:rFonts w:ascii="仿宋" w:eastAsia="仿宋" w:hAnsi="仿宋" w:cs="仿宋" w:hint="eastAsia"/>
          <w:sz w:val="30"/>
          <w:szCs w:val="30"/>
        </w:rPr>
        <w:t>万元，实际保持基本运转每年需</w:t>
      </w:r>
      <w:r>
        <w:rPr>
          <w:rFonts w:ascii="仿宋" w:eastAsia="仿宋" w:hAnsi="仿宋" w:cs="仿宋" w:hint="eastAsia"/>
          <w:sz w:val="30"/>
          <w:szCs w:val="30"/>
        </w:rPr>
        <w:t>4900</w:t>
      </w:r>
      <w:r>
        <w:rPr>
          <w:rFonts w:ascii="仿宋" w:eastAsia="仿宋" w:hAnsi="仿宋" w:cs="仿宋" w:hint="eastAsia"/>
          <w:sz w:val="30"/>
          <w:szCs w:val="30"/>
        </w:rPr>
        <w:t>万元，其中人员工资及福利</w:t>
      </w:r>
      <w:r>
        <w:rPr>
          <w:rFonts w:ascii="仿宋" w:eastAsia="仿宋" w:hAnsi="仿宋" w:cs="仿宋" w:hint="eastAsia"/>
          <w:sz w:val="30"/>
          <w:szCs w:val="30"/>
        </w:rPr>
        <w:t>2446</w:t>
      </w:r>
      <w:r>
        <w:rPr>
          <w:rFonts w:ascii="仿宋" w:eastAsia="仿宋" w:hAnsi="仿宋" w:cs="仿宋" w:hint="eastAsia"/>
          <w:sz w:val="30"/>
          <w:szCs w:val="30"/>
        </w:rPr>
        <w:t>万元（含派出所、交警、城管执法大队等单位误餐补贴）、社区经费</w:t>
      </w:r>
      <w:r>
        <w:rPr>
          <w:rFonts w:ascii="仿宋" w:eastAsia="仿宋" w:hAnsi="仿宋" w:cs="仿宋" w:hint="eastAsia"/>
          <w:sz w:val="30"/>
          <w:szCs w:val="30"/>
        </w:rPr>
        <w:t>986</w:t>
      </w:r>
      <w:r>
        <w:rPr>
          <w:rFonts w:ascii="仿宋" w:eastAsia="仿宋" w:hAnsi="仿宋" w:cs="仿宋" w:hint="eastAsia"/>
          <w:sz w:val="30"/>
          <w:szCs w:val="30"/>
        </w:rPr>
        <w:t>万元、办公室及会议支出</w:t>
      </w:r>
      <w:r>
        <w:rPr>
          <w:rFonts w:ascii="仿宋" w:eastAsia="仿宋" w:hAnsi="仿宋" w:cs="仿宋" w:hint="eastAsia"/>
          <w:sz w:val="30"/>
          <w:szCs w:val="30"/>
        </w:rPr>
        <w:t>290</w:t>
      </w:r>
      <w:r>
        <w:rPr>
          <w:rFonts w:ascii="仿宋" w:eastAsia="仿宋" w:hAnsi="仿宋" w:cs="仿宋" w:hint="eastAsia"/>
          <w:sz w:val="30"/>
          <w:szCs w:val="30"/>
        </w:rPr>
        <w:t>万元、部门工作经费</w:t>
      </w:r>
      <w:r>
        <w:rPr>
          <w:rFonts w:ascii="仿宋" w:eastAsia="仿宋" w:hAnsi="仿宋" w:cs="仿宋" w:hint="eastAsia"/>
          <w:sz w:val="30"/>
          <w:szCs w:val="30"/>
        </w:rPr>
        <w:t>580</w:t>
      </w:r>
      <w:r>
        <w:rPr>
          <w:rFonts w:ascii="仿宋" w:eastAsia="仿宋" w:hAnsi="仿宋" w:cs="仿宋" w:hint="eastAsia"/>
          <w:sz w:val="30"/>
          <w:szCs w:val="30"/>
        </w:rPr>
        <w:t>万元，项目工作经费</w:t>
      </w:r>
      <w:r>
        <w:rPr>
          <w:rFonts w:ascii="仿宋" w:eastAsia="仿宋" w:hAnsi="仿宋" w:cs="仿宋" w:hint="eastAsia"/>
          <w:sz w:val="30"/>
          <w:szCs w:val="30"/>
        </w:rPr>
        <w:t>600</w:t>
      </w:r>
      <w:r>
        <w:rPr>
          <w:rFonts w:ascii="仿宋" w:eastAsia="仿宋" w:hAnsi="仿宋" w:cs="仿宋" w:hint="eastAsia"/>
          <w:sz w:val="30"/>
          <w:szCs w:val="30"/>
        </w:rPr>
        <w:t>万元。每年缺口达</w:t>
      </w:r>
      <w:r>
        <w:rPr>
          <w:rFonts w:ascii="仿宋" w:eastAsia="仿宋" w:hAnsi="仿宋" w:cs="仿宋" w:hint="eastAsia"/>
          <w:sz w:val="30"/>
          <w:szCs w:val="30"/>
        </w:rPr>
        <w:t>3200</w:t>
      </w:r>
      <w:r>
        <w:rPr>
          <w:rFonts w:ascii="仿宋" w:eastAsia="仿宋" w:hAnsi="仿宋" w:cs="仿宋" w:hint="eastAsia"/>
          <w:sz w:val="30"/>
          <w:szCs w:val="30"/>
        </w:rPr>
        <w:t>万元。平台公司转型改革以前，产业开发区管委会的运转经费由平台公司创收解决。但自从平台公司转型改革独立经营以后，产业开发区管委会没有了收入来源，运转十分艰难。；二是平台公司缺乏造血功能，且</w:t>
      </w:r>
      <w:r>
        <w:rPr>
          <w:rFonts w:ascii="仿宋" w:eastAsia="仿宋" w:hAnsi="仿宋" w:cs="仿宋" w:hint="eastAsia"/>
          <w:sz w:val="30"/>
          <w:szCs w:val="30"/>
        </w:rPr>
        <w:t>资产规模太小导致融资能力弱。</w:t>
      </w:r>
    </w:p>
    <w:p w:rsidR="0055506F" w:rsidRDefault="00FE57F2" w:rsidP="0055506F">
      <w:pPr>
        <w:autoSpaceDN w:val="0"/>
        <w:spacing w:line="600" w:lineRule="exact"/>
        <w:ind w:rightChars="-20" w:right="-42" w:firstLineChars="200" w:firstLine="602"/>
        <w:rPr>
          <w:rFonts w:ascii="仿宋" w:eastAsia="仿宋" w:hAnsi="仿宋" w:cs="仿宋"/>
          <w:b/>
          <w:bCs/>
          <w:sz w:val="30"/>
          <w:szCs w:val="30"/>
        </w:rPr>
      </w:pPr>
      <w:r>
        <w:rPr>
          <w:rFonts w:ascii="仿宋" w:eastAsia="仿宋" w:hAnsi="仿宋" w:cs="仿宋" w:hint="eastAsia"/>
          <w:b/>
          <w:bCs/>
          <w:sz w:val="30"/>
          <w:szCs w:val="30"/>
        </w:rPr>
        <w:t>（二）固定资产管理水平有待进一步完善</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在加强固定资产管理，整合园区资源，发挥资源的最大效益方面，由于工作人员管理经验不足，与固定资产管理的要求存在一定差异，固定资产管理有待进一步加强。</w:t>
      </w:r>
    </w:p>
    <w:p w:rsidR="0055506F" w:rsidRDefault="00FE57F2">
      <w:pPr>
        <w:autoSpaceDN w:val="0"/>
        <w:spacing w:line="600" w:lineRule="exact"/>
        <w:ind w:rightChars="-20" w:right="-42" w:firstLineChars="200" w:firstLine="600"/>
        <w:rPr>
          <w:rFonts w:ascii="黑体" w:eastAsia="黑体" w:hAnsi="黑体" w:cs="黑体"/>
          <w:sz w:val="30"/>
          <w:szCs w:val="30"/>
        </w:rPr>
      </w:pPr>
      <w:r>
        <w:rPr>
          <w:rFonts w:ascii="黑体" w:eastAsia="黑体" w:hAnsi="黑体" w:cs="黑体" w:hint="eastAsia"/>
          <w:sz w:val="30"/>
          <w:szCs w:val="30"/>
        </w:rPr>
        <w:t>六、改进措施和有关建议</w:t>
      </w:r>
    </w:p>
    <w:p w:rsidR="0055506F" w:rsidRDefault="00FE57F2" w:rsidP="0055506F">
      <w:pPr>
        <w:autoSpaceDN w:val="0"/>
        <w:spacing w:line="600" w:lineRule="exact"/>
        <w:ind w:rightChars="-20" w:right="-42" w:firstLineChars="200" w:firstLine="602"/>
        <w:rPr>
          <w:rFonts w:ascii="仿宋" w:eastAsia="仿宋" w:hAnsi="仿宋" w:cs="仿宋"/>
          <w:b/>
          <w:bCs/>
          <w:sz w:val="30"/>
          <w:szCs w:val="30"/>
        </w:rPr>
      </w:pPr>
      <w:r>
        <w:rPr>
          <w:rFonts w:ascii="仿宋" w:eastAsia="仿宋" w:hAnsi="仿宋" w:cs="仿宋" w:hint="eastAsia"/>
          <w:b/>
          <w:bCs/>
          <w:sz w:val="30"/>
          <w:szCs w:val="30"/>
        </w:rPr>
        <w:t>（一）规范账务处理，提高财务信息质量</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财务管理人员、财会人员加强业务知识的学习，严格按照《会计法》、《行政事业单位会计制度》、《行政单位财务规则》等规定执行财务核算和管理，并结合园区部门实际情况，完整、准确地提供详实的</w:t>
      </w:r>
      <w:r>
        <w:rPr>
          <w:rFonts w:ascii="仿宋" w:eastAsia="仿宋" w:hAnsi="仿宋" w:cs="仿宋" w:hint="eastAsia"/>
          <w:sz w:val="30"/>
          <w:szCs w:val="30"/>
        </w:rPr>
        <w:lastRenderedPageBreak/>
        <w:t>财务会计资料，为园区的管理决策提供有力的财务依据。</w:t>
      </w:r>
    </w:p>
    <w:p w:rsidR="0055506F" w:rsidRDefault="00FE57F2" w:rsidP="0055506F">
      <w:pPr>
        <w:autoSpaceDN w:val="0"/>
        <w:spacing w:line="600" w:lineRule="exact"/>
        <w:ind w:rightChars="-20" w:right="-42" w:firstLineChars="200" w:firstLine="602"/>
        <w:rPr>
          <w:rFonts w:ascii="仿宋" w:eastAsia="仿宋" w:hAnsi="仿宋" w:cs="仿宋"/>
          <w:b/>
          <w:bCs/>
          <w:sz w:val="30"/>
          <w:szCs w:val="30"/>
        </w:rPr>
      </w:pPr>
      <w:r>
        <w:rPr>
          <w:rFonts w:ascii="仿宋" w:eastAsia="仿宋" w:hAnsi="仿宋" w:cs="仿宋" w:hint="eastAsia"/>
          <w:b/>
          <w:bCs/>
          <w:sz w:val="30"/>
          <w:szCs w:val="30"/>
        </w:rPr>
        <w:t> </w:t>
      </w:r>
      <w:r>
        <w:rPr>
          <w:rFonts w:ascii="仿宋" w:eastAsia="仿宋" w:hAnsi="仿宋" w:cs="仿宋" w:hint="eastAsia"/>
          <w:b/>
          <w:bCs/>
          <w:sz w:val="30"/>
          <w:szCs w:val="30"/>
        </w:rPr>
        <w:t>（二）完善管理制度，进一步加强资产管理</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进一步贯彻落实中央“八项规定”和湖南省委“九条规定”，完善本单位“三公经费”等公务支出管理制度及厉行节约制度，加强经费审批和控制，规范支出标准与范围，并严格执行。加强资产管理部的人员队伍建设，在园区抽调精干力量，参加资产管理的专业知识学习，扎实做好资产清查和管理工作。严格按照《固定资产管理办法》的规定加强固定资产管理，及时登记、更新台账，加强资产卡片管理，年终前对各类实物资产进行全面盘点，确保账账、账实相符。</w:t>
      </w:r>
    </w:p>
    <w:p w:rsidR="0055506F" w:rsidRDefault="00FE57F2" w:rsidP="0055506F">
      <w:pPr>
        <w:autoSpaceDN w:val="0"/>
        <w:spacing w:line="600" w:lineRule="exact"/>
        <w:ind w:rightChars="-20" w:right="-42" w:firstLineChars="200" w:firstLine="602"/>
        <w:rPr>
          <w:rFonts w:ascii="仿宋" w:eastAsia="仿宋" w:hAnsi="仿宋" w:cs="仿宋"/>
          <w:b/>
          <w:bCs/>
          <w:sz w:val="30"/>
          <w:szCs w:val="30"/>
        </w:rPr>
      </w:pPr>
      <w:r>
        <w:rPr>
          <w:rFonts w:ascii="仿宋" w:eastAsia="仿宋" w:hAnsi="仿宋" w:cs="仿宋" w:hint="eastAsia"/>
          <w:b/>
          <w:bCs/>
          <w:sz w:val="30"/>
          <w:szCs w:val="30"/>
        </w:rPr>
        <w:t>（三）深化对行政单位新会计制度和新预算法的学习</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继续深入加</w:t>
      </w:r>
      <w:r>
        <w:rPr>
          <w:rFonts w:ascii="仿宋" w:eastAsia="仿宋" w:hAnsi="仿宋" w:cs="仿宋" w:hint="eastAsia"/>
          <w:sz w:val="30"/>
          <w:szCs w:val="30"/>
        </w:rPr>
        <w:t>强对新《预算法》、《行政事业单位新会计制度》等的学习，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rsidR="0055506F" w:rsidRDefault="00FE57F2">
      <w:pPr>
        <w:autoSpaceDN w:val="0"/>
        <w:spacing w:line="600" w:lineRule="exact"/>
        <w:ind w:rightChars="-20" w:right="-42"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年度部门整体支出绩效自评指标计分表</w:t>
      </w:r>
    </w:p>
    <w:p w:rsidR="0055506F" w:rsidRDefault="0055506F">
      <w:pPr>
        <w:autoSpaceDN w:val="0"/>
        <w:spacing w:line="600" w:lineRule="exact"/>
        <w:ind w:rightChars="-20" w:right="-42" w:firstLineChars="200" w:firstLine="600"/>
        <w:rPr>
          <w:rFonts w:ascii="仿宋" w:eastAsia="仿宋" w:hAnsi="仿宋" w:cs="仿宋"/>
          <w:sz w:val="30"/>
          <w:szCs w:val="30"/>
        </w:rPr>
      </w:pPr>
    </w:p>
    <w:p w:rsidR="0055506F" w:rsidRDefault="0055506F">
      <w:pPr>
        <w:autoSpaceDN w:val="0"/>
        <w:spacing w:line="600" w:lineRule="exact"/>
        <w:ind w:rightChars="-20" w:right="-42" w:firstLineChars="200" w:firstLine="600"/>
        <w:rPr>
          <w:rFonts w:ascii="仿宋" w:eastAsia="仿宋" w:hAnsi="仿宋" w:cs="仿宋"/>
          <w:sz w:val="30"/>
          <w:szCs w:val="30"/>
        </w:rPr>
      </w:pPr>
    </w:p>
    <w:p w:rsidR="0055506F" w:rsidRDefault="0055506F">
      <w:pPr>
        <w:autoSpaceDN w:val="0"/>
        <w:spacing w:line="600" w:lineRule="exact"/>
        <w:ind w:rightChars="-20" w:right="-42" w:firstLineChars="200" w:firstLine="600"/>
        <w:rPr>
          <w:rFonts w:ascii="仿宋" w:eastAsia="仿宋" w:hAnsi="仿宋" w:cs="仿宋"/>
          <w:sz w:val="30"/>
          <w:szCs w:val="30"/>
        </w:rPr>
      </w:pPr>
    </w:p>
    <w:p w:rsidR="0055506F" w:rsidRDefault="0055506F">
      <w:pPr>
        <w:autoSpaceDN w:val="0"/>
        <w:spacing w:line="600" w:lineRule="exact"/>
        <w:ind w:rightChars="-20" w:right="-42" w:firstLineChars="200" w:firstLine="600"/>
        <w:rPr>
          <w:rFonts w:ascii="仿宋" w:eastAsia="仿宋" w:hAnsi="仿宋" w:cs="仿宋"/>
          <w:sz w:val="30"/>
          <w:szCs w:val="30"/>
        </w:rPr>
      </w:pPr>
    </w:p>
    <w:p w:rsidR="0055506F" w:rsidRDefault="0055506F">
      <w:pPr>
        <w:autoSpaceDN w:val="0"/>
        <w:spacing w:line="600" w:lineRule="exact"/>
        <w:ind w:rightChars="-20" w:right="-42" w:firstLineChars="200" w:firstLine="600"/>
        <w:rPr>
          <w:rFonts w:ascii="仿宋" w:eastAsia="仿宋" w:hAnsi="仿宋" w:cs="仿宋"/>
          <w:sz w:val="30"/>
          <w:szCs w:val="30"/>
        </w:rPr>
      </w:pPr>
    </w:p>
    <w:p w:rsidR="0055506F" w:rsidRDefault="0055506F" w:rsidP="0055506F">
      <w:pPr>
        <w:spacing w:beforeLines="50" w:afterLines="50" w:line="600" w:lineRule="exact"/>
        <w:ind w:firstLineChars="200" w:firstLine="600"/>
        <w:jc w:val="center"/>
        <w:rPr>
          <w:rFonts w:ascii="仿宋" w:eastAsia="仿宋" w:hAnsi="仿宋" w:cs="仿宋"/>
          <w:sz w:val="30"/>
          <w:szCs w:val="30"/>
        </w:rPr>
      </w:pPr>
    </w:p>
    <w:p w:rsidR="0055506F" w:rsidRDefault="0055506F" w:rsidP="0055506F">
      <w:pPr>
        <w:spacing w:beforeLines="50" w:afterLines="50" w:line="600" w:lineRule="exact"/>
        <w:rPr>
          <w:rFonts w:ascii="仿宋" w:eastAsia="仿宋" w:hAnsi="仿宋" w:cs="仿宋"/>
          <w:sz w:val="30"/>
          <w:szCs w:val="30"/>
        </w:rPr>
      </w:pPr>
      <w:bookmarkStart w:id="0" w:name="_GoBack"/>
      <w:bookmarkEnd w:id="0"/>
    </w:p>
    <w:p w:rsidR="0055506F" w:rsidRDefault="00FE57F2" w:rsidP="0055506F">
      <w:pPr>
        <w:spacing w:beforeLines="50" w:afterLines="50" w:line="60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lastRenderedPageBreak/>
        <w:t>2021</w:t>
      </w:r>
      <w:r>
        <w:rPr>
          <w:rFonts w:ascii="黑体" w:eastAsia="黑体" w:hAnsi="黑体" w:cs="黑体" w:hint="eastAsia"/>
          <w:sz w:val="30"/>
          <w:szCs w:val="30"/>
        </w:rPr>
        <w:t>年度部门整体支出绩效自评指标计分表</w:t>
      </w:r>
    </w:p>
    <w:tbl>
      <w:tblPr>
        <w:tblW w:w="53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6"/>
        <w:gridCol w:w="710"/>
        <w:gridCol w:w="944"/>
        <w:gridCol w:w="710"/>
        <w:gridCol w:w="2986"/>
        <w:gridCol w:w="3534"/>
      </w:tblGrid>
      <w:tr w:rsidR="0055506F">
        <w:trPr>
          <w:trHeight w:val="489"/>
          <w:tblHeader/>
          <w:jc w:val="center"/>
        </w:trPr>
        <w:tc>
          <w:tcPr>
            <w:tcW w:w="305" w:type="pct"/>
            <w:tcMar>
              <w:top w:w="10" w:type="dxa"/>
              <w:left w:w="10" w:type="dxa"/>
              <w:bottom w:w="0" w:type="dxa"/>
              <w:right w:w="10" w:type="dxa"/>
            </w:tcMar>
            <w:vAlign w:val="center"/>
          </w:tcPr>
          <w:p w:rsidR="0055506F" w:rsidRDefault="00FE57F2">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55506F" w:rsidRDefault="00FE57F2">
            <w:pPr>
              <w:spacing w:line="240" w:lineRule="exact"/>
              <w:ind w:rightChars="-83" w:right="-174"/>
              <w:jc w:val="center"/>
              <w:rPr>
                <w:rFonts w:ascii="宋体" w:cs="宋体"/>
                <w:b/>
                <w:bCs/>
              </w:rPr>
            </w:pPr>
            <w:r>
              <w:rPr>
                <w:rFonts w:ascii="宋体" w:hAnsi="宋体" w:cs="宋体" w:hint="eastAsia"/>
                <w:b/>
                <w:bCs/>
              </w:rPr>
              <w:t>二级</w:t>
            </w:r>
          </w:p>
          <w:p w:rsidR="0055506F" w:rsidRDefault="00FE57F2">
            <w:pPr>
              <w:spacing w:line="240" w:lineRule="exact"/>
              <w:ind w:rightChars="-83" w:right="-174"/>
              <w:jc w:val="center"/>
              <w:rPr>
                <w:rFonts w:ascii="宋体" w:cs="宋体"/>
                <w:b/>
                <w:bCs/>
              </w:rPr>
            </w:pPr>
            <w:r>
              <w:rPr>
                <w:rFonts w:ascii="宋体" w:hAnsi="宋体" w:cs="宋体" w:hint="eastAsia"/>
                <w:b/>
                <w:bCs/>
              </w:rPr>
              <w:t>指标</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b/>
                <w:bCs/>
              </w:rPr>
            </w:pPr>
            <w:r>
              <w:rPr>
                <w:rFonts w:ascii="宋体" w:hAnsi="宋体" w:cs="宋体" w:hint="eastAsia"/>
                <w:b/>
                <w:bCs/>
              </w:rPr>
              <w:t>三级</w:t>
            </w:r>
          </w:p>
          <w:p w:rsidR="0055506F" w:rsidRDefault="00FE57F2">
            <w:pPr>
              <w:spacing w:line="240" w:lineRule="exact"/>
              <w:jc w:val="center"/>
              <w:rPr>
                <w:rFonts w:ascii="宋体" w:cs="宋体"/>
                <w:b/>
                <w:bCs/>
              </w:rPr>
            </w:pPr>
            <w:r>
              <w:rPr>
                <w:rFonts w:ascii="宋体" w:hAnsi="宋体" w:cs="宋体" w:hint="eastAsia"/>
                <w:b/>
                <w:bCs/>
              </w:rPr>
              <w:t>指标</w:t>
            </w:r>
          </w:p>
        </w:tc>
        <w:tc>
          <w:tcPr>
            <w:tcW w:w="375" w:type="pct"/>
            <w:vAlign w:val="center"/>
          </w:tcPr>
          <w:p w:rsidR="0055506F" w:rsidRDefault="00FE57F2">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7" w:type="pct"/>
            <w:tcMar>
              <w:top w:w="10" w:type="dxa"/>
              <w:left w:w="10" w:type="dxa"/>
              <w:bottom w:w="0" w:type="dxa"/>
              <w:right w:w="10" w:type="dxa"/>
            </w:tcMar>
            <w:vAlign w:val="center"/>
          </w:tcPr>
          <w:p w:rsidR="0055506F" w:rsidRDefault="00FE57F2">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55506F">
        <w:trPr>
          <w:trHeight w:val="1892"/>
          <w:jc w:val="center"/>
        </w:trPr>
        <w:tc>
          <w:tcPr>
            <w:tcW w:w="305" w:type="pct"/>
            <w:vMerge w:val="restart"/>
            <w:noWrap/>
            <w:tcMar>
              <w:top w:w="10" w:type="dxa"/>
              <w:left w:w="10" w:type="dxa"/>
              <w:bottom w:w="0" w:type="dxa"/>
              <w:right w:w="10" w:type="dxa"/>
            </w:tcMar>
            <w:textDirection w:val="tbRlV"/>
            <w:vAlign w:val="center"/>
          </w:tcPr>
          <w:p w:rsidR="0055506F" w:rsidRDefault="00FE57F2">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绩效目标</w:t>
            </w:r>
          </w:p>
          <w:p w:rsidR="0055506F" w:rsidRDefault="00FE57F2">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vAlign w:val="center"/>
          </w:tcPr>
          <w:p w:rsidR="0055506F" w:rsidRDefault="00FE57F2">
            <w:pPr>
              <w:tabs>
                <w:tab w:val="left" w:pos="2604"/>
              </w:tabs>
              <w:spacing w:line="240" w:lineRule="exact"/>
              <w:ind w:left="202" w:rightChars="50" w:right="105"/>
              <w:jc w:val="center"/>
              <w:rPr>
                <w:rFonts w:ascii="宋体" w:eastAsia="宋体" w:cs="宋体"/>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55506F">
        <w:trPr>
          <w:trHeight w:val="2137"/>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绩效指标</w:t>
            </w:r>
          </w:p>
          <w:p w:rsidR="0055506F" w:rsidRDefault="00FE57F2">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55506F">
        <w:trPr>
          <w:trHeight w:val="1931"/>
          <w:jc w:val="center"/>
        </w:trPr>
        <w:tc>
          <w:tcPr>
            <w:tcW w:w="305" w:type="pct"/>
            <w:vMerge/>
            <w:vAlign w:val="center"/>
          </w:tcPr>
          <w:p w:rsidR="0055506F" w:rsidRDefault="0055506F">
            <w:pPr>
              <w:spacing w:line="240" w:lineRule="exact"/>
              <w:rPr>
                <w:rFonts w:ascii="宋体" w:cs="宋体"/>
              </w:rPr>
            </w:pPr>
          </w:p>
        </w:tc>
        <w:tc>
          <w:tcPr>
            <w:tcW w:w="375" w:type="pct"/>
            <w:vMerge w:val="restar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在职人员</w:t>
            </w:r>
          </w:p>
          <w:p w:rsidR="0055506F" w:rsidRDefault="00FE57F2">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55506F">
        <w:trPr>
          <w:trHeight w:val="2030"/>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“三公经费”</w:t>
            </w:r>
          </w:p>
          <w:p w:rsidR="0055506F" w:rsidRDefault="00FE57F2">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55506F">
        <w:trPr>
          <w:trHeight w:val="2510"/>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重点支出</w:t>
            </w:r>
          </w:p>
          <w:p w:rsidR="0055506F" w:rsidRDefault="00FE57F2">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55506F">
        <w:trPr>
          <w:trHeight w:val="1462"/>
          <w:jc w:val="center"/>
        </w:trPr>
        <w:tc>
          <w:tcPr>
            <w:tcW w:w="305" w:type="pct"/>
            <w:vMerge w:val="restart"/>
            <w:noWrap/>
            <w:tcMar>
              <w:top w:w="10" w:type="dxa"/>
              <w:left w:w="10" w:type="dxa"/>
              <w:bottom w:w="0" w:type="dxa"/>
              <w:right w:w="10" w:type="dxa"/>
            </w:tcMar>
            <w:textDirection w:val="tbRlV"/>
            <w:vAlign w:val="center"/>
          </w:tcPr>
          <w:p w:rsidR="0055506F" w:rsidRDefault="00FE57F2">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预算</w:t>
            </w:r>
          </w:p>
          <w:p w:rsidR="0055506F" w:rsidRDefault="00FE57F2">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55506F">
        <w:trPr>
          <w:trHeight w:val="1824"/>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预算</w:t>
            </w:r>
          </w:p>
          <w:p w:rsidR="0055506F" w:rsidRDefault="00FE57F2">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55506F">
        <w:trPr>
          <w:trHeight w:val="2531"/>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支付</w:t>
            </w:r>
          </w:p>
          <w:p w:rsidR="0055506F" w:rsidRDefault="00FE57F2">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55506F">
        <w:trPr>
          <w:trHeight w:val="1209"/>
          <w:jc w:val="center"/>
        </w:trPr>
        <w:tc>
          <w:tcPr>
            <w:tcW w:w="305" w:type="pct"/>
            <w:vMerge/>
            <w:noWrap/>
            <w:tcMar>
              <w:top w:w="10" w:type="dxa"/>
              <w:left w:w="10" w:type="dxa"/>
              <w:bottom w:w="0" w:type="dxa"/>
              <w:right w:w="10" w:type="dxa"/>
            </w:tcMar>
            <w:textDirection w:val="tbRlV"/>
            <w:vAlign w:val="center"/>
          </w:tcPr>
          <w:p w:rsidR="0055506F" w:rsidRDefault="0055506F">
            <w:pPr>
              <w:spacing w:line="240" w:lineRule="exact"/>
              <w:jc w:val="center"/>
              <w:rPr>
                <w:rFonts w:ascii="宋体" w:cs="宋体"/>
              </w:rPr>
            </w:pPr>
          </w:p>
        </w:tc>
        <w:tc>
          <w:tcPr>
            <w:tcW w:w="375" w:type="pct"/>
            <w:vMerge/>
            <w:tcMar>
              <w:top w:w="10" w:type="dxa"/>
              <w:left w:w="10" w:type="dxa"/>
              <w:bottom w:w="0" w:type="dxa"/>
              <w:right w:w="10" w:type="dxa"/>
            </w:tcMar>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结转</w:t>
            </w:r>
          </w:p>
          <w:p w:rsidR="0055506F" w:rsidRDefault="00FE57F2">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55506F">
        <w:trPr>
          <w:trHeight w:val="1113"/>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结转结余</w:t>
            </w:r>
          </w:p>
          <w:p w:rsidR="0055506F" w:rsidRDefault="00FE57F2">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55506F">
        <w:trPr>
          <w:trHeight w:val="1315"/>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公用经费</w:t>
            </w:r>
          </w:p>
          <w:p w:rsidR="0055506F" w:rsidRDefault="00FE57F2">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55506F">
        <w:trPr>
          <w:trHeight w:val="1018"/>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55506F">
        <w:trPr>
          <w:trHeight w:val="1320"/>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政府采购</w:t>
            </w:r>
          </w:p>
          <w:p w:rsidR="0055506F" w:rsidRDefault="00FE57F2">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3.5</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55506F">
        <w:trPr>
          <w:trHeight w:val="2029"/>
          <w:jc w:val="center"/>
        </w:trPr>
        <w:tc>
          <w:tcPr>
            <w:tcW w:w="305" w:type="pct"/>
            <w:vMerge w:val="restart"/>
            <w:vAlign w:val="center"/>
          </w:tcPr>
          <w:p w:rsidR="0055506F" w:rsidRDefault="00FE57F2">
            <w:pPr>
              <w:spacing w:line="240" w:lineRule="exact"/>
              <w:jc w:val="center"/>
              <w:rPr>
                <w:rFonts w:ascii="宋体" w:cs="宋体"/>
              </w:rPr>
            </w:pPr>
            <w:r>
              <w:rPr>
                <w:rFonts w:ascii="宋体" w:hAnsi="宋体" w:cs="宋体" w:hint="eastAsia"/>
              </w:rPr>
              <w:t>过</w:t>
            </w:r>
          </w:p>
          <w:p w:rsidR="0055506F" w:rsidRDefault="00FE57F2">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55506F" w:rsidRDefault="00FE57F2">
            <w:pPr>
              <w:spacing w:line="240" w:lineRule="exact"/>
              <w:jc w:val="center"/>
              <w:rPr>
                <w:rFonts w:ascii="宋体" w:cs="宋体"/>
              </w:rPr>
            </w:pPr>
            <w:r>
              <w:rPr>
                <w:rFonts w:ascii="宋体" w:hAnsi="宋体" w:cs="宋体" w:hint="eastAsia"/>
              </w:rPr>
              <w:t>）</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管理制度</w:t>
            </w:r>
          </w:p>
          <w:p w:rsidR="0055506F" w:rsidRDefault="00FE57F2">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2</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55506F">
        <w:trPr>
          <w:trHeight w:val="2537"/>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资金使用</w:t>
            </w:r>
          </w:p>
          <w:p w:rsidR="0055506F" w:rsidRDefault="00FE57F2">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1</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55506F">
        <w:trPr>
          <w:trHeight w:val="1272"/>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预决算信</w:t>
            </w:r>
          </w:p>
          <w:p w:rsidR="0055506F" w:rsidRDefault="00FE57F2">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1</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55506F">
        <w:trPr>
          <w:trHeight w:val="1737"/>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基础信息</w:t>
            </w:r>
          </w:p>
          <w:p w:rsidR="0055506F" w:rsidRDefault="00FE57F2">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1</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55506F">
        <w:trPr>
          <w:trHeight w:val="1389"/>
          <w:jc w:val="center"/>
        </w:trPr>
        <w:tc>
          <w:tcPr>
            <w:tcW w:w="305" w:type="pct"/>
            <w:vMerge/>
            <w:noWrap/>
            <w:tcMar>
              <w:top w:w="10" w:type="dxa"/>
              <w:left w:w="10" w:type="dxa"/>
              <w:bottom w:w="0" w:type="dxa"/>
              <w:right w:w="10" w:type="dxa"/>
            </w:tcMar>
            <w:textDirection w:val="tbRlV"/>
            <w:vAlign w:val="center"/>
          </w:tcPr>
          <w:p w:rsidR="0055506F" w:rsidRDefault="0055506F">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管理制度</w:t>
            </w:r>
          </w:p>
          <w:p w:rsidR="0055506F" w:rsidRDefault="00FE57F2">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1.8</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55506F">
        <w:trPr>
          <w:trHeight w:val="1887"/>
          <w:jc w:val="center"/>
        </w:trPr>
        <w:tc>
          <w:tcPr>
            <w:tcW w:w="305" w:type="pct"/>
            <w:vMerge/>
            <w:vAlign w:val="center"/>
          </w:tcPr>
          <w:p w:rsidR="0055506F" w:rsidRDefault="0055506F">
            <w:pPr>
              <w:spacing w:line="240" w:lineRule="exact"/>
              <w:jc w:val="center"/>
              <w:rPr>
                <w:rFonts w:ascii="宋体" w:cs="宋体"/>
              </w:rPr>
            </w:pPr>
          </w:p>
        </w:tc>
        <w:tc>
          <w:tcPr>
            <w:tcW w:w="375" w:type="pct"/>
            <w:vMerge/>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资产管理</w:t>
            </w:r>
          </w:p>
          <w:p w:rsidR="0055506F" w:rsidRDefault="00FE57F2">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vAlign w:val="center"/>
          </w:tcPr>
          <w:p w:rsidR="0055506F" w:rsidRDefault="00FE57F2" w:rsidP="0055506F">
            <w:pPr>
              <w:tabs>
                <w:tab w:val="left" w:pos="761"/>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1.6</w:t>
            </w:r>
          </w:p>
        </w:tc>
        <w:tc>
          <w:tcPr>
            <w:tcW w:w="1577" w:type="pct"/>
            <w:tcMar>
              <w:top w:w="10" w:type="dxa"/>
              <w:left w:w="10" w:type="dxa"/>
              <w:bottom w:w="0" w:type="dxa"/>
              <w:right w:w="10" w:type="dxa"/>
            </w:tcMar>
            <w:vAlign w:val="center"/>
          </w:tcPr>
          <w:p w:rsidR="0055506F" w:rsidRDefault="00FE57F2" w:rsidP="0055506F">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55506F">
        <w:trPr>
          <w:trHeight w:val="895"/>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固定资产</w:t>
            </w:r>
          </w:p>
          <w:p w:rsidR="0055506F" w:rsidRDefault="00FE57F2">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0.8</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55506F">
        <w:trPr>
          <w:trHeight w:val="2171"/>
          <w:jc w:val="center"/>
        </w:trPr>
        <w:tc>
          <w:tcPr>
            <w:tcW w:w="305" w:type="pct"/>
            <w:vMerge w:val="restart"/>
            <w:noWrap/>
            <w:tcMar>
              <w:top w:w="10" w:type="dxa"/>
              <w:left w:w="10" w:type="dxa"/>
              <w:bottom w:w="0" w:type="dxa"/>
              <w:right w:w="10" w:type="dxa"/>
            </w:tcMar>
            <w:textDirection w:val="tbRlV"/>
            <w:vAlign w:val="center"/>
          </w:tcPr>
          <w:p w:rsidR="0055506F" w:rsidRDefault="00FE57F2">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实际</w:t>
            </w:r>
          </w:p>
          <w:p w:rsidR="0055506F" w:rsidRDefault="00FE57F2">
            <w:pPr>
              <w:spacing w:line="240" w:lineRule="exact"/>
              <w:jc w:val="center"/>
              <w:rPr>
                <w:rFonts w:ascii="宋体" w:hAnsi="宋体" w:cs="宋体"/>
              </w:rPr>
            </w:pPr>
            <w:r>
              <w:rPr>
                <w:rFonts w:ascii="宋体" w:hAnsi="宋体" w:cs="宋体" w:hint="eastAsia"/>
              </w:rPr>
              <w:t>完成率</w:t>
            </w:r>
          </w:p>
          <w:p w:rsidR="0055506F" w:rsidRDefault="00FE57F2">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7</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55506F">
        <w:trPr>
          <w:trHeight w:val="1393"/>
          <w:jc w:val="center"/>
        </w:trPr>
        <w:tc>
          <w:tcPr>
            <w:tcW w:w="305" w:type="pct"/>
            <w:vMerge/>
            <w:textDirection w:val="tbRlV"/>
            <w:vAlign w:val="center"/>
          </w:tcPr>
          <w:p w:rsidR="0055506F" w:rsidRDefault="0055506F">
            <w:pPr>
              <w:spacing w:line="240" w:lineRule="exact"/>
              <w:ind w:left="113"/>
              <w:jc w:val="center"/>
              <w:rPr>
                <w:rFonts w:ascii="宋体" w:cs="宋体"/>
              </w:rPr>
            </w:pPr>
          </w:p>
        </w:tc>
        <w:tc>
          <w:tcPr>
            <w:tcW w:w="375" w:type="pct"/>
            <w:vMerge/>
            <w:vAlign w:val="center"/>
          </w:tcPr>
          <w:p w:rsidR="0055506F" w:rsidRDefault="0055506F">
            <w:pPr>
              <w:spacing w:line="240" w:lineRule="exact"/>
              <w:jc w:val="center"/>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完成</w:t>
            </w:r>
          </w:p>
          <w:p w:rsidR="0055506F" w:rsidRDefault="00FE57F2">
            <w:pPr>
              <w:spacing w:line="240" w:lineRule="exact"/>
              <w:jc w:val="center"/>
              <w:rPr>
                <w:rFonts w:ascii="宋体" w:hAnsi="宋体" w:cs="宋体"/>
              </w:rPr>
            </w:pPr>
            <w:r>
              <w:rPr>
                <w:rFonts w:ascii="宋体" w:hAnsi="宋体" w:cs="宋体" w:hint="eastAsia"/>
              </w:rPr>
              <w:t>及时率</w:t>
            </w:r>
          </w:p>
          <w:p w:rsidR="0055506F" w:rsidRDefault="00FE57F2">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szCs w:val="24"/>
              </w:rPr>
              <w:t>3.8</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55506F">
        <w:trPr>
          <w:trHeight w:val="1675"/>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质量</w:t>
            </w:r>
          </w:p>
          <w:p w:rsidR="0055506F" w:rsidRDefault="00FE57F2">
            <w:pPr>
              <w:spacing w:line="240" w:lineRule="exact"/>
              <w:jc w:val="center"/>
              <w:rPr>
                <w:rFonts w:ascii="宋体" w:hAnsi="宋体" w:cs="宋体"/>
              </w:rPr>
            </w:pPr>
            <w:r>
              <w:rPr>
                <w:rFonts w:ascii="宋体" w:hAnsi="宋体" w:cs="宋体" w:hint="eastAsia"/>
              </w:rPr>
              <w:t>达标率</w:t>
            </w:r>
          </w:p>
          <w:p w:rsidR="0055506F" w:rsidRDefault="00FE57F2">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7.8</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55506F">
        <w:trPr>
          <w:trHeight w:val="1125"/>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重点工作</w:t>
            </w:r>
          </w:p>
          <w:p w:rsidR="0055506F" w:rsidRDefault="00FE57F2">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10</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55506F">
        <w:trPr>
          <w:trHeight w:val="709"/>
          <w:jc w:val="center"/>
        </w:trPr>
        <w:tc>
          <w:tcPr>
            <w:tcW w:w="305" w:type="pct"/>
            <w:vMerge w:val="restart"/>
            <w:noWrap/>
            <w:tcMar>
              <w:top w:w="10" w:type="dxa"/>
              <w:left w:w="10" w:type="dxa"/>
              <w:bottom w:w="0" w:type="dxa"/>
              <w:right w:w="10" w:type="dxa"/>
            </w:tcMar>
            <w:textDirection w:val="tbRlV"/>
            <w:vAlign w:val="center"/>
          </w:tcPr>
          <w:p w:rsidR="0055506F" w:rsidRDefault="00FE57F2">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4.8</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55506F">
        <w:trPr>
          <w:trHeight w:val="709"/>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4.8</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55506F" w:rsidRDefault="0055506F">
            <w:pPr>
              <w:spacing w:line="240" w:lineRule="exact"/>
              <w:ind w:leftChars="50" w:left="105" w:rightChars="50" w:right="105"/>
              <w:rPr>
                <w:rFonts w:ascii="宋体" w:cs="宋体"/>
              </w:rPr>
            </w:pPr>
          </w:p>
        </w:tc>
      </w:tr>
      <w:tr w:rsidR="0055506F">
        <w:trPr>
          <w:trHeight w:val="709"/>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4.8</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55506F" w:rsidRDefault="0055506F">
            <w:pPr>
              <w:spacing w:line="240" w:lineRule="exact"/>
              <w:ind w:leftChars="50" w:left="105" w:rightChars="50" w:right="105"/>
              <w:rPr>
                <w:rFonts w:ascii="宋体" w:cs="宋体"/>
              </w:rPr>
            </w:pPr>
          </w:p>
        </w:tc>
      </w:tr>
      <w:tr w:rsidR="0055506F">
        <w:trPr>
          <w:trHeight w:val="1063"/>
          <w:jc w:val="center"/>
        </w:trPr>
        <w:tc>
          <w:tcPr>
            <w:tcW w:w="305" w:type="pct"/>
            <w:vMerge/>
            <w:vAlign w:val="center"/>
          </w:tcPr>
          <w:p w:rsidR="0055506F" w:rsidRDefault="0055506F">
            <w:pPr>
              <w:spacing w:line="240" w:lineRule="exact"/>
              <w:rPr>
                <w:rFonts w:ascii="宋体" w:cs="宋体"/>
              </w:rPr>
            </w:pPr>
          </w:p>
        </w:tc>
        <w:tc>
          <w:tcPr>
            <w:tcW w:w="375" w:type="pct"/>
            <w:vMerge/>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FE57F2">
            <w:pPr>
              <w:spacing w:line="240" w:lineRule="exact"/>
              <w:jc w:val="center"/>
              <w:rPr>
                <w:rFonts w:ascii="宋体" w:cs="宋体"/>
              </w:rPr>
            </w:pPr>
            <w:r>
              <w:rPr>
                <w:rFonts w:ascii="宋体" w:hAnsi="宋体" w:cs="宋体" w:hint="eastAsia"/>
              </w:rPr>
              <w:t>社会公众</w:t>
            </w:r>
          </w:p>
          <w:p w:rsidR="0055506F" w:rsidRDefault="00FE57F2">
            <w:pPr>
              <w:spacing w:line="240" w:lineRule="exact"/>
              <w:jc w:val="center"/>
              <w:rPr>
                <w:rFonts w:ascii="宋体" w:cs="宋体"/>
              </w:rPr>
            </w:pPr>
            <w:r>
              <w:rPr>
                <w:rFonts w:ascii="宋体" w:hAnsi="宋体" w:cs="宋体" w:hint="eastAsia"/>
              </w:rPr>
              <w:t>或服务对</w:t>
            </w:r>
          </w:p>
          <w:p w:rsidR="0055506F" w:rsidRDefault="00FE57F2">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5</w:t>
            </w:r>
          </w:p>
        </w:tc>
        <w:tc>
          <w:tcPr>
            <w:tcW w:w="1577" w:type="pct"/>
            <w:tcMar>
              <w:top w:w="10" w:type="dxa"/>
              <w:left w:w="10" w:type="dxa"/>
              <w:bottom w:w="0" w:type="dxa"/>
              <w:right w:w="10" w:type="dxa"/>
            </w:tcMar>
            <w:vAlign w:val="center"/>
          </w:tcPr>
          <w:p w:rsidR="0055506F" w:rsidRDefault="00FE57F2" w:rsidP="0055506F">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55506F" w:rsidRDefault="00FE57F2">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55506F">
        <w:trPr>
          <w:trHeight w:val="692"/>
          <w:jc w:val="center"/>
        </w:trPr>
        <w:tc>
          <w:tcPr>
            <w:tcW w:w="305" w:type="pct"/>
            <w:vAlign w:val="center"/>
          </w:tcPr>
          <w:p w:rsidR="0055506F" w:rsidRDefault="00FE57F2">
            <w:pPr>
              <w:spacing w:line="240" w:lineRule="exact"/>
              <w:rPr>
                <w:rFonts w:ascii="宋体" w:cs="宋体"/>
              </w:rPr>
            </w:pPr>
            <w:r>
              <w:rPr>
                <w:rFonts w:ascii="宋体" w:hAnsi="宋体" w:cs="宋体" w:hint="eastAsia"/>
              </w:rPr>
              <w:t>总分</w:t>
            </w:r>
          </w:p>
        </w:tc>
        <w:tc>
          <w:tcPr>
            <w:tcW w:w="375" w:type="pct"/>
            <w:vAlign w:val="center"/>
          </w:tcPr>
          <w:p w:rsidR="0055506F" w:rsidRDefault="0055506F">
            <w:pPr>
              <w:spacing w:line="240" w:lineRule="exact"/>
              <w:rPr>
                <w:rFonts w:ascii="宋体" w:cs="宋体"/>
              </w:rPr>
            </w:pPr>
          </w:p>
        </w:tc>
        <w:tc>
          <w:tcPr>
            <w:tcW w:w="499" w:type="pct"/>
            <w:tcMar>
              <w:top w:w="10" w:type="dxa"/>
              <w:left w:w="10" w:type="dxa"/>
              <w:bottom w:w="0" w:type="dxa"/>
              <w:right w:w="10" w:type="dxa"/>
            </w:tcMar>
            <w:vAlign w:val="center"/>
          </w:tcPr>
          <w:p w:rsidR="0055506F" w:rsidRDefault="0055506F">
            <w:pPr>
              <w:spacing w:line="240" w:lineRule="exact"/>
              <w:jc w:val="center"/>
              <w:rPr>
                <w:rFonts w:ascii="宋体" w:cs="宋体"/>
              </w:rPr>
            </w:pPr>
          </w:p>
        </w:tc>
        <w:tc>
          <w:tcPr>
            <w:tcW w:w="375" w:type="pct"/>
            <w:vAlign w:val="center"/>
          </w:tcPr>
          <w:p w:rsidR="0055506F" w:rsidRDefault="00FE57F2" w:rsidP="0055506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cs="宋体" w:hint="eastAsia"/>
              </w:rPr>
              <w:t>96.7</w:t>
            </w:r>
          </w:p>
        </w:tc>
        <w:tc>
          <w:tcPr>
            <w:tcW w:w="1577" w:type="pct"/>
            <w:tcMar>
              <w:top w:w="10" w:type="dxa"/>
              <w:left w:w="10" w:type="dxa"/>
              <w:bottom w:w="0" w:type="dxa"/>
              <w:right w:w="10" w:type="dxa"/>
            </w:tcMar>
            <w:vAlign w:val="center"/>
          </w:tcPr>
          <w:p w:rsidR="0055506F" w:rsidRDefault="0055506F" w:rsidP="0055506F">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55506F" w:rsidRDefault="0055506F">
            <w:pPr>
              <w:spacing w:line="240" w:lineRule="exact"/>
              <w:ind w:leftChars="50" w:left="105" w:rightChars="50" w:right="105"/>
              <w:rPr>
                <w:rFonts w:ascii="宋体" w:cs="宋体"/>
              </w:rPr>
            </w:pPr>
          </w:p>
        </w:tc>
      </w:tr>
    </w:tbl>
    <w:p w:rsidR="0055506F" w:rsidRDefault="0055506F">
      <w:pPr>
        <w:ind w:firstLineChars="200" w:firstLine="640"/>
        <w:jc w:val="center"/>
        <w:rPr>
          <w:rFonts w:asciiTheme="minorEastAsia" w:hAnsiTheme="minorEastAsia" w:cs="黑体"/>
          <w:color w:val="000000"/>
          <w:kern w:val="0"/>
          <w:sz w:val="32"/>
          <w:szCs w:val="32"/>
        </w:rPr>
        <w:sectPr w:rsidR="0055506F">
          <w:pgSz w:w="11906" w:h="16838"/>
          <w:pgMar w:top="1134" w:right="1531" w:bottom="1134" w:left="1531" w:header="851" w:footer="992" w:gutter="0"/>
          <w:cols w:space="0"/>
          <w:docGrid w:type="linesAndChars" w:linePitch="312"/>
        </w:sectPr>
      </w:pPr>
    </w:p>
    <w:p w:rsidR="0055506F" w:rsidRDefault="0055506F"/>
    <w:sectPr w:rsidR="0055506F" w:rsidSect="0055506F">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ECDDB"/>
    <w:multiLevelType w:val="singleLevel"/>
    <w:tmpl w:val="672ECDDB"/>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55506F"/>
    <w:rsid w:val="0055506F"/>
    <w:rsid w:val="00FE57F2"/>
    <w:rsid w:val="67B73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55506F"/>
    <w:pPr>
      <w:jc w:val="left"/>
    </w:pPr>
  </w:style>
  <w:style w:type="character" w:styleId="a4">
    <w:name w:val="annotation reference"/>
    <w:basedOn w:val="a0"/>
    <w:rsid w:val="0055506F"/>
    <w:rPr>
      <w:sz w:val="21"/>
      <w:szCs w:val="21"/>
    </w:rPr>
  </w:style>
  <w:style w:type="paragraph" w:styleId="a5">
    <w:name w:val="Balloon Text"/>
    <w:basedOn w:val="a"/>
    <w:link w:val="Char"/>
    <w:rsid w:val="00FE57F2"/>
    <w:rPr>
      <w:sz w:val="18"/>
      <w:szCs w:val="18"/>
    </w:rPr>
  </w:style>
  <w:style w:type="character" w:customStyle="1" w:styleId="Char">
    <w:name w:val="批注框文本 Char"/>
    <w:basedOn w:val="a0"/>
    <w:link w:val="a5"/>
    <w:rsid w:val="00FE57F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6436</Words>
  <Characters>677</Characters>
  <Application>Microsoft Office Word</Application>
  <DocSecurity>0</DocSecurity>
  <Lines>5</Lines>
  <Paragraphs>14</Paragraphs>
  <ScaleCrop>false</ScaleCrop>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2023-06-27T04:27:00Z</dcterms:created>
  <dcterms:modified xsi:type="dcterms:W3CDTF">2023-10-05T06:51:00Z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75D9C303B1604DE4B214DEB30025BE57_12</vt:lpwstr>
  </property>
</Properties>
</file>