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56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rPr>
        <w:t>益阳市赫山区文化</w:t>
      </w:r>
      <w:r>
        <w:rPr>
          <w:rFonts w:hint="eastAsia" w:ascii="黑体" w:hAnsi="黑体" w:eastAsia="黑体" w:cs="黑体"/>
          <w:sz w:val="36"/>
          <w:szCs w:val="36"/>
          <w:lang w:eastAsia="zh-CN"/>
        </w:rPr>
        <w:t>旅游广电体育</w:t>
      </w:r>
      <w:r>
        <w:rPr>
          <w:rFonts w:hint="eastAsia" w:ascii="黑体" w:hAnsi="黑体" w:eastAsia="黑体" w:cs="黑体"/>
          <w:sz w:val="36"/>
          <w:szCs w:val="36"/>
        </w:rPr>
        <w:t>局2021年</w:t>
      </w:r>
      <w:r>
        <w:rPr>
          <w:rFonts w:hint="eastAsia" w:ascii="黑体" w:hAnsi="黑体" w:eastAsia="黑体" w:cs="黑体"/>
          <w:sz w:val="36"/>
          <w:szCs w:val="36"/>
          <w:lang w:val="en-US" w:eastAsia="zh-CN"/>
        </w:rPr>
        <w:t>度</w:t>
      </w:r>
    </w:p>
    <w:p>
      <w:pPr>
        <w:pStyle w:val="6"/>
        <w:spacing w:line="560" w:lineRule="exact"/>
        <w:jc w:val="center"/>
      </w:pPr>
      <w:r>
        <w:rPr>
          <w:rFonts w:hint="eastAsia" w:ascii="黑体" w:hAnsi="黑体" w:eastAsia="黑体" w:cs="黑体"/>
          <w:sz w:val="36"/>
          <w:szCs w:val="36"/>
        </w:rPr>
        <w:t>部门整体支出绩效评价报告</w:t>
      </w:r>
    </w:p>
    <w:p>
      <w:pPr>
        <w:pStyle w:val="6"/>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根据《益阳市赫山区财政局关于做好2021年度预算绩效自评工作的通知》（益赫财绩〔2022〕1号）文件精神，我单位从预算配置、预算执行、预算管理、职责履行、履职效益等五方面入手，对照《部门整体支出绩效评价指标表》，认真负责、客观公正地开展2021年度部门整体支出绩效自评工作，自评综合得分93分，现将相关情况报告如下：</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一、单位基本情况</w:t>
      </w:r>
    </w:p>
    <w:p>
      <w:pPr>
        <w:spacing w:line="600" w:lineRule="exact"/>
        <w:ind w:firstLine="602" w:firstLineChars="200"/>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（一）部门职能职责</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宣传和贯彻执行党和国家有关文化、文物、旅游、广播电视、体育工作的法律法规和方针政策，制定或起草有关规范性文件。</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统筹规划全区文化、文物、旅游、广播电视、体育事业和产业发展，组织实施发展规划，推进相关产业融合发展，推进相关领域体制机制改革。</w:t>
      </w:r>
    </w:p>
    <w:p>
      <w:pPr>
        <w:spacing w:line="600" w:lineRule="exact"/>
        <w:ind w:firstLine="600" w:firstLineChars="200"/>
        <w:rPr>
          <w:rFonts w:hint="eastAsia" w:ascii="仿宋" w:hAnsi="仿宋" w:eastAsia="仿宋" w:cs="仿宋"/>
          <w:color w:val="FF0000"/>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管理全区文化、旅游、广播电视、体育活动，统筹、协调、指导全区重点文化、旅游、广播电视和体育设施建设，组织实施相关市场开发战略，指导推进全域旅游</w:t>
      </w:r>
      <w:r>
        <w:rPr>
          <w:rFonts w:hint="eastAsia" w:ascii="仿宋" w:hAnsi="仿宋" w:eastAsia="仿宋" w:cs="仿宋"/>
          <w:color w:val="000000"/>
          <w:sz w:val="30"/>
          <w:szCs w:val="30"/>
        </w:rPr>
        <w:t>。</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指导全区文化、文物、旅游、广播电视、体育市场发展，负责对相关市场经营活动进行行业监管，推进相关行业信用体系建设，依法规范相关市场。</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负责全区公共文化事业发展，推进全区文化、旅游、广播电视、体育公共服务体系建设，深入实施文化惠民工程，统筹推进基本公共文化服务标准化、均等化。</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6.</w:t>
      </w:r>
      <w:r>
        <w:rPr>
          <w:rFonts w:hint="eastAsia" w:ascii="仿宋" w:hAnsi="仿宋" w:eastAsia="仿宋" w:cs="仿宋"/>
          <w:sz w:val="30"/>
          <w:szCs w:val="30"/>
        </w:rPr>
        <w:t>统筹规划全区文旅广体产业，组织实施文化、文物、旅游和体育资源普查、挖掘、保护、开发和利用工作。</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指导和推进文化、旅游、广播电视、体育与新媒体新技术新业态创新融合发展，组织开展相关科技活动及成果推广，推进相关行业信息化、标准化建设。</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负责全区文化、文物、旅游、广播电视、体育工作领域的监督管理工作；指导监督全区相关领域的社会团体、组织和民办非企业工作。</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指导、管理全区文艺事业，指导艺术创作生产，扶持体现社会主义核心价值观、且具有导向性、代表性、示范性的文艺作品，推动各门类艺术、各艺术品种发展。</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指导、管理全区文物和博物馆、纪念馆工作；负责文物保护和非物质文化遗产保护与传承；协同有关部门开展历史文化名城(镇、村)保护和监督管理工作。承担国家和省级、市级重点文物保护单位申报和区级文物保护单位的有关工作。</w:t>
      </w:r>
    </w:p>
    <w:p>
      <w:pPr>
        <w:tabs>
          <w:tab w:val="left" w:pos="632"/>
        </w:tabs>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负责对全区广播电视机构进行业务指导和行业监管，会同有关部门对网络视听节目服务机构进行管理。指导、协调全区广播电视重大宣传活动和重要保障期的广播电视安全播出事项。</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12.</w:t>
      </w:r>
      <w:r>
        <w:rPr>
          <w:rFonts w:hint="eastAsia" w:ascii="仿宋" w:hAnsi="仿宋" w:eastAsia="仿宋" w:cs="仿宋"/>
          <w:sz w:val="30"/>
          <w:szCs w:val="30"/>
        </w:rPr>
        <w:t>统筹规划全区群众体育发展。负责推行全民健身计划，指导全区群众性体育活动的开展，监督实施国家体育锻炼标准，推动国民体质监测和社会体育指导工作队伍制度建设。</w:t>
      </w:r>
      <w:r>
        <w:rPr>
          <w:rFonts w:hint="eastAsia" w:ascii="仿宋" w:hAnsi="仿宋" w:eastAsia="仿宋" w:cs="仿宋"/>
          <w:sz w:val="30"/>
          <w:szCs w:val="30"/>
        </w:rPr>
        <w:br w:type="textWrapping"/>
      </w: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13.</w:t>
      </w:r>
      <w:r>
        <w:rPr>
          <w:rFonts w:hint="eastAsia" w:ascii="仿宋" w:hAnsi="仿宋" w:eastAsia="仿宋" w:cs="仿宋"/>
          <w:sz w:val="30"/>
          <w:szCs w:val="30"/>
        </w:rPr>
        <w:t>统筹规划竞技体育发展。研究全区体育竞赛项目的设置和布局，组织管理体育训练、体育竞赛、运动队伍建设，协调运动员社会保障工作。</w:t>
      </w:r>
    </w:p>
    <w:p>
      <w:pPr>
        <w:tabs>
          <w:tab w:val="left" w:pos="632"/>
        </w:tabs>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负责全区文化、文物、旅游、广播电视和体育整体形象的宣传推广工作，指导全区相关领域对外交流、合作。推动赫山文化走出去。</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拟定全区文化、文物、旅游、广播电视、体育行业人才发展规划并组织实施。指导全区相关行业教育培训工作。会同有关部门指导实施相关领域从业人员的职业标准和等级标准。</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依法履行全区文化市场综合行政执法工作。负责对全区文化、文物、旅游、广播电视、体育领域的行政审批、政务服务及对市场的监督管理和行政执法。</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完成区委、区政府交办的其他任务。</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机构设置情况</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区文旅广体局下辖区文化市场综合执法大队、区全民健身服务中心两个副科级事业单位，区青少年活动中心、区图书馆、区文化馆、中共金家堤支部陈列馆管理所四个股级事业单位，区电影发行放映公司和益阳市花鼓演艺有限公司两个区属国有企业。内设有办公室、人事教育股、计划财务股、政策法规股、文艺体育股、广播影视管理股、外事侨务旅游股、产业开发股、文化遗产股9个股室。</w:t>
      </w:r>
    </w:p>
    <w:p>
      <w:pPr>
        <w:keepNext w:val="0"/>
        <w:keepLines w:val="0"/>
        <w:pageBreakBefore w:val="0"/>
        <w:numPr>
          <w:ilvl w:val="0"/>
          <w:numId w:val="0"/>
        </w:numPr>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（三）人员编制情况</w:t>
      </w:r>
    </w:p>
    <w:p>
      <w:pPr>
        <w:keepNext w:val="0"/>
        <w:keepLines w:val="0"/>
        <w:pageBreakBefore w:val="0"/>
        <w:numPr>
          <w:ilvl w:val="0"/>
          <w:numId w:val="0"/>
        </w:numPr>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全系统有干部职工319人，其中在职173人，退休144人。局机关定编10个，共有上岗人员26人，其中班子成员8名。</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firstLine="300" w:firstLineChars="10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二、一般公共预算支出情况</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（一）基本支出情况</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2021年年初基本支出预算数为1978.71万元，是指为保障单位机构正常运转、完成日常工作任务而发生的各项支出，其中工资福利支出971.41万元、商品和服务支出1007.3万元。</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2" w:firstLineChars="200"/>
        <w:jc w:val="both"/>
        <w:textAlignment w:val="auto"/>
        <w:rPr>
          <w:rFonts w:hint="eastAsia" w:ascii="仿宋" w:hAnsi="仿宋" w:eastAsia="仿宋" w:cs="仿宋"/>
          <w:b/>
          <w:sz w:val="30"/>
          <w:szCs w:val="30"/>
        </w:rPr>
      </w:pPr>
      <w:r>
        <w:rPr>
          <w:rFonts w:hint="eastAsia" w:ascii="仿宋" w:hAnsi="仿宋" w:eastAsia="仿宋" w:cs="仿宋"/>
          <w:b/>
          <w:sz w:val="30"/>
          <w:szCs w:val="30"/>
        </w:rPr>
        <w:t>（二）项目支出情况</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2021年项目支出1331.4</w:t>
      </w:r>
      <w:r>
        <w:rPr>
          <w:rFonts w:hint="eastAsia" w:ascii="仿宋" w:hAnsi="仿宋" w:eastAsia="仿宋" w:cs="仿宋"/>
          <w:sz w:val="30"/>
          <w:szCs w:val="30"/>
          <w:lang w:val="en-US" w:eastAsia="zh-CN"/>
        </w:rPr>
        <w:t>5</w:t>
      </w:r>
      <w:r>
        <w:rPr>
          <w:rFonts w:hint="eastAsia" w:ascii="仿宋" w:hAnsi="仿宋" w:eastAsia="仿宋" w:cs="仿宋"/>
          <w:sz w:val="30"/>
          <w:szCs w:val="30"/>
        </w:rPr>
        <w:t>万元，是指单位为完成特定行政工作任务或事业发展目标而发生的支出，主要用于文化和体育支出450.22万元，文物保护支出139.51万元，体育支出182.00万元，文化旅游体育与传媒支出163.06万元，突发公共卫生事件应急处理支出396.6</w:t>
      </w:r>
      <w:r>
        <w:rPr>
          <w:rFonts w:hint="eastAsia" w:ascii="仿宋" w:hAnsi="仿宋" w:eastAsia="仿宋" w:cs="仿宋"/>
          <w:sz w:val="30"/>
          <w:szCs w:val="30"/>
          <w:lang w:val="en-US" w:eastAsia="zh-CN"/>
        </w:rPr>
        <w:t>6</w:t>
      </w:r>
      <w:r>
        <w:rPr>
          <w:rFonts w:hint="eastAsia" w:ascii="仿宋" w:hAnsi="仿宋" w:eastAsia="仿宋" w:cs="仿宋"/>
          <w:sz w:val="30"/>
          <w:szCs w:val="30"/>
        </w:rPr>
        <w:t>万元。</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firstLine="300" w:firstLineChars="10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三、政府性基金预算支出情况</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2021年度区文旅广体局无政府性基金预算支出。</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firstLine="300" w:firstLineChars="10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四、国有资本经营预算支出情况</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2021年度区文旅广体局无国有资本经营预算支出。</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firstLine="300" w:firstLineChars="10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五、社会保险基金预算支出情况</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2021年度区文旅广体局无社会保险基金预算支出。</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firstLine="300" w:firstLineChars="10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六、部门整体支出绩效情况</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2021年在区委、区政府的正确领导和各级有关部门的共同努力下，上下齐心，全面完成了年初绩效工作目标。</w:t>
      </w:r>
    </w:p>
    <w:p>
      <w:pPr>
        <w:pStyle w:val="3"/>
        <w:keepNext w:val="0"/>
        <w:keepLines w:val="0"/>
        <w:pageBreakBefore w:val="0"/>
        <w:widowControl/>
        <w:kinsoku/>
        <w:wordWrap/>
        <w:overflowPunct/>
        <w:topLinePunct w:val="0"/>
        <w:autoSpaceDE/>
        <w:bidi w:val="0"/>
        <w:adjustRightInd/>
        <w:snapToGrid/>
        <w:spacing w:line="600" w:lineRule="exact"/>
        <w:ind w:right="180" w:firstLine="602" w:firstLineChars="200"/>
        <w:textAlignment w:val="auto"/>
        <w:rPr>
          <w:rFonts w:hint="eastAsia" w:ascii="仿宋" w:hAnsi="仿宋" w:eastAsia="仿宋" w:cs="仿宋"/>
          <w:b/>
          <w:color w:val="212121"/>
          <w:sz w:val="30"/>
          <w:szCs w:val="30"/>
        </w:rPr>
      </w:pPr>
      <w:r>
        <w:rPr>
          <w:rFonts w:hint="eastAsia" w:ascii="仿宋" w:hAnsi="仿宋" w:eastAsia="仿宋" w:cs="仿宋"/>
          <w:b/>
          <w:color w:val="212121"/>
          <w:sz w:val="30"/>
          <w:szCs w:val="30"/>
        </w:rPr>
        <w:t xml:space="preserve"> (一）整体支出绩效目标</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212121"/>
          <w:sz w:val="30"/>
          <w:szCs w:val="30"/>
        </w:rPr>
        <w:t>1.绩效考核的个性指标：</w:t>
      </w:r>
      <w:r>
        <w:rPr>
          <w:rFonts w:hint="eastAsia" w:ascii="仿宋" w:hAnsi="仿宋" w:eastAsia="仿宋" w:cs="仿宋"/>
          <w:sz w:val="30"/>
          <w:szCs w:val="30"/>
        </w:rPr>
        <w:t>完善公共文化服务体系建设，推进文化惠民工程；抓好重大文化项目设计、策划和建设；以欢乐潇湘·文化惠民为主线，组织重大文化活；加强文艺创作，推出一批有份量有影响的精品力作；强化服务和监管，繁荣文化市场，壮大文化产业。</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color w:val="212121"/>
          <w:sz w:val="30"/>
          <w:szCs w:val="30"/>
        </w:rPr>
      </w:pPr>
      <w:r>
        <w:rPr>
          <w:rFonts w:hint="eastAsia" w:ascii="仿宋" w:hAnsi="仿宋" w:eastAsia="仿宋" w:cs="仿宋"/>
          <w:color w:val="212121"/>
          <w:sz w:val="30"/>
          <w:szCs w:val="30"/>
        </w:rPr>
        <w:t>2.预决算公开：根据区财政局的统一部署及相关要求，我局在赫山信息网站上进行了预（决）算公开。</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color w:val="212121"/>
          <w:sz w:val="30"/>
          <w:szCs w:val="30"/>
        </w:rPr>
      </w:pPr>
      <w:r>
        <w:rPr>
          <w:rFonts w:hint="eastAsia" w:ascii="仿宋" w:hAnsi="仿宋" w:eastAsia="仿宋" w:cs="仿宋"/>
          <w:color w:val="212121"/>
          <w:sz w:val="30"/>
          <w:szCs w:val="30"/>
        </w:rPr>
        <w:t>3.存量资金管理：我局实行国库集中支付管理。</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sz w:val="30"/>
          <w:szCs w:val="30"/>
        </w:rPr>
      </w:pPr>
      <w:r>
        <w:rPr>
          <w:rFonts w:hint="eastAsia" w:ascii="仿宋" w:hAnsi="仿宋" w:eastAsia="仿宋" w:cs="仿宋"/>
          <w:color w:val="212121"/>
          <w:sz w:val="30"/>
          <w:szCs w:val="30"/>
        </w:rPr>
        <w:t>4.资产管理：为进一步加强资产的管理，我局制定了财务管理制度，</w:t>
      </w:r>
      <w:r>
        <w:rPr>
          <w:rFonts w:hint="eastAsia" w:ascii="仿宋" w:hAnsi="仿宋" w:eastAsia="仿宋" w:cs="仿宋"/>
          <w:sz w:val="30"/>
          <w:szCs w:val="30"/>
        </w:rPr>
        <w:t>班子成员带头遵守财务制度和财经纪律，从不乱开支一分钱,</w:t>
      </w:r>
      <w:r>
        <w:rPr>
          <w:rFonts w:hint="eastAsia" w:ascii="仿宋" w:hAnsi="仿宋" w:eastAsia="仿宋" w:cs="仿宋"/>
          <w:color w:val="212121"/>
          <w:sz w:val="30"/>
          <w:szCs w:val="30"/>
        </w:rPr>
        <w:t>明确了具体责任人，完善了固定资产档案，严格报批、销审等手续，做好资产统计工作，单位无任何资产流失现象。</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color w:val="212121"/>
          <w:sz w:val="30"/>
          <w:szCs w:val="30"/>
        </w:rPr>
      </w:pPr>
      <w:r>
        <w:rPr>
          <w:rFonts w:hint="eastAsia" w:ascii="仿宋" w:hAnsi="仿宋" w:eastAsia="仿宋" w:cs="仿宋"/>
          <w:color w:val="212121"/>
          <w:sz w:val="30"/>
          <w:szCs w:val="30"/>
        </w:rPr>
        <w:t>5.“三公经费”控制情况：贯彻落实上级有关精神， “三公经费”支出合法、合规，没有超预算、超规模、超范围和相好标准现象，也没有挤占、摊派和转移“三公”经费支出的行为。2019年度在接待工作中节约开支从严把关，同比上年经费降低。</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sz w:val="30"/>
          <w:szCs w:val="30"/>
        </w:rPr>
      </w:pPr>
      <w:r>
        <w:rPr>
          <w:rFonts w:hint="eastAsia" w:ascii="仿宋" w:hAnsi="仿宋" w:eastAsia="仿宋" w:cs="仿宋"/>
          <w:color w:val="212121"/>
          <w:sz w:val="30"/>
          <w:szCs w:val="30"/>
        </w:rPr>
        <w:t>6.内部控制制度建立：为加强资金管理，我局建立了预算管理控制制度，严格遵循“先有预算后有支出”的原则，严格在批复的预算额度和范围内开支；建立了收支管理内部控制制度，综合运用预算额度、授权审批、定额标准、程序管理、单据控制等手段，保证各项经济活动支出依法依规开展。</w:t>
      </w:r>
    </w:p>
    <w:p>
      <w:pPr>
        <w:pStyle w:val="3"/>
        <w:keepNext w:val="0"/>
        <w:keepLines w:val="0"/>
        <w:pageBreakBefore w:val="0"/>
        <w:widowControl/>
        <w:kinsoku/>
        <w:wordWrap/>
        <w:overflowPunct/>
        <w:topLinePunct w:val="0"/>
        <w:autoSpaceDE/>
        <w:bidi w:val="0"/>
        <w:adjustRightInd/>
        <w:snapToGrid/>
        <w:spacing w:line="600" w:lineRule="exact"/>
        <w:ind w:right="180" w:firstLine="602" w:firstLineChars="200"/>
        <w:textAlignment w:val="auto"/>
        <w:rPr>
          <w:rFonts w:hint="eastAsia" w:ascii="仿宋" w:hAnsi="仿宋" w:eastAsia="仿宋" w:cs="仿宋"/>
          <w:b/>
          <w:sz w:val="30"/>
          <w:szCs w:val="30"/>
        </w:rPr>
      </w:pPr>
      <w:r>
        <w:rPr>
          <w:rFonts w:hint="eastAsia" w:ascii="仿宋" w:hAnsi="仿宋" w:eastAsia="仿宋" w:cs="仿宋"/>
          <w:b/>
          <w:color w:val="212121"/>
          <w:sz w:val="30"/>
          <w:szCs w:val="30"/>
        </w:rPr>
        <w:t>（二）部门整体支出情况分析</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sz w:val="30"/>
          <w:szCs w:val="30"/>
        </w:rPr>
      </w:pPr>
      <w:r>
        <w:rPr>
          <w:rFonts w:hint="eastAsia" w:ascii="仿宋" w:hAnsi="仿宋" w:eastAsia="仿宋" w:cs="仿宋"/>
          <w:color w:val="212121"/>
          <w:sz w:val="30"/>
          <w:szCs w:val="30"/>
        </w:rPr>
        <w:t>从整体情况来看，我局严格按照年初预算进行部门整体支出。在支出过程中，能严格遵守各项财务制度，“三公经费”明显下降。所有项目都详细制定了方案，严格按方案组织实施，并加强了监督。尤其是在专项经费支出上，</w:t>
      </w:r>
      <w:r>
        <w:rPr>
          <w:rFonts w:hint="eastAsia" w:ascii="仿宋" w:hAnsi="仿宋" w:eastAsia="仿宋" w:cs="仿宋"/>
          <w:sz w:val="30"/>
          <w:szCs w:val="30"/>
        </w:rPr>
        <w:t>严格按照规章制度，</w:t>
      </w:r>
      <w:r>
        <w:rPr>
          <w:rFonts w:hint="eastAsia" w:ascii="仿宋" w:hAnsi="仿宋" w:eastAsia="仿宋" w:cs="仿宋"/>
          <w:color w:val="212121"/>
          <w:sz w:val="30"/>
          <w:szCs w:val="30"/>
        </w:rPr>
        <w:t>按项目实施计划的进度情况</w:t>
      </w:r>
      <w:r>
        <w:rPr>
          <w:rFonts w:hint="eastAsia" w:ascii="仿宋" w:hAnsi="仿宋" w:eastAsia="仿宋" w:cs="仿宋"/>
          <w:sz w:val="30"/>
          <w:szCs w:val="30"/>
        </w:rPr>
        <w:t>平衡拨付项目资金，不截留，不挪用，勤俭节约，不乱开支。</w:t>
      </w:r>
    </w:p>
    <w:p>
      <w:pPr>
        <w:pStyle w:val="3"/>
        <w:keepNext w:val="0"/>
        <w:keepLines w:val="0"/>
        <w:pageBreakBefore w:val="0"/>
        <w:widowControl/>
        <w:kinsoku/>
        <w:wordWrap/>
        <w:overflowPunct/>
        <w:topLinePunct w:val="0"/>
        <w:autoSpaceDE/>
        <w:bidi w:val="0"/>
        <w:adjustRightInd/>
        <w:snapToGrid/>
        <w:spacing w:line="600" w:lineRule="exact"/>
        <w:ind w:right="180"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（三）</w:t>
      </w:r>
      <w:r>
        <w:rPr>
          <w:rFonts w:hint="eastAsia" w:ascii="仿宋" w:hAnsi="仿宋" w:eastAsia="仿宋" w:cs="仿宋"/>
          <w:b/>
          <w:color w:val="212121"/>
          <w:sz w:val="30"/>
          <w:szCs w:val="30"/>
        </w:rPr>
        <w:t>主要绩效及评价结论</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1.文化事业和文化产业蒸蒸日上</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kern w:val="0"/>
          <w:sz w:val="30"/>
          <w:szCs w:val="30"/>
        </w:rPr>
        <w:t>（1）文化惠民工程稳步实施。</w:t>
      </w:r>
      <w:r>
        <w:rPr>
          <w:rFonts w:hint="eastAsia" w:ascii="仿宋" w:hAnsi="仿宋" w:eastAsia="仿宋" w:cs="仿宋"/>
          <w:kern w:val="0"/>
          <w:sz w:val="30"/>
          <w:szCs w:val="30"/>
        </w:rPr>
        <w:t>落实</w:t>
      </w:r>
      <w:r>
        <w:rPr>
          <w:rFonts w:hint="eastAsia" w:ascii="仿宋" w:hAnsi="仿宋" w:eastAsia="仿宋" w:cs="仿宋"/>
          <w:sz w:val="30"/>
          <w:szCs w:val="30"/>
        </w:rPr>
        <w:t>《中华人民共和国公共文化服务保障法》《湖南省现代公共文化服务体系建设三年行动计划》，推进全区现代公共文化服务体系建设。新增公共文化设施91280平方米，人均拥有公共文化设施增至1.87平方米，较2021年增长约5.1%。区图书馆进馆32.7万人次；区文化馆进馆42.8万人次；16个乡镇、街道综合文化服务站进馆合计45万人次；每周免费开放时间不少于45小时。新建文化馆八字哨镇分馆，图书馆风华分馆、罗溪社区分馆。区图书馆推广阅读活动、疫情防控知识讲座、剪纸艺术培训48场次；雷锋精神教育基地接待14.5万人次。全年完成“送戏下乡”“戏曲进乡村”142场次，“送电影下乡”2171场次。和平·签证主题馆、袁铸仁烈士文化广场、周谷城故居、烂泥湖治理工程纪念碑、曾三同志档案陈列馆被纳入第五批益阳市爱国主义教育基地。兰溪镇被评为“湖南民间文化艺术之乡”。泉交河镇新松树桥村被评为“最美潇湘文化阵地”。</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（2）群众文化活动丰富多彩。</w:t>
      </w:r>
      <w:r>
        <w:rPr>
          <w:rFonts w:hint="eastAsia" w:ascii="仿宋" w:hAnsi="仿宋" w:eastAsia="仿宋" w:cs="仿宋"/>
          <w:sz w:val="30"/>
          <w:szCs w:val="30"/>
        </w:rPr>
        <w:t>成功举办赫山区“百年辉煌·丹心向党”群众文艺汇演、“旗帜颂”大型歌咏比赛、“庆百年风华 抒时代新声”诗文朗诵比赛、赫山区美术书法摄影作品展、“欢乐潇湘 多彩赫山”广场舞大赛、重走“青年毛泽东游学社会调查之路”等庆祝建党100周年系列群众文体活动。</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shd w:val="clear" w:color="auto" w:fill="FFFFFF"/>
        </w:rPr>
        <w:t>（3）文艺精品创作成绩喜人。</w:t>
      </w:r>
      <w:r>
        <w:rPr>
          <w:rFonts w:hint="eastAsia" w:ascii="仿宋" w:hAnsi="仿宋" w:eastAsia="仿宋" w:cs="仿宋"/>
          <w:sz w:val="30"/>
          <w:szCs w:val="30"/>
        </w:rPr>
        <w:t>创作了《潮起金家堤》《竹村新官》《在异乡》《花鼓防疫》《百姓安康》《益阳人民一条心》等文艺作品。《花鼓防疫》荣获湖南省第六届网络原创视听节目大赛三等奖；《在异乡》参加了湖南省农民工文艺晚会并获得好评；《竹村新官》在省、市“百团百角唱百年”文艺院团竞演选拔赛中，获得省级优秀节目奖、市级团体组一等奖；《徐九经升官记》荣获第七届湖南艺术节决赛“优秀复排展演剧目”称号。</w:t>
      </w:r>
    </w:p>
    <w:p>
      <w:pPr>
        <w:keepNext w:val="0"/>
        <w:keepLines w:val="0"/>
        <w:pageBreakBefore w:val="0"/>
        <w:kinsoku/>
        <w:wordWrap/>
        <w:overflowPunct/>
        <w:topLinePunct w:val="0"/>
        <w:autoSpaceDE/>
        <w:autoSpaceDN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kern w:val="0"/>
          <w:sz w:val="30"/>
          <w:szCs w:val="30"/>
        </w:rPr>
        <w:t>（4）文物和文化遗产保护卓有成效。一是文物保护方面。</w:t>
      </w:r>
      <w:r>
        <w:rPr>
          <w:rFonts w:hint="eastAsia" w:ascii="仿宋" w:hAnsi="仿宋" w:eastAsia="仿宋" w:cs="仿宋"/>
          <w:kern w:val="0"/>
          <w:sz w:val="30"/>
          <w:szCs w:val="30"/>
        </w:rPr>
        <w:t>新增了周扬故居、周谷城故居、曾三故居、叶紫故居、袁铸仁烈士墓五处省级文物保护单位。编制了《曾士峨故居遗址文物保护工程勘探设计方案》《袁铸仁烈士墓文物保护工程勘探设计方案》《赫山区枫林桥历史景观修复展示工程设计方案》和《羊舞岭古窑址保护规划》。完成了叶紫故居本体提质和展示利用工程、中共金家堤支部纪念园项目和胡林翼生平事迹陈列馆展陈项目。编制了《赫山区乡镇（街道）文物保护单位安全责任人清单》，设立了文物安全责任人公告牌。更新了全区264处一般不可移动文物信息，55个文物保护单位安全责任人信息。</w:t>
      </w:r>
      <w:r>
        <w:rPr>
          <w:rFonts w:hint="eastAsia" w:ascii="仿宋" w:hAnsi="仿宋" w:eastAsia="仿宋" w:cs="仿宋"/>
          <w:b/>
          <w:kern w:val="0"/>
          <w:sz w:val="30"/>
          <w:szCs w:val="30"/>
        </w:rPr>
        <w:t>二是非物质文化遗产保护方面。</w:t>
      </w:r>
      <w:r>
        <w:rPr>
          <w:rFonts w:hint="eastAsia" w:ascii="仿宋" w:hAnsi="仿宋" w:eastAsia="仿宋" w:cs="仿宋"/>
          <w:sz w:val="30"/>
          <w:szCs w:val="30"/>
        </w:rPr>
        <w:t>完成了第八批市级非物质文化遗产代表性项目及第六批市级代表性传承人申报，有10个项目被纳入市级非遗代表性名录，新增市级非遗代表性传承人5人。进行了赫山区第五批区级非遗代表性项目及第二批区级代表性传承人评审，12个代表性项目及14名代表性传承人纳入了区级名录。</w:t>
      </w:r>
    </w:p>
    <w:p>
      <w:pPr>
        <w:keepNext w:val="0"/>
        <w:keepLines w:val="0"/>
        <w:pageBreakBefore w:val="0"/>
        <w:kinsoku/>
        <w:wordWrap/>
        <w:overflowPunct/>
        <w:topLinePunct w:val="0"/>
        <w:autoSpaceDE/>
        <w:autoSpaceDN w:val="0"/>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kern w:val="0"/>
          <w:sz w:val="30"/>
          <w:szCs w:val="30"/>
        </w:rPr>
        <w:t>（5）广电安全播出监管到位。</w:t>
      </w:r>
      <w:r>
        <w:rPr>
          <w:rFonts w:hint="eastAsia" w:ascii="仿宋" w:hAnsi="仿宋" w:eastAsia="仿宋" w:cs="仿宋"/>
          <w:sz w:val="30"/>
          <w:szCs w:val="30"/>
        </w:rPr>
        <w:t xml:space="preserve">对全区广播喇叭进行了全面维修，助推“村村响”为群众生产生活提供更加优质的服务。加强对车载、楼宇和户外电子屏等公共视听载体播放视听节目的管理。及时播出防火、防溺水、新冠肺炎疫苗接种、安全生产、禁毒、党建等相关知识。加大对山洪地质灾害预警系统的维护与监管，87个重点村的预警系统全年运行稳定。     </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kern w:val="0"/>
          <w:sz w:val="30"/>
          <w:szCs w:val="30"/>
        </w:rPr>
        <w:t>（6）文体市场监管规范有序。</w:t>
      </w:r>
      <w:r>
        <w:rPr>
          <w:rFonts w:hint="eastAsia" w:ascii="仿宋" w:hAnsi="仿宋" w:eastAsia="仿宋" w:cs="仿宋"/>
          <w:sz w:val="30"/>
          <w:szCs w:val="30"/>
        </w:rPr>
        <w:t>全年办理35件行政审批事项，实现零差错、零失误、零投诉。继续做好“互联网+政务服务”平台的事项梳理工作，全年梳理本级事项172次。联合消防、公安、城管、卫健等部门对全区娱乐场所开展联合执法检查，依法查处无证无照、噪音扰民、消防安全等违法行为，从根本上消除事故隐患，确保了全区娱乐场所健康、安全、有序发展。   </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2.全域旅游发展</w:t>
      </w:r>
      <w:r>
        <w:rPr>
          <w:rFonts w:hint="eastAsia" w:ascii="仿宋" w:hAnsi="仿宋" w:eastAsia="仿宋" w:cs="仿宋"/>
          <w:b/>
          <w:kern w:val="0"/>
          <w:sz w:val="30"/>
          <w:szCs w:val="30"/>
        </w:rPr>
        <w:t>态势良好</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（1）旅游品牌影响扩大。</w:t>
      </w:r>
      <w:r>
        <w:rPr>
          <w:rFonts w:hint="eastAsia" w:ascii="仿宋" w:hAnsi="仿宋" w:eastAsia="仿宋" w:cs="仿宋"/>
          <w:sz w:val="30"/>
          <w:szCs w:val="30"/>
        </w:rPr>
        <w:t>全区共接待游客884.92万人次，实现旅游综合收入89.52亿元(含益阳高新区)。全年新增了一批品牌形象优、核心吸引力强的旅游目的地。一碑五馆成功创评国家AAA级旅游景区；益阳现代农业示范园创评湖南省研学旅游基地；菱角岔村成功创评湖南省乡村旅游重点村；征军园林、湘湖家庭农场成功创建四星级乡村旅游点。</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（2）宣传推介成效显著。</w:t>
      </w:r>
      <w:r>
        <w:rPr>
          <w:rFonts w:hint="eastAsia" w:ascii="仿宋" w:hAnsi="仿宋" w:eastAsia="仿宋" w:cs="仿宋"/>
          <w:sz w:val="30"/>
          <w:szCs w:val="30"/>
        </w:rPr>
        <w:t>益阳明油纸伞、冠隆誉黑茶等文旅企业参加了2021年湖南(国际)文化旅游产业博览会，扩大了在省内外影响。“青松玉翠牌”松花皮蛋荣获2021年中国特色旅游商品大赛金奖，西湖砂王咸蛋荣获2021年湖南省旅游商品大赛铜奖，《潮起金家堤》入选国家文旅部组织编辑的乡村党史故事目录。曹正新被国家文旅部认定为“2021年度乡村文化和旅游能人”；佘香回、吴桂芳、张凤分别获得了“2021年湖南省导游大赛”铜牌奖和优秀导游奖好成绩。</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（3）区域合作深入推进。</w:t>
      </w:r>
      <w:r>
        <w:rPr>
          <w:rFonts w:hint="eastAsia" w:ascii="仿宋" w:hAnsi="仿宋" w:eastAsia="仿宋" w:cs="仿宋"/>
          <w:sz w:val="30"/>
          <w:szCs w:val="30"/>
        </w:rPr>
        <w:t>加强了与宁乡、望城、湘阴、桃江、资阳等周边区县联系，拓展红色文化感悟游、新河画廊滨水游、人文古韵体验游、志溪河怀旧慢游、重走青年毛泽东游学社会调查之路五条精品旅游线路，引导旅行社、酒店、景区景点加强与长株潭等地合作，实现信息共享、资源互补、人流相通。</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3.大众体育蓬勃发展</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（1）全民健身大力推进。</w:t>
      </w:r>
      <w:r>
        <w:rPr>
          <w:rFonts w:hint="eastAsia" w:ascii="仿宋" w:hAnsi="仿宋" w:eastAsia="仿宋" w:cs="仿宋"/>
          <w:sz w:val="30"/>
          <w:szCs w:val="30"/>
        </w:rPr>
        <w:t>全区崇尚健身、参与健身的氛围进一步形成。成功举办第二十届大众运动会，来自全区各行各业的干部群众2000多人分别参加了篮球、羽毛球、气排球、乒乓球、登山和棋牌等分项比赛活动。继续支持相关体育协会、社会体育组织开展健身竞赛活动。举办了为期4天的工间操、排舞三级社会体育指导员培训，116名学员通过了考核。</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（2）基础设施</w:t>
      </w:r>
      <w:r>
        <w:rPr>
          <w:rFonts w:hint="eastAsia" w:ascii="仿宋" w:hAnsi="仿宋" w:eastAsia="仿宋" w:cs="仿宋"/>
          <w:b/>
          <w:sz w:val="30"/>
          <w:szCs w:val="30"/>
          <w:shd w:val="clear" w:color="auto" w:fill="FFFFFF"/>
        </w:rPr>
        <w:t>日臻完善</w:t>
      </w:r>
      <w:r>
        <w:rPr>
          <w:rFonts w:hint="eastAsia" w:ascii="仿宋" w:hAnsi="仿宋" w:eastAsia="仿宋" w:cs="仿宋"/>
          <w:b/>
          <w:sz w:val="30"/>
          <w:szCs w:val="30"/>
        </w:rPr>
        <w:t>。</w:t>
      </w:r>
      <w:r>
        <w:rPr>
          <w:rFonts w:hint="eastAsia" w:ascii="仿宋" w:hAnsi="仿宋" w:eastAsia="仿宋" w:cs="仿宋"/>
          <w:sz w:val="30"/>
          <w:szCs w:val="30"/>
        </w:rPr>
        <w:t>全区新增各类体育场地9.9万平方米，新配置健身路径器材15套。提质改造了全民健身中心。岳家桥镇、衡龙桥镇、沧水铺镇、兰溪镇等地的乡村“美丽屋场”新建或改善了健身步道，成为了村民群众休闲健身的好去处。</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（3）竞技体育成绩突出。</w:t>
      </w:r>
      <w:r>
        <w:rPr>
          <w:rFonts w:hint="eastAsia" w:ascii="仿宋" w:hAnsi="仿宋" w:eastAsia="仿宋" w:cs="仿宋"/>
          <w:sz w:val="30"/>
          <w:szCs w:val="30"/>
        </w:rPr>
        <w:t>组队参加了“2021年湖南省青少年体育锦标赛”的女子篮球、男子足球和拳击等比赛项目。青少年拳击锦标赛取得了三个级别的第一名。</w:t>
      </w:r>
    </w:p>
    <w:p>
      <w:pPr>
        <w:keepNext w:val="0"/>
        <w:keepLines w:val="0"/>
        <w:pageBreakBefore w:val="0"/>
        <w:kinsoku/>
        <w:wordWrap/>
        <w:overflowPunct/>
        <w:topLinePunct w:val="0"/>
        <w:autoSpaceDE/>
        <w:bidi w:val="0"/>
        <w:adjustRightInd/>
        <w:snapToGrid/>
        <w:spacing w:line="6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4.中心工作稳步推进</w:t>
      </w:r>
    </w:p>
    <w:p>
      <w:pPr>
        <w:keepNext w:val="0"/>
        <w:keepLines w:val="0"/>
        <w:pageBreakBefore w:val="0"/>
        <w:kinsoku/>
        <w:wordWrap/>
        <w:overflowPunct/>
        <w:topLinePunct w:val="0"/>
        <w:autoSpaceDE/>
        <w:bidi w:val="0"/>
        <w:adjustRightInd/>
        <w:snapToGrid/>
        <w:spacing w:line="600" w:lineRule="exact"/>
        <w:ind w:firstLine="600" w:firstLineChars="200"/>
        <w:jc w:val="left"/>
        <w:textAlignment w:val="auto"/>
        <w:rPr>
          <w:rFonts w:hint="eastAsia" w:ascii="仿宋" w:hAnsi="仿宋" w:eastAsia="仿宋" w:cs="仿宋"/>
          <w:spacing w:val="-8"/>
          <w:sz w:val="30"/>
          <w:szCs w:val="30"/>
        </w:rPr>
      </w:pPr>
      <w:r>
        <w:rPr>
          <w:rFonts w:hint="eastAsia" w:ascii="仿宋" w:hAnsi="仿宋" w:eastAsia="仿宋" w:cs="仿宋"/>
          <w:sz w:val="30"/>
          <w:szCs w:val="30"/>
        </w:rPr>
        <w:t>将党建工作作为引领性、基础性、全局性工作抓实抓细，推动了各项事业发展，开展了“纠四风·治陋习”腐败专项整治行动，大力开展了乡村振兴、创文固卫、法制法治、综治、禁毒、扫黑除恶、安全生产等中心工作，在全系统营造了干事创业，创先争优的良好局面。</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七、存在的问题</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color w:val="212121"/>
          <w:sz w:val="30"/>
          <w:szCs w:val="30"/>
        </w:rPr>
      </w:pPr>
      <w:r>
        <w:rPr>
          <w:rFonts w:hint="eastAsia" w:ascii="仿宋" w:hAnsi="仿宋" w:eastAsia="仿宋" w:cs="仿宋"/>
          <w:color w:val="212121"/>
          <w:sz w:val="30"/>
          <w:szCs w:val="30"/>
        </w:rPr>
        <w:t>1.专项资金的管理有待进一步规范。</w:t>
      </w:r>
    </w:p>
    <w:p>
      <w:pPr>
        <w:pStyle w:val="3"/>
        <w:keepNext w:val="0"/>
        <w:keepLines w:val="0"/>
        <w:pageBreakBefore w:val="0"/>
        <w:widowControl/>
        <w:kinsoku/>
        <w:wordWrap/>
        <w:overflowPunct/>
        <w:topLinePunct w:val="0"/>
        <w:autoSpaceDE/>
        <w:bidi w:val="0"/>
        <w:adjustRightInd/>
        <w:snapToGrid/>
        <w:spacing w:line="600" w:lineRule="exact"/>
        <w:ind w:right="180" w:firstLine="600" w:firstLineChars="200"/>
        <w:textAlignment w:val="auto"/>
        <w:rPr>
          <w:rFonts w:hint="eastAsia" w:ascii="仿宋" w:hAnsi="仿宋" w:eastAsia="仿宋" w:cs="仿宋"/>
          <w:color w:val="212121"/>
          <w:sz w:val="30"/>
          <w:szCs w:val="30"/>
        </w:rPr>
      </w:pPr>
      <w:r>
        <w:rPr>
          <w:rFonts w:hint="eastAsia" w:ascii="仿宋" w:hAnsi="仿宋" w:eastAsia="仿宋" w:cs="仿宋"/>
          <w:color w:val="212121"/>
          <w:sz w:val="30"/>
          <w:szCs w:val="30"/>
        </w:rPr>
        <w:t>2.项目实施主体绩效自评意识和责任有待提高。</w:t>
      </w:r>
    </w:p>
    <w:p>
      <w:pPr>
        <w:keepNext w:val="0"/>
        <w:keepLines w:val="0"/>
        <w:pageBreakBefore w:val="0"/>
        <w:widowControl/>
        <w:tabs>
          <w:tab w:val="left" w:pos="652"/>
        </w:tabs>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sz w:val="30"/>
          <w:szCs w:val="30"/>
        </w:rPr>
      </w:pPr>
      <w:r>
        <w:rPr>
          <w:rFonts w:hint="eastAsia"/>
          <w:lang w:eastAsia="zh-CN"/>
        </w:rPr>
        <w:tab/>
      </w:r>
      <w:r>
        <w:rPr>
          <w:rFonts w:hint="eastAsia" w:ascii="仿宋" w:hAnsi="仿宋" w:eastAsia="仿宋" w:cs="仿宋"/>
          <w:color w:val="212121"/>
          <w:sz w:val="30"/>
          <w:szCs w:val="30"/>
        </w:rPr>
        <w:t>3.</w:t>
      </w:r>
      <w:r>
        <w:rPr>
          <w:rFonts w:hint="eastAsia" w:ascii="仿宋" w:hAnsi="仿宋" w:eastAsia="仿宋" w:cs="仿宋"/>
          <w:sz w:val="30"/>
          <w:szCs w:val="30"/>
        </w:rPr>
        <w:t>按照《预算法》及其实施条例的相关规定，科学合理编制预，避免年中大幅度追加及超预算，同时严格按预算执行，提高资金使用效率。</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八、下一步改进措施</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不断加强队伍自身建设，牢固树立服务意识。政府办公室的工作是锁碎而繁重的。对上要认真完成好领导交办的各项工作任务，上级部门及人大、政协的各种检查、视察、调研等的材料准备和各种协调工作；对内要做好各种会议准备及领导间工作的协调；对下要做好各种请示、汇报的答复以及人大代表、政协委员批评、建议和提案的催督办和大量的群众来信、来访工作。要完成这些锁碎而繁重的工作任务，切实做好为领导服务、为部门服务、为基层服务工作，没有一套运作规范的办事程序，一支作风优良、政治可靠、业务素质较高的干部职工队伍，是难以胜任和完成的。近年来，我们以创建文明单位为突破口，强化内部管理，狠抓队伍自身建设，在干部职工中牢固树立服务意识。</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坚持不懈地抓好职工队伍的思想政治工作和业务素质培训。结合办公室人员流动性大的特点，在完成省级文明单位创建工作，树立了良好的机关形象的基础上，我们始终坚持不懈地抓好职工队伍的思想政治工作和业务素质培训工作。今年，我们利用星期五政治业务学习时间，认真组织学习了江泽民总书记关于“三讲”教育的重要讲话和关于“两学一做”的重要论述。通过学习要求干部职工结合自身工作特点，牢固树立服务意识和奉献精神。</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建立岗位责任制。为进一步提高机关工作效率，实现机关工作的高效运转。我们在制定了各科室工作职责的基础上，今年又细化了各科室人员的岗位职责，实行了岗位责任制。并对部分岗位人员作了适当的调整。</w:t>
      </w:r>
    </w:p>
    <w:p>
      <w:pPr>
        <w:pStyle w:val="3"/>
        <w:keepNext w:val="0"/>
        <w:keepLines w:val="0"/>
        <w:pageBreakBefore w:val="0"/>
        <w:shd w:val="clear" w:color="auto" w:fill="FFFFFF"/>
        <w:kinsoku/>
        <w:wordWrap/>
        <w:overflowPunct/>
        <w:topLinePunct w:val="0"/>
        <w:autoSpaceDE/>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狠抓作风建设，加强廉洁自律教育，提高职工队伍的政治思想素质。政府办公室是上情下达、下情上达的中枢部门，工作作风的好坏，直接影响着政府在群众中的形象。我们历来比较重视干部职工队伍的作风建设和廉洁自律教育。要求办公室每一位同志都要有光荣感和责任感，但不能有特权感和优越感，要严格要求和约束自己，要牢固树立全心全意为人民服务的宗旨和勤奋扎实的工作作风，决不能滋生或助长“衙门作风”和沾染“吃、拿、卡、要”的腐败习气，真正做到忠诚坚定，经得起政治考验；甘于奉献，耐得住艰苦磨炼；廉洁自律，抗得住各种诱惑；业务精湛,担得起服务重任务。</w:t>
      </w:r>
    </w:p>
    <w:p>
      <w:pPr>
        <w:pStyle w:val="3"/>
        <w:keepNext w:val="0"/>
        <w:keepLines w:val="0"/>
        <w:pageBreakBefore w:val="0"/>
        <w:widowControl/>
        <w:numPr>
          <w:ilvl w:val="0"/>
          <w:numId w:val="0"/>
        </w:numPr>
        <w:kinsoku/>
        <w:wordWrap/>
        <w:overflowPunct/>
        <w:topLinePunct w:val="0"/>
        <w:autoSpaceDE/>
        <w:bidi w:val="0"/>
        <w:adjustRightInd/>
        <w:snapToGrid/>
        <w:spacing w:line="600" w:lineRule="exact"/>
        <w:ind w:leftChars="200" w:right="180"/>
        <w:textAlignment w:val="auto"/>
        <w:rPr>
          <w:rFonts w:hint="eastAsia" w:ascii="黑体" w:hAnsi="黑体" w:eastAsia="黑体" w:cs="黑体"/>
          <w:color w:val="212121"/>
          <w:sz w:val="30"/>
          <w:szCs w:val="30"/>
        </w:rPr>
      </w:pPr>
      <w:r>
        <w:rPr>
          <w:rFonts w:hint="eastAsia" w:ascii="黑体" w:hAnsi="黑体" w:eastAsia="黑体" w:cs="黑体"/>
          <w:color w:val="212121"/>
          <w:sz w:val="30"/>
          <w:szCs w:val="30"/>
        </w:rPr>
        <w:t>九、其他需要说明的情况</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pageBreakBefore w:val="0"/>
        <w:kinsoku/>
        <w:wordWrap/>
        <w:overflowPunct/>
        <w:topLinePunct w:val="0"/>
        <w:autoSpaceDE/>
        <w:bidi w:val="0"/>
        <w:adjustRightInd/>
        <w:snapToGrid/>
        <w:spacing w:line="600" w:lineRule="exact"/>
        <w:ind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附件：</w:t>
      </w:r>
      <w:r>
        <w:rPr>
          <w:rFonts w:hint="eastAsia" w:ascii="仿宋" w:hAnsi="仿宋" w:eastAsia="仿宋" w:cs="仿宋"/>
          <w:sz w:val="30"/>
          <w:szCs w:val="30"/>
        </w:rPr>
        <w:t>2021年度部门整体支出绩效自评指标计分表</w:t>
      </w:r>
    </w:p>
    <w:p>
      <w:pPr>
        <w:keepNext w:val="0"/>
        <w:keepLines w:val="0"/>
        <w:pageBreakBefore w:val="0"/>
        <w:kinsoku/>
        <w:wordWrap/>
        <w:overflowPunct/>
        <w:topLinePunct w:val="0"/>
        <w:autoSpaceDE/>
        <w:bidi w:val="0"/>
        <w:adjustRightInd/>
        <w:snapToGrid/>
        <w:spacing w:line="600" w:lineRule="exact"/>
        <w:jc w:val="right"/>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            　　　　</w:t>
      </w:r>
    </w:p>
    <w:p>
      <w:pPr>
        <w:keepNext w:val="0"/>
        <w:keepLines w:val="0"/>
        <w:pageBreakBefore w:val="0"/>
        <w:kinsoku/>
        <w:wordWrap/>
        <w:overflowPunct/>
        <w:topLinePunct w:val="0"/>
        <w:autoSpaceDE/>
        <w:bidi w:val="0"/>
        <w:adjustRightInd/>
        <w:snapToGrid/>
        <w:spacing w:line="600" w:lineRule="exact"/>
        <w:jc w:val="right"/>
        <w:textAlignment w:val="auto"/>
        <w:rPr>
          <w:rFonts w:hint="eastAsia" w:ascii="仿宋" w:hAnsi="仿宋" w:eastAsia="仿宋" w:cs="仿宋"/>
          <w:color w:val="000000"/>
          <w:kern w:val="0"/>
          <w:sz w:val="30"/>
          <w:szCs w:val="30"/>
        </w:rPr>
      </w:pPr>
    </w:p>
    <w:p>
      <w:pPr>
        <w:keepNext w:val="0"/>
        <w:keepLines w:val="0"/>
        <w:pageBreakBefore w:val="0"/>
        <w:kinsoku/>
        <w:wordWrap/>
        <w:overflowPunct/>
        <w:topLinePunct w:val="0"/>
        <w:autoSpaceDE/>
        <w:bidi w:val="0"/>
        <w:adjustRightInd/>
        <w:snapToGrid/>
        <w:spacing w:line="600" w:lineRule="exact"/>
        <w:jc w:val="right"/>
        <w:textAlignment w:val="auto"/>
        <w:rPr>
          <w:rFonts w:hint="eastAsia" w:ascii="仿宋" w:hAnsi="仿宋" w:eastAsia="仿宋" w:cs="仿宋"/>
          <w:color w:val="000000"/>
          <w:kern w:val="0"/>
          <w:sz w:val="30"/>
          <w:szCs w:val="30"/>
        </w:rPr>
      </w:pPr>
    </w:p>
    <w:p>
      <w:pPr>
        <w:keepNext w:val="0"/>
        <w:keepLines w:val="0"/>
        <w:pageBreakBefore w:val="0"/>
        <w:kinsoku/>
        <w:wordWrap/>
        <w:overflowPunct/>
        <w:topLinePunct w:val="0"/>
        <w:autoSpaceDE/>
        <w:bidi w:val="0"/>
        <w:adjustRightInd/>
        <w:snapToGrid/>
        <w:spacing w:line="600" w:lineRule="exact"/>
        <w:jc w:val="right"/>
        <w:textAlignment w:val="auto"/>
        <w:rPr>
          <w:rFonts w:hint="eastAsia" w:ascii="仿宋" w:hAnsi="仿宋" w:eastAsia="仿宋" w:cs="仿宋"/>
          <w:color w:val="000000"/>
          <w:kern w:val="0"/>
          <w:sz w:val="30"/>
          <w:szCs w:val="30"/>
        </w:rPr>
      </w:pPr>
    </w:p>
    <w:p>
      <w:pPr>
        <w:keepNext w:val="0"/>
        <w:keepLines w:val="0"/>
        <w:pageBreakBefore w:val="0"/>
        <w:kinsoku/>
        <w:wordWrap/>
        <w:overflowPunct/>
        <w:topLinePunct w:val="0"/>
        <w:autoSpaceDE/>
        <w:bidi w:val="0"/>
        <w:adjustRightInd/>
        <w:snapToGrid/>
        <w:spacing w:line="600" w:lineRule="exact"/>
        <w:jc w:val="right"/>
        <w:textAlignment w:val="auto"/>
        <w:rPr>
          <w:rFonts w:hint="eastAsia" w:ascii="仿宋" w:hAnsi="仿宋" w:eastAsia="仿宋" w:cs="仿宋"/>
          <w:color w:val="000000"/>
          <w:kern w:val="0"/>
          <w:sz w:val="30"/>
          <w:szCs w:val="30"/>
        </w:rPr>
      </w:pPr>
    </w:p>
    <w:p>
      <w:pPr>
        <w:spacing w:beforeLines="50" w:afterLines="50"/>
        <w:jc w:val="center"/>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rPr>
          <w:rFonts w:hint="eastAsia"/>
        </w:rPr>
      </w:pPr>
      <w:bookmarkStart w:id="0" w:name="_GoBack"/>
      <w:bookmarkEnd w:id="0"/>
    </w:p>
    <w:p>
      <w:pPr>
        <w:spacing w:beforeLines="50" w:afterLines="50"/>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b/>
                <w:sz w:val="21"/>
                <w:szCs w:val="21"/>
              </w:rPr>
            </w:pPr>
            <w:r>
              <w:rPr>
                <w:rFonts w:hint="eastAsia" w:ascii="宋体" w:hAnsi="宋体" w:cs="宋体"/>
                <w:b/>
                <w:sz w:val="21"/>
                <w:szCs w:val="21"/>
              </w:rPr>
              <w:t>一级</w:t>
            </w:r>
            <w:r>
              <w:rPr>
                <w:rFonts w:hint="eastAsia" w:ascii="宋体" w:cs="宋体"/>
                <w:b/>
                <w:sz w:val="21"/>
                <w:szCs w:val="21"/>
              </w:rPr>
              <w:br w:type="textWrapping"/>
            </w:r>
            <w:r>
              <w:rPr>
                <w:rFonts w:hint="eastAsia" w:ascii="宋体" w:hAnsi="宋体" w:cs="宋体"/>
                <w:b/>
                <w:sz w:val="21"/>
                <w:szCs w:val="21"/>
              </w:rPr>
              <w:t>指标</w:t>
            </w:r>
          </w:p>
        </w:tc>
        <w:tc>
          <w:tcPr>
            <w:tcW w:w="375"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right="-174" w:rightChars="-83"/>
              <w:jc w:val="center"/>
              <w:rPr>
                <w:rFonts w:hint="eastAsia" w:ascii="宋体" w:cs="宋体"/>
                <w:b/>
                <w:sz w:val="21"/>
                <w:szCs w:val="21"/>
              </w:rPr>
            </w:pPr>
            <w:r>
              <w:rPr>
                <w:rFonts w:hint="eastAsia" w:ascii="宋体" w:hAnsi="宋体" w:cs="宋体"/>
                <w:b/>
                <w:sz w:val="21"/>
                <w:szCs w:val="21"/>
              </w:rPr>
              <w:t>二级</w:t>
            </w:r>
          </w:p>
          <w:p>
            <w:pPr>
              <w:spacing w:line="240" w:lineRule="exact"/>
              <w:ind w:right="-174" w:rightChars="-83"/>
              <w:jc w:val="center"/>
              <w:rPr>
                <w:rFonts w:hint="eastAsia" w:ascii="宋体" w:cs="宋体"/>
                <w:b/>
                <w:sz w:val="21"/>
                <w:szCs w:val="21"/>
              </w:rPr>
            </w:pPr>
            <w:r>
              <w:rPr>
                <w:rFonts w:hint="eastAsia" w:ascii="宋体" w:hAnsi="宋体" w:cs="宋体"/>
                <w:b/>
                <w:sz w:val="21"/>
                <w:szCs w:val="21"/>
              </w:rPr>
              <w:t>指标</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b/>
                <w:sz w:val="21"/>
                <w:szCs w:val="21"/>
              </w:rPr>
            </w:pPr>
            <w:r>
              <w:rPr>
                <w:rFonts w:hint="eastAsia" w:ascii="宋体" w:hAnsi="宋体" w:cs="宋体"/>
                <w:b/>
                <w:sz w:val="21"/>
                <w:szCs w:val="21"/>
              </w:rPr>
              <w:t>三级</w:t>
            </w:r>
          </w:p>
          <w:p>
            <w:pPr>
              <w:spacing w:line="240" w:lineRule="exact"/>
              <w:jc w:val="center"/>
              <w:rPr>
                <w:rFonts w:hint="eastAsia" w:ascii="宋体" w:cs="宋体"/>
                <w:b/>
                <w:sz w:val="21"/>
                <w:szCs w:val="21"/>
              </w:rPr>
            </w:pPr>
            <w:r>
              <w:rPr>
                <w:rFonts w:hint="eastAsia" w:ascii="宋体" w:hAnsi="宋体" w:cs="宋体"/>
                <w:b/>
                <w:sz w:val="21"/>
                <w:szCs w:val="21"/>
              </w:rPr>
              <w:t>指标</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ind w:left="105" w:leftChars="50" w:right="105" w:rightChars="50"/>
              <w:jc w:val="center"/>
              <w:rPr>
                <w:rFonts w:hint="eastAsia" w:ascii="宋体" w:cs="宋体"/>
                <w:b/>
                <w:sz w:val="21"/>
                <w:szCs w:val="21"/>
              </w:rPr>
            </w:pPr>
            <w:r>
              <w:rPr>
                <w:rFonts w:hint="eastAsia" w:ascii="宋体" w:hAnsi="宋体" w:cs="宋体"/>
                <w:b/>
                <w:sz w:val="21"/>
                <w:szCs w:val="21"/>
              </w:rPr>
              <w:t>自评分</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cs="宋体"/>
                <w:b/>
                <w:sz w:val="21"/>
                <w:szCs w:val="21"/>
              </w:rPr>
            </w:pPr>
            <w:r>
              <w:rPr>
                <w:rFonts w:hint="eastAsia" w:ascii="宋体" w:hAnsi="宋体" w:cs="宋体"/>
                <w:b/>
                <w:sz w:val="21"/>
                <w:szCs w:val="21"/>
              </w:rPr>
              <w:t>指标解释</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jc w:val="center"/>
              <w:rPr>
                <w:rFonts w:hint="eastAsia" w:ascii="宋体" w:cs="宋体"/>
                <w:b/>
                <w:sz w:val="21"/>
                <w:szCs w:val="21"/>
              </w:rPr>
            </w:pPr>
            <w:r>
              <w:rPr>
                <w:rFonts w:hint="eastAsia" w:ascii="宋体" w:hAnsi="宋体" w:cs="宋体"/>
                <w:b/>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r>
              <w:rPr>
                <w:rFonts w:hint="eastAsia" w:ascii="宋体" w:hAnsi="宋体" w:cs="宋体"/>
                <w:sz w:val="21"/>
                <w:szCs w:val="21"/>
              </w:rPr>
              <w:t>投   入（20分）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目标</w:t>
            </w:r>
            <w:r>
              <w:rPr>
                <w:rFonts w:hint="eastAsia" w:ascii="宋体" w:cs="宋体"/>
                <w:sz w:val="21"/>
                <w:szCs w:val="21"/>
              </w:rPr>
              <w:br w:type="textWrapping"/>
            </w:r>
            <w:r>
              <w:rPr>
                <w:rFonts w:hint="eastAsia" w:ascii="宋体" w:hAnsi="宋体" w:cs="宋体"/>
                <w:sz w:val="21"/>
                <w:szCs w:val="21"/>
              </w:rPr>
              <w:t>设定（5分）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绩效目标</w:t>
            </w:r>
          </w:p>
          <w:p>
            <w:pPr>
              <w:spacing w:line="240" w:lineRule="exact"/>
              <w:jc w:val="center"/>
              <w:rPr>
                <w:rFonts w:hint="eastAsia" w:ascii="宋体" w:cs="宋体"/>
                <w:sz w:val="21"/>
                <w:szCs w:val="21"/>
              </w:rPr>
            </w:pPr>
            <w:r>
              <w:rPr>
                <w:rFonts w:hint="eastAsia" w:ascii="宋体" w:hAnsi="宋体" w:cs="宋体"/>
                <w:sz w:val="21"/>
                <w:szCs w:val="21"/>
              </w:rPr>
              <w:t>合理性（2分）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部门所设立的整体绩效目标依据是否充分，是否符合客观实际，用以反映和考核部门整体绩效目标与部门履职、年度工作任务的相符性情况。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①是否符合国家法律法规、国民经济和社会发展总体规划；</w:t>
            </w:r>
            <w:r>
              <w:rPr>
                <w:rFonts w:hint="eastAsia" w:ascii="宋体" w:cs="宋体"/>
                <w:sz w:val="21"/>
                <w:szCs w:val="21"/>
              </w:rPr>
              <w:br w:type="textWrapping"/>
            </w:r>
            <w:r>
              <w:rPr>
                <w:rFonts w:hint="eastAsia" w:ascii="宋体" w:hAnsi="宋体" w:cs="宋体"/>
                <w:sz w:val="21"/>
                <w:szCs w:val="21"/>
              </w:rPr>
              <w:t>②是否符合部门“三定”方案确定的职责；</w:t>
            </w:r>
            <w:r>
              <w:rPr>
                <w:rFonts w:hint="eastAsia" w:ascii="宋体" w:cs="宋体"/>
                <w:sz w:val="21"/>
                <w:szCs w:val="21"/>
              </w:rPr>
              <w:br w:type="textWrapping"/>
            </w:r>
            <w:r>
              <w:rPr>
                <w:rFonts w:hint="eastAsia" w:ascii="宋体" w:hAnsi="宋体" w:cs="宋体"/>
                <w:sz w:val="21"/>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绩效指标</w:t>
            </w:r>
          </w:p>
          <w:p>
            <w:pPr>
              <w:spacing w:line="240" w:lineRule="exact"/>
              <w:jc w:val="center"/>
              <w:rPr>
                <w:rFonts w:hint="eastAsia" w:ascii="宋体" w:cs="宋体"/>
                <w:sz w:val="21"/>
                <w:szCs w:val="21"/>
              </w:rPr>
            </w:pPr>
            <w:r>
              <w:rPr>
                <w:rFonts w:hint="eastAsia" w:ascii="宋体" w:hAnsi="宋体" w:cs="宋体"/>
                <w:sz w:val="21"/>
                <w:szCs w:val="21"/>
              </w:rPr>
              <w:t>明确性（3分）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3</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部门依据整体绩效目标所设定的绩效指标是否清晰、细化、可衡量，用以反映和考核部门整体绩效目标的明细化情况。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①是否将部门整体的绩效目标细化分解为具体的工作任务；</w:t>
            </w:r>
            <w:r>
              <w:rPr>
                <w:rFonts w:hint="eastAsia" w:ascii="宋体" w:cs="宋体"/>
                <w:sz w:val="21"/>
                <w:szCs w:val="21"/>
              </w:rPr>
              <w:br w:type="textWrapping"/>
            </w:r>
            <w:r>
              <w:rPr>
                <w:rFonts w:hint="eastAsia" w:ascii="宋体" w:hAnsi="宋体" w:cs="宋体"/>
                <w:sz w:val="21"/>
                <w:szCs w:val="21"/>
              </w:rPr>
              <w:t>②是否通过清晰、可衡量的指标值予以体现。    ③是否与部门年度的任务数或计划数相对应；</w:t>
            </w:r>
            <w:r>
              <w:rPr>
                <w:rFonts w:hint="eastAsia" w:ascii="宋体" w:cs="宋体"/>
                <w:sz w:val="21"/>
                <w:szCs w:val="21"/>
              </w:rPr>
              <w:br w:type="textWrapping"/>
            </w:r>
            <w:r>
              <w:rPr>
                <w:rFonts w:hint="eastAsia" w:ascii="宋体" w:hAnsi="宋体" w:cs="宋体"/>
                <w:sz w:val="21"/>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预算</w:t>
            </w:r>
            <w:r>
              <w:rPr>
                <w:rFonts w:hint="eastAsia" w:ascii="宋体" w:cs="宋体"/>
                <w:sz w:val="21"/>
                <w:szCs w:val="21"/>
              </w:rPr>
              <w:br w:type="textWrapping"/>
            </w:r>
            <w:r>
              <w:rPr>
                <w:rFonts w:hint="eastAsia" w:ascii="宋体" w:hAnsi="宋体" w:cs="宋体"/>
                <w:sz w:val="21"/>
                <w:szCs w:val="21"/>
              </w:rPr>
              <w:t>配置（15分）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在职人员</w:t>
            </w:r>
          </w:p>
          <w:p>
            <w:pPr>
              <w:spacing w:line="240" w:lineRule="exact"/>
              <w:jc w:val="center"/>
              <w:rPr>
                <w:rFonts w:hint="eastAsia" w:ascii="宋体" w:cs="宋体"/>
                <w:sz w:val="21"/>
                <w:szCs w:val="21"/>
              </w:rPr>
            </w:pPr>
            <w:r>
              <w:rPr>
                <w:rFonts w:hint="eastAsia" w:ascii="宋体" w:hAnsi="宋体" w:cs="宋体"/>
                <w:sz w:val="21"/>
                <w:szCs w:val="21"/>
              </w:rPr>
              <w:t>控制率（5分）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部门本年度实际在职人员数与编制数的比率，用以反映和考核部门对人员成本的控制程度。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在职人员控制率=（在职人员数/编制数）×100%。</w:t>
            </w:r>
            <w:r>
              <w:rPr>
                <w:rFonts w:hint="eastAsia" w:ascii="宋体" w:cs="宋体"/>
                <w:sz w:val="21"/>
                <w:szCs w:val="21"/>
              </w:rPr>
              <w:br w:type="textWrapping"/>
            </w:r>
            <w:r>
              <w:rPr>
                <w:rFonts w:hint="eastAsia" w:ascii="宋体" w:hAnsi="宋体" w:cs="宋体"/>
                <w:sz w:val="21"/>
                <w:szCs w:val="21"/>
              </w:rPr>
              <w:t>在职人员数：部门实际在职人数，以财政部确定的部门决算编制口径为准。</w:t>
            </w:r>
            <w:r>
              <w:rPr>
                <w:rFonts w:hint="eastAsia" w:ascii="宋体" w:cs="宋体"/>
                <w:sz w:val="21"/>
                <w:szCs w:val="21"/>
              </w:rPr>
              <w:br w:type="textWrapping"/>
            </w:r>
            <w:r>
              <w:rPr>
                <w:rFonts w:hint="eastAsia" w:ascii="宋体" w:hAnsi="宋体" w:cs="宋体"/>
                <w:sz w:val="21"/>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“三公经费”</w:t>
            </w:r>
          </w:p>
          <w:p>
            <w:pPr>
              <w:spacing w:line="240" w:lineRule="exact"/>
              <w:jc w:val="center"/>
              <w:rPr>
                <w:rFonts w:hint="eastAsia" w:ascii="宋体" w:cs="宋体"/>
                <w:sz w:val="21"/>
                <w:szCs w:val="21"/>
              </w:rPr>
            </w:pPr>
            <w:r>
              <w:rPr>
                <w:rFonts w:hint="eastAsia" w:ascii="宋体" w:hAnsi="宋体" w:cs="宋体"/>
                <w:sz w:val="21"/>
                <w:szCs w:val="21"/>
              </w:rPr>
              <w:t>变动率（5分）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部门本年度“三公经费”预算数与上年度“三公经费”预算数的变动比率，用以反映和考核部门对控制重点行政成本的努力程度。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“三公经费”变动率=[（本年度“三公经费”总额-上年度“三公经费”总额）/上年度“三公经费”总额]×100%。</w:t>
            </w:r>
            <w:r>
              <w:rPr>
                <w:rFonts w:hint="eastAsia" w:ascii="宋体" w:cs="宋体"/>
                <w:sz w:val="21"/>
                <w:szCs w:val="21"/>
              </w:rPr>
              <w:br w:type="textWrapping"/>
            </w:r>
            <w:r>
              <w:rPr>
                <w:rFonts w:hint="eastAsia" w:ascii="宋体" w:hAnsi="宋体" w:cs="宋体"/>
                <w:sz w:val="21"/>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重点支出</w:t>
            </w:r>
          </w:p>
          <w:p>
            <w:pPr>
              <w:spacing w:line="240" w:lineRule="exact"/>
              <w:jc w:val="center"/>
              <w:rPr>
                <w:rFonts w:hint="eastAsia" w:ascii="宋体" w:cs="宋体"/>
                <w:sz w:val="21"/>
                <w:szCs w:val="21"/>
              </w:rPr>
            </w:pPr>
            <w:r>
              <w:rPr>
                <w:rFonts w:hint="eastAsia" w:ascii="宋体" w:hAnsi="宋体" w:cs="宋体"/>
                <w:sz w:val="21"/>
                <w:szCs w:val="21"/>
              </w:rPr>
              <w:t>安排率（5分）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部门本年度预算安排的重点预算支出与部门预算总支出的比率，用以反映和考核部门对履行主要职责或完成重点任务的保障程度。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重点支出安排率=（重点预算支出/预算总支出）×100%。</w:t>
            </w:r>
            <w:r>
              <w:rPr>
                <w:rFonts w:hint="eastAsia" w:ascii="宋体" w:cs="宋体"/>
                <w:sz w:val="21"/>
                <w:szCs w:val="21"/>
              </w:rPr>
              <w:br w:type="textWrapping"/>
            </w:r>
            <w:r>
              <w:rPr>
                <w:rFonts w:hint="eastAsia" w:ascii="宋体" w:hAnsi="宋体" w:cs="宋体"/>
                <w:sz w:val="21"/>
                <w:szCs w:val="21"/>
              </w:rPr>
              <w:t>重点预算支出：部门年度预算安排的，与本部门履职和发展密切相关、具有明显社会和经济影响、党委政府关心或社会比较关注的预算支出支出总额。</w:t>
            </w:r>
            <w:r>
              <w:rPr>
                <w:rFonts w:hint="eastAsia" w:ascii="宋体" w:cs="宋体"/>
                <w:sz w:val="21"/>
                <w:szCs w:val="21"/>
              </w:rPr>
              <w:br w:type="textWrapping"/>
            </w:r>
            <w:r>
              <w:rPr>
                <w:rFonts w:hint="eastAsia" w:ascii="宋体" w:hAnsi="宋体" w:cs="宋体"/>
                <w:sz w:val="21"/>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r>
              <w:rPr>
                <w:rFonts w:hint="eastAsia" w:ascii="宋体" w:hAnsi="宋体" w:cs="宋体"/>
                <w:sz w:val="21"/>
                <w:szCs w:val="21"/>
              </w:rPr>
              <w:t>过   程（30分）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预算</w:t>
            </w:r>
            <w:r>
              <w:rPr>
                <w:rFonts w:hint="eastAsia" w:ascii="宋体" w:cs="宋体"/>
                <w:sz w:val="21"/>
                <w:szCs w:val="21"/>
              </w:rPr>
              <w:br w:type="textWrapping"/>
            </w:r>
            <w:r>
              <w:rPr>
                <w:rFonts w:hint="eastAsia" w:ascii="宋体" w:hAnsi="宋体" w:cs="宋体"/>
                <w:sz w:val="21"/>
                <w:szCs w:val="21"/>
              </w:rPr>
              <w:t>执行（20分）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预算</w:t>
            </w:r>
          </w:p>
          <w:p>
            <w:pPr>
              <w:spacing w:line="240" w:lineRule="exact"/>
              <w:jc w:val="center"/>
              <w:rPr>
                <w:rFonts w:hint="eastAsia" w:ascii="宋体" w:cs="宋体"/>
                <w:sz w:val="21"/>
                <w:szCs w:val="21"/>
              </w:rPr>
            </w:pPr>
            <w:r>
              <w:rPr>
                <w:rFonts w:hint="eastAsia" w:ascii="宋体" w:hAnsi="宋体" w:cs="宋体"/>
                <w:sz w:val="21"/>
                <w:szCs w:val="21"/>
              </w:rPr>
              <w:t>执行率（4分）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4</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部门本年度预算完成数与预算数的比率，用以反映和考核部门预算完成程度。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预算执行率=（预算执行数/预算数）×100%。</w:t>
            </w:r>
            <w:r>
              <w:rPr>
                <w:rFonts w:hint="eastAsia" w:ascii="宋体" w:cs="宋体"/>
                <w:sz w:val="21"/>
                <w:szCs w:val="21"/>
              </w:rPr>
              <w:br w:type="textWrapping"/>
            </w:r>
            <w:r>
              <w:rPr>
                <w:rFonts w:hint="eastAsia" w:ascii="宋体" w:hAnsi="宋体" w:cs="宋体"/>
                <w:sz w:val="21"/>
                <w:szCs w:val="21"/>
              </w:rPr>
              <w:t>预算执行数：部门本年度实际完成的预算数。</w:t>
            </w:r>
            <w:r>
              <w:rPr>
                <w:rFonts w:hint="eastAsia" w:ascii="宋体" w:cs="宋体"/>
                <w:sz w:val="21"/>
                <w:szCs w:val="21"/>
              </w:rPr>
              <w:br w:type="textWrapping"/>
            </w:r>
            <w:r>
              <w:rPr>
                <w:rFonts w:hint="eastAsia" w:ascii="宋体" w:hAnsi="宋体" w:cs="宋体"/>
                <w:sz w:val="21"/>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预算</w:t>
            </w:r>
          </w:p>
          <w:p>
            <w:pPr>
              <w:spacing w:line="240" w:lineRule="exact"/>
              <w:jc w:val="center"/>
              <w:rPr>
                <w:rFonts w:hint="eastAsia" w:ascii="宋体" w:cs="宋体"/>
                <w:sz w:val="21"/>
                <w:szCs w:val="21"/>
              </w:rPr>
            </w:pPr>
            <w:r>
              <w:rPr>
                <w:rFonts w:hint="eastAsia" w:ascii="宋体" w:hAnsi="宋体" w:cs="宋体"/>
                <w:sz w:val="21"/>
                <w:szCs w:val="21"/>
              </w:rPr>
              <w:t>调整率（2分）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部门本年度预算调整数与预算数的比率，用以反映和考核部门预算的调整程度。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预算调整率=（预算调整数/预算数）×100%。</w:t>
            </w:r>
            <w:r>
              <w:rPr>
                <w:rFonts w:hint="eastAsia" w:ascii="宋体" w:cs="宋体"/>
                <w:sz w:val="21"/>
                <w:szCs w:val="21"/>
              </w:rPr>
              <w:br w:type="textWrapping"/>
            </w:r>
            <w:r>
              <w:rPr>
                <w:rFonts w:hint="eastAsia" w:ascii="宋体" w:hAnsi="宋体" w:cs="宋体"/>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支付</w:t>
            </w:r>
          </w:p>
          <w:p>
            <w:pPr>
              <w:spacing w:line="240" w:lineRule="exact"/>
              <w:jc w:val="center"/>
              <w:rPr>
                <w:rFonts w:hint="eastAsia" w:ascii="宋体" w:cs="宋体"/>
                <w:sz w:val="21"/>
                <w:szCs w:val="21"/>
              </w:rPr>
            </w:pPr>
            <w:r>
              <w:rPr>
                <w:rFonts w:hint="eastAsia" w:ascii="宋体" w:hAnsi="宋体" w:cs="宋体"/>
                <w:sz w:val="21"/>
                <w:szCs w:val="21"/>
              </w:rPr>
              <w:t>进度率（2分）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部门实际支付进度与既定支付进度的比率，用以反映和考核部门预算执行的及时性和均衡性程度。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支付进度率=（实际支付进度/既定支付进度）×100%。</w:t>
            </w:r>
            <w:r>
              <w:rPr>
                <w:rFonts w:hint="eastAsia" w:ascii="宋体" w:cs="宋体"/>
                <w:sz w:val="21"/>
                <w:szCs w:val="21"/>
              </w:rPr>
              <w:br w:type="textWrapping"/>
            </w:r>
            <w:r>
              <w:rPr>
                <w:rFonts w:hint="eastAsia" w:ascii="宋体" w:hAnsi="宋体" w:cs="宋体"/>
                <w:sz w:val="21"/>
                <w:szCs w:val="21"/>
              </w:rPr>
              <w:t>实际支付进度：部门在某一时点的支出预算执行总数与年度支出预算数的比率。</w:t>
            </w:r>
            <w:r>
              <w:rPr>
                <w:rFonts w:hint="eastAsia" w:ascii="宋体" w:cs="宋体"/>
                <w:sz w:val="21"/>
                <w:szCs w:val="21"/>
              </w:rPr>
              <w:br w:type="textWrapping"/>
            </w:r>
            <w:r>
              <w:rPr>
                <w:rFonts w:hint="eastAsia" w:ascii="宋体" w:hAnsi="宋体" w:cs="宋体"/>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结转</w:t>
            </w:r>
          </w:p>
          <w:p>
            <w:pPr>
              <w:spacing w:line="240" w:lineRule="exact"/>
              <w:jc w:val="center"/>
              <w:rPr>
                <w:rFonts w:hint="eastAsia" w:ascii="宋体" w:cs="宋体"/>
                <w:sz w:val="21"/>
                <w:szCs w:val="21"/>
              </w:rPr>
            </w:pPr>
            <w:r>
              <w:rPr>
                <w:rFonts w:hint="eastAsia" w:ascii="宋体" w:hAnsi="宋体" w:cs="宋体"/>
                <w:sz w:val="21"/>
                <w:szCs w:val="21"/>
              </w:rPr>
              <w:t>结余率（2分）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部门本年度结转结余总额与支出预算数的比率，用以反映和考核部门对本年度结转结余资金的实际控制程度。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结转结余率=结转结余总额/支出预算数×100%。</w:t>
            </w:r>
            <w:r>
              <w:rPr>
                <w:rFonts w:hint="eastAsia" w:ascii="宋体" w:cs="宋体"/>
                <w:sz w:val="21"/>
                <w:szCs w:val="21"/>
              </w:rPr>
              <w:br w:type="textWrapping"/>
            </w:r>
            <w:r>
              <w:rPr>
                <w:rFonts w:hint="eastAsia" w:ascii="宋体" w:hAnsi="宋体" w:cs="宋体"/>
                <w:sz w:val="21"/>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结转结余</w:t>
            </w:r>
          </w:p>
          <w:p>
            <w:pPr>
              <w:spacing w:line="240" w:lineRule="exact"/>
              <w:jc w:val="center"/>
              <w:rPr>
                <w:rFonts w:hint="eastAsia" w:ascii="宋体" w:cs="宋体"/>
                <w:sz w:val="21"/>
                <w:szCs w:val="21"/>
              </w:rPr>
            </w:pPr>
            <w:r>
              <w:rPr>
                <w:rFonts w:hint="eastAsia" w:ascii="宋体" w:hAnsi="宋体" w:cs="宋体"/>
                <w:sz w:val="21"/>
                <w:szCs w:val="21"/>
              </w:rPr>
              <w:t>变动率（2分）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部门本年度结转结余资金总额与上年度结转结余资金总额的变动比率，用以反映和考核部门对控制结转结余资金的努力程度。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结转结余变动率=[（本年度累计结转结余资金总额-上年度累计结转结余资金总额）/上年度累计结转结余资金总额]×100%。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公用经费</w:t>
            </w:r>
          </w:p>
          <w:p>
            <w:pPr>
              <w:spacing w:line="240" w:lineRule="exact"/>
              <w:jc w:val="center"/>
              <w:rPr>
                <w:rFonts w:hint="eastAsia" w:ascii="宋体" w:cs="宋体"/>
                <w:sz w:val="21"/>
                <w:szCs w:val="21"/>
              </w:rPr>
            </w:pPr>
            <w:r>
              <w:rPr>
                <w:rFonts w:hint="eastAsia" w:ascii="宋体" w:hAnsi="宋体" w:cs="宋体"/>
                <w:sz w:val="21"/>
                <w:szCs w:val="21"/>
              </w:rPr>
              <w:t>控制率（2分）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部门本年度实际支出的公用经费总额与预算安排的公用经费总额的比率，用以反映和考核部门对机构运转成本的实际控制程度。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公用经费控制率=（实际支出公用经费总额/预算安排公用经费总额）×100%。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“三公经费”控制率（2分）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部门本年度“三公经费”实际支出数与预算安排数的比率，用以反映和考核部门对“三公经费”的实际控制程度。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“三公经费”控制率=（“三公经费”实际支出数/“三公经费”预算安排数）×100%。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政府采购</w:t>
            </w:r>
          </w:p>
          <w:p>
            <w:pPr>
              <w:spacing w:line="240" w:lineRule="exact"/>
              <w:jc w:val="center"/>
              <w:rPr>
                <w:rFonts w:hint="eastAsia" w:ascii="宋体" w:cs="宋体"/>
                <w:sz w:val="21"/>
                <w:szCs w:val="21"/>
              </w:rPr>
            </w:pPr>
            <w:r>
              <w:rPr>
                <w:rFonts w:hint="eastAsia" w:ascii="宋体" w:hAnsi="宋体" w:cs="宋体"/>
                <w:sz w:val="21"/>
                <w:szCs w:val="21"/>
              </w:rPr>
              <w:t>执行率（4分）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3</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部门本年度实际政府采购金额与年初政府采购预算的比率，用以反映和考核部门政府采购预算执行情况。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hAnsi="宋体" w:cs="宋体"/>
                <w:sz w:val="21"/>
                <w:szCs w:val="21"/>
              </w:rPr>
            </w:pPr>
            <w:r>
              <w:rPr>
                <w:rFonts w:hint="eastAsia" w:ascii="宋体" w:hAnsi="宋体" w:cs="宋体"/>
                <w:sz w:val="21"/>
                <w:szCs w:val="21"/>
              </w:rPr>
              <w:t>政府采购执行率=（实际政府采购金额/政府采购预算数）×100%；</w:t>
            </w:r>
            <w:r>
              <w:rPr>
                <w:rFonts w:hint="eastAsia" w:ascii="宋体" w:cs="宋体"/>
                <w:sz w:val="21"/>
                <w:szCs w:val="21"/>
              </w:rPr>
              <w:br w:type="textWrapping"/>
            </w:r>
            <w:r>
              <w:rPr>
                <w:rFonts w:hint="eastAsia" w:ascii="宋体" w:hAnsi="宋体" w:cs="宋体"/>
                <w:sz w:val="21"/>
                <w:szCs w:val="21"/>
              </w:rPr>
              <w:t xml:space="preserve">政府采购预算：采购机关根据事业发展计划和行政任务编制的、并经过规定程序批准的年度政府采购计划。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r>
              <w:rPr>
                <w:rFonts w:hint="eastAsia" w:ascii="宋体" w:hAnsi="宋体" w:cs="宋体"/>
                <w:sz w:val="21"/>
                <w:szCs w:val="21"/>
              </w:rPr>
              <w:t>过</w:t>
            </w:r>
          </w:p>
          <w:p>
            <w:pPr>
              <w:spacing w:line="240" w:lineRule="exact"/>
              <w:jc w:val="center"/>
              <w:rPr>
                <w:rFonts w:hint="eastAsia" w:ascii="宋体" w:cs="宋体"/>
                <w:sz w:val="21"/>
                <w:szCs w:val="21"/>
              </w:rPr>
            </w:pPr>
            <w:r>
              <w:rPr>
                <w:rFonts w:hint="eastAsia" w:ascii="宋体" w:hAnsi="宋体" w:cs="宋体"/>
                <w:sz w:val="21"/>
                <w:szCs w:val="21"/>
              </w:rPr>
              <w:t>程（30分）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预算</w:t>
            </w:r>
            <w:r>
              <w:rPr>
                <w:rFonts w:hint="eastAsia" w:ascii="宋体" w:cs="宋体"/>
                <w:sz w:val="21"/>
                <w:szCs w:val="21"/>
              </w:rPr>
              <w:br w:type="textWrapping"/>
            </w:r>
            <w:r>
              <w:rPr>
                <w:rFonts w:hint="eastAsia" w:ascii="宋体" w:hAnsi="宋体" w:cs="宋体"/>
                <w:sz w:val="21"/>
                <w:szCs w:val="21"/>
              </w:rPr>
              <w:t>管理（5分）</w:t>
            </w:r>
          </w:p>
          <w:p>
            <w:pPr>
              <w:spacing w:line="240" w:lineRule="exact"/>
              <w:jc w:val="center"/>
              <w:rPr>
                <w:rFonts w:hint="eastAsia" w:ascii="宋体" w:cs="宋体"/>
                <w:sz w:val="21"/>
                <w:szCs w:val="21"/>
              </w:rPr>
            </w:pPr>
            <w:r>
              <w:rPr>
                <w:rFonts w:hint="eastAsia" w:ascii="宋体" w:hAnsi="宋体" w:cs="宋体"/>
                <w:sz w:val="21"/>
                <w:szCs w:val="21"/>
              </w:rPr>
              <w:t>）</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管理制度</w:t>
            </w:r>
          </w:p>
          <w:p>
            <w:pPr>
              <w:spacing w:line="240" w:lineRule="exact"/>
              <w:jc w:val="center"/>
              <w:rPr>
                <w:rFonts w:hint="eastAsia" w:ascii="宋体" w:cs="宋体"/>
                <w:sz w:val="21"/>
                <w:szCs w:val="21"/>
              </w:rPr>
            </w:pPr>
            <w:r>
              <w:rPr>
                <w:rFonts w:hint="eastAsia" w:ascii="宋体" w:hAnsi="宋体" w:cs="宋体"/>
                <w:sz w:val="21"/>
                <w:szCs w:val="21"/>
              </w:rPr>
              <w:t>健全性（2分）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部门为加强预算管理、规范财务行为而制定的管理制度是否健全完整，用以反映和考核部门预算管理制度对完成主要职责或促进事业发展的保障情况。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①是否已制定或具有预算资金管理办法、内部财务管理制度、会计核算制度等管理制度；</w:t>
            </w:r>
            <w:r>
              <w:rPr>
                <w:rFonts w:hint="eastAsia" w:ascii="宋体" w:cs="宋体"/>
                <w:sz w:val="21"/>
                <w:szCs w:val="21"/>
              </w:rPr>
              <w:br w:type="textWrapping"/>
            </w:r>
            <w:r>
              <w:rPr>
                <w:rFonts w:hint="eastAsia" w:ascii="宋体" w:hAnsi="宋体" w:cs="宋体"/>
                <w:sz w:val="21"/>
                <w:szCs w:val="21"/>
              </w:rPr>
              <w:t>②相关管理制度是否合法、合规、完整；</w:t>
            </w:r>
            <w:r>
              <w:rPr>
                <w:rFonts w:hint="eastAsia" w:ascii="宋体" w:cs="宋体"/>
                <w:sz w:val="21"/>
                <w:szCs w:val="21"/>
              </w:rPr>
              <w:br w:type="textWrapping"/>
            </w:r>
            <w:r>
              <w:rPr>
                <w:rFonts w:hint="eastAsia" w:ascii="宋体" w:hAnsi="宋体" w:cs="宋体"/>
                <w:sz w:val="21"/>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资金使用</w:t>
            </w:r>
          </w:p>
          <w:p>
            <w:pPr>
              <w:spacing w:line="240" w:lineRule="exact"/>
              <w:jc w:val="center"/>
              <w:rPr>
                <w:rFonts w:hint="eastAsia" w:ascii="宋体" w:cs="宋体"/>
                <w:sz w:val="21"/>
                <w:szCs w:val="21"/>
              </w:rPr>
            </w:pPr>
            <w:r>
              <w:rPr>
                <w:rFonts w:hint="eastAsia" w:ascii="宋体" w:hAnsi="宋体" w:cs="宋体"/>
                <w:sz w:val="21"/>
                <w:szCs w:val="21"/>
              </w:rPr>
              <w:t>合规性（1分）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部门使用预算资金是否符合相关的预算财务管理制度的规定，用以反映和考核部门预算资金的规范运行情况。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①是否符合国家财经法规和财务管理制度规定以及有关预算支出管理办法的规定；</w:t>
            </w:r>
            <w:r>
              <w:rPr>
                <w:rFonts w:hint="eastAsia" w:ascii="宋体" w:cs="宋体"/>
                <w:sz w:val="21"/>
                <w:szCs w:val="21"/>
              </w:rPr>
              <w:br w:type="textWrapping"/>
            </w:r>
            <w:r>
              <w:rPr>
                <w:rFonts w:hint="eastAsia" w:ascii="宋体" w:hAnsi="宋体" w:cs="宋体"/>
                <w:sz w:val="21"/>
                <w:szCs w:val="21"/>
              </w:rPr>
              <w:t>②资金的拨付是否有完整的审批程序和手续；</w:t>
            </w:r>
            <w:r>
              <w:rPr>
                <w:rFonts w:hint="eastAsia" w:ascii="宋体" w:cs="宋体"/>
                <w:sz w:val="21"/>
                <w:szCs w:val="21"/>
              </w:rPr>
              <w:br w:type="textWrapping"/>
            </w:r>
            <w:r>
              <w:rPr>
                <w:rFonts w:hint="eastAsia" w:ascii="宋体" w:hAnsi="宋体" w:cs="宋体"/>
                <w:sz w:val="21"/>
                <w:szCs w:val="21"/>
              </w:rPr>
              <w:t>③预算支出的重大开支是否经过评估论证；</w:t>
            </w:r>
            <w:r>
              <w:rPr>
                <w:rFonts w:hint="eastAsia" w:ascii="宋体" w:cs="宋体"/>
                <w:sz w:val="21"/>
                <w:szCs w:val="21"/>
              </w:rPr>
              <w:br w:type="textWrapping"/>
            </w:r>
            <w:r>
              <w:rPr>
                <w:rFonts w:hint="eastAsia" w:ascii="宋体" w:hAnsi="宋体" w:cs="宋体"/>
                <w:sz w:val="21"/>
                <w:szCs w:val="21"/>
              </w:rPr>
              <w:t>④是否符合部门预算批复的用途；</w:t>
            </w:r>
            <w:r>
              <w:rPr>
                <w:rFonts w:hint="eastAsia" w:ascii="宋体" w:cs="宋体"/>
                <w:sz w:val="21"/>
                <w:szCs w:val="21"/>
              </w:rPr>
              <w:br w:type="textWrapping"/>
            </w:r>
            <w:r>
              <w:rPr>
                <w:rFonts w:hint="eastAsia" w:ascii="宋体" w:hAnsi="宋体" w:cs="宋体"/>
                <w:sz w:val="21"/>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预决算信</w:t>
            </w:r>
          </w:p>
          <w:p>
            <w:pPr>
              <w:spacing w:line="240" w:lineRule="exact"/>
              <w:jc w:val="center"/>
              <w:rPr>
                <w:rFonts w:hint="eastAsia" w:ascii="宋体" w:cs="宋体"/>
                <w:sz w:val="21"/>
                <w:szCs w:val="21"/>
              </w:rPr>
            </w:pPr>
            <w:r>
              <w:rPr>
                <w:rFonts w:hint="eastAsia" w:ascii="宋体" w:hAnsi="宋体" w:cs="宋体"/>
                <w:sz w:val="21"/>
                <w:szCs w:val="21"/>
              </w:rPr>
              <w:t>息公开性（1分）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部门是否按照政府信息公开有关规定公开相关预决算信息，用以反映和考核部门预决算管理的公开透明情况。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①是否按规定内容公开预决算信息；</w:t>
            </w:r>
            <w:r>
              <w:rPr>
                <w:rFonts w:hint="eastAsia" w:ascii="宋体" w:cs="宋体"/>
                <w:sz w:val="21"/>
                <w:szCs w:val="21"/>
              </w:rPr>
              <w:br w:type="textWrapping"/>
            </w:r>
            <w:r>
              <w:rPr>
                <w:rFonts w:hint="eastAsia" w:ascii="宋体" w:hAnsi="宋体" w:cs="宋体"/>
                <w:sz w:val="21"/>
                <w:szCs w:val="21"/>
              </w:rPr>
              <w:t>②是否按规定时限公开预决算信息。</w:t>
            </w:r>
            <w:r>
              <w:rPr>
                <w:rFonts w:hint="eastAsia" w:ascii="宋体" w:cs="宋体"/>
                <w:sz w:val="21"/>
                <w:szCs w:val="21"/>
              </w:rPr>
              <w:br w:type="textWrapping"/>
            </w:r>
            <w:r>
              <w:rPr>
                <w:rFonts w:hint="eastAsia" w:ascii="宋体" w:hAnsi="宋体" w:cs="宋体"/>
                <w:sz w:val="21"/>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基础信息</w:t>
            </w:r>
          </w:p>
          <w:p>
            <w:pPr>
              <w:spacing w:line="240" w:lineRule="exact"/>
              <w:jc w:val="center"/>
              <w:rPr>
                <w:rFonts w:hint="eastAsia" w:ascii="宋体" w:cs="宋体"/>
                <w:sz w:val="21"/>
                <w:szCs w:val="21"/>
              </w:rPr>
            </w:pPr>
            <w:r>
              <w:rPr>
                <w:rFonts w:hint="eastAsia" w:ascii="宋体" w:hAnsi="宋体" w:cs="宋体"/>
                <w:sz w:val="21"/>
                <w:szCs w:val="21"/>
              </w:rPr>
              <w:t>完善性（1分）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部门基础信息是否完善，用以反映和考核基础信息对预算管理工作的支撑情况。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①基础数据信息和会计信息资料是否真实；</w:t>
            </w:r>
            <w:r>
              <w:rPr>
                <w:rFonts w:hint="eastAsia" w:ascii="宋体" w:cs="宋体"/>
                <w:sz w:val="21"/>
                <w:szCs w:val="21"/>
              </w:rPr>
              <w:br w:type="textWrapping"/>
            </w:r>
            <w:r>
              <w:rPr>
                <w:rFonts w:hint="eastAsia" w:ascii="宋体" w:hAnsi="宋体" w:cs="宋体"/>
                <w:sz w:val="21"/>
                <w:szCs w:val="21"/>
              </w:rPr>
              <w:t>②基础数据信息和会计信息资料是否完整；</w:t>
            </w:r>
            <w:r>
              <w:rPr>
                <w:rFonts w:hint="eastAsia" w:ascii="宋体" w:cs="宋体"/>
                <w:sz w:val="21"/>
                <w:szCs w:val="21"/>
              </w:rPr>
              <w:br w:type="textWrapping"/>
            </w:r>
            <w:r>
              <w:rPr>
                <w:rFonts w:hint="eastAsia" w:ascii="宋体" w:hAnsi="宋体" w:cs="宋体"/>
                <w:sz w:val="21"/>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资产</w:t>
            </w:r>
            <w:r>
              <w:rPr>
                <w:rFonts w:hint="eastAsia" w:ascii="宋体" w:cs="宋体"/>
                <w:sz w:val="21"/>
                <w:szCs w:val="21"/>
              </w:rPr>
              <w:br w:type="textWrapping"/>
            </w:r>
            <w:r>
              <w:rPr>
                <w:rFonts w:hint="eastAsia" w:ascii="宋体" w:hAnsi="宋体" w:cs="宋体"/>
                <w:sz w:val="21"/>
                <w:szCs w:val="21"/>
              </w:rPr>
              <w:t>管理（5分）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管理制度</w:t>
            </w:r>
          </w:p>
          <w:p>
            <w:pPr>
              <w:spacing w:line="240" w:lineRule="exact"/>
              <w:jc w:val="center"/>
              <w:rPr>
                <w:rFonts w:hint="eastAsia" w:ascii="宋体" w:cs="宋体"/>
                <w:sz w:val="21"/>
                <w:szCs w:val="21"/>
              </w:rPr>
            </w:pPr>
            <w:r>
              <w:rPr>
                <w:rFonts w:hint="eastAsia" w:ascii="宋体" w:hAnsi="宋体" w:cs="宋体"/>
                <w:sz w:val="21"/>
                <w:szCs w:val="21"/>
              </w:rPr>
              <w:t>健全性（2分）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部门为加强资产管理、规范资产管理行为而制定的管理制度是否健全完整，用以反映和考核部门资产管理制度对完成主要职责或促进社会发展的保障情况。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①是否已制定或具有资产管理制度；           ②相关资金管理制度是否合法、合规、完整；</w:t>
            </w:r>
            <w:r>
              <w:rPr>
                <w:rFonts w:hint="eastAsia" w:ascii="宋体" w:cs="宋体"/>
                <w:sz w:val="21"/>
                <w:szCs w:val="21"/>
              </w:rPr>
              <w:br w:type="textWrapping"/>
            </w:r>
            <w:r>
              <w:rPr>
                <w:rFonts w:hint="eastAsia" w:ascii="宋体" w:hAnsi="宋体" w:cs="宋体"/>
                <w:sz w:val="21"/>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资产管理</w:t>
            </w:r>
          </w:p>
          <w:p>
            <w:pPr>
              <w:spacing w:line="240" w:lineRule="exact"/>
              <w:jc w:val="center"/>
              <w:rPr>
                <w:rFonts w:hint="eastAsia" w:ascii="宋体" w:cs="宋体"/>
                <w:sz w:val="21"/>
                <w:szCs w:val="21"/>
              </w:rPr>
            </w:pPr>
            <w:r>
              <w:rPr>
                <w:rFonts w:hint="eastAsia" w:ascii="宋体" w:hAnsi="宋体" w:cs="宋体"/>
                <w:sz w:val="21"/>
                <w:szCs w:val="21"/>
              </w:rPr>
              <w:t>安全性（2分）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2</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部门的资产是否保存完整、使用合规、配置合理、处置规范、收入及时足额上缴，用以反映和考核部门资产安全运行情况。</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评价要点：</w:t>
            </w:r>
            <w:r>
              <w:rPr>
                <w:rFonts w:hint="eastAsia" w:ascii="宋体" w:cs="宋体"/>
                <w:sz w:val="21"/>
                <w:szCs w:val="21"/>
              </w:rPr>
              <w:br w:type="textWrapping"/>
            </w:r>
            <w:r>
              <w:rPr>
                <w:rFonts w:hint="eastAsia" w:ascii="宋体" w:hAnsi="宋体" w:cs="宋体"/>
                <w:sz w:val="21"/>
                <w:szCs w:val="21"/>
              </w:rPr>
              <w:t>①资产保存是否完整；</w:t>
            </w:r>
            <w:r>
              <w:rPr>
                <w:rFonts w:hint="eastAsia" w:ascii="宋体" w:cs="宋体"/>
                <w:sz w:val="21"/>
                <w:szCs w:val="21"/>
              </w:rPr>
              <w:br w:type="textWrapping"/>
            </w:r>
            <w:r>
              <w:rPr>
                <w:rFonts w:hint="eastAsia" w:ascii="宋体" w:hAnsi="宋体" w:cs="宋体"/>
                <w:sz w:val="21"/>
                <w:szCs w:val="21"/>
              </w:rPr>
              <w:t>②资产配置是否合理；</w:t>
            </w:r>
            <w:r>
              <w:rPr>
                <w:rFonts w:hint="eastAsia" w:ascii="宋体" w:cs="宋体"/>
                <w:sz w:val="21"/>
                <w:szCs w:val="21"/>
              </w:rPr>
              <w:br w:type="textWrapping"/>
            </w:r>
            <w:r>
              <w:rPr>
                <w:rFonts w:hint="eastAsia" w:ascii="宋体" w:hAnsi="宋体" w:cs="宋体"/>
                <w:sz w:val="21"/>
                <w:szCs w:val="21"/>
              </w:rPr>
              <w:t>③资产处置是否规范；</w:t>
            </w:r>
            <w:r>
              <w:rPr>
                <w:rFonts w:hint="eastAsia" w:ascii="宋体" w:cs="宋体"/>
                <w:sz w:val="21"/>
                <w:szCs w:val="21"/>
              </w:rPr>
              <w:br w:type="textWrapping"/>
            </w:r>
            <w:r>
              <w:rPr>
                <w:rFonts w:hint="eastAsia" w:ascii="宋体" w:hAnsi="宋体" w:cs="宋体"/>
                <w:sz w:val="21"/>
                <w:szCs w:val="21"/>
              </w:rPr>
              <w:t>④资产账务管理是否合规，是否帐实相符；</w:t>
            </w:r>
            <w:r>
              <w:rPr>
                <w:rFonts w:hint="eastAsia" w:ascii="宋体" w:cs="宋体"/>
                <w:sz w:val="21"/>
                <w:szCs w:val="21"/>
              </w:rPr>
              <w:br w:type="textWrapping"/>
            </w:r>
            <w:r>
              <w:rPr>
                <w:rFonts w:hint="eastAsia" w:ascii="宋体" w:hAnsi="宋体" w:cs="宋体"/>
                <w:sz w:val="21"/>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固定资产</w:t>
            </w:r>
          </w:p>
          <w:p>
            <w:pPr>
              <w:spacing w:line="240" w:lineRule="exact"/>
              <w:jc w:val="center"/>
              <w:rPr>
                <w:rFonts w:hint="eastAsia" w:ascii="宋体" w:cs="宋体"/>
                <w:sz w:val="21"/>
                <w:szCs w:val="21"/>
              </w:rPr>
            </w:pPr>
            <w:r>
              <w:rPr>
                <w:rFonts w:hint="eastAsia" w:ascii="宋体" w:hAnsi="宋体" w:cs="宋体"/>
                <w:sz w:val="21"/>
                <w:szCs w:val="21"/>
              </w:rPr>
              <w:t>利用率（1分）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1</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部门实际在用固定资产总额与所有固定资产总额的比率，用以反映和考核部门固定资产使用效率程度。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固定资产利用率=（实际在用固定资产总额/所有固定资产总额）×100%。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r>
              <w:rPr>
                <w:rFonts w:hint="eastAsia" w:ascii="宋体" w:hAnsi="宋体" w:cs="宋体"/>
                <w:sz w:val="21"/>
                <w:szCs w:val="21"/>
              </w:rPr>
              <w:t>产   出（30分）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职责</w:t>
            </w:r>
            <w:r>
              <w:rPr>
                <w:rFonts w:hint="eastAsia" w:ascii="宋体" w:cs="宋体"/>
                <w:sz w:val="21"/>
                <w:szCs w:val="21"/>
              </w:rPr>
              <w:br w:type="textWrapping"/>
            </w:r>
            <w:r>
              <w:rPr>
                <w:rFonts w:hint="eastAsia" w:ascii="宋体" w:hAnsi="宋体" w:cs="宋体"/>
                <w:sz w:val="21"/>
                <w:szCs w:val="21"/>
              </w:rPr>
              <w:t>履行（30分）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实际</w:t>
            </w:r>
          </w:p>
          <w:p>
            <w:pPr>
              <w:spacing w:line="240" w:lineRule="exact"/>
              <w:jc w:val="center"/>
              <w:rPr>
                <w:rFonts w:hint="eastAsia" w:ascii="宋体" w:hAnsi="宋体" w:cs="宋体"/>
                <w:sz w:val="21"/>
                <w:szCs w:val="21"/>
              </w:rPr>
            </w:pPr>
            <w:r>
              <w:rPr>
                <w:rFonts w:hint="eastAsia" w:ascii="宋体" w:hAnsi="宋体" w:cs="宋体"/>
                <w:sz w:val="21"/>
                <w:szCs w:val="21"/>
              </w:rPr>
              <w:t>完成率</w:t>
            </w:r>
          </w:p>
          <w:p>
            <w:pPr>
              <w:spacing w:line="240" w:lineRule="exact"/>
              <w:jc w:val="center"/>
              <w:rPr>
                <w:rFonts w:hint="eastAsia" w:ascii="宋体" w:cs="宋体"/>
                <w:sz w:val="21"/>
                <w:szCs w:val="21"/>
              </w:rPr>
            </w:pPr>
            <w:r>
              <w:rPr>
                <w:rFonts w:hint="eastAsia" w:ascii="宋体" w:hAnsi="宋体" w:cs="宋体"/>
                <w:sz w:val="21"/>
                <w:szCs w:val="21"/>
              </w:rPr>
              <w:t>（8分）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7</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部门履行职责而实际完成工作数与计划工作数的比率，用以反映和考核部门履职工作任务目标的实现程度。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实际完成率=（实际完成工作数/计划工作数）×100%。</w:t>
            </w:r>
            <w:r>
              <w:rPr>
                <w:rFonts w:hint="eastAsia" w:ascii="宋体" w:cs="宋体"/>
                <w:sz w:val="21"/>
                <w:szCs w:val="21"/>
              </w:rPr>
              <w:br w:type="textWrapping"/>
            </w:r>
            <w:r>
              <w:rPr>
                <w:rFonts w:hint="eastAsia" w:ascii="宋体" w:hAnsi="宋体" w:cs="宋体"/>
                <w:sz w:val="21"/>
                <w:szCs w:val="21"/>
              </w:rPr>
              <w:t>实际完成工作数：一定时期（年度或规划期）内部门实际完成工作任务的数量。</w:t>
            </w:r>
            <w:r>
              <w:rPr>
                <w:rFonts w:hint="eastAsia" w:ascii="宋体" w:cs="宋体"/>
                <w:sz w:val="21"/>
                <w:szCs w:val="21"/>
              </w:rPr>
              <w:br w:type="textWrapping"/>
            </w:r>
            <w:r>
              <w:rPr>
                <w:rFonts w:hint="eastAsia" w:ascii="宋体" w:hAnsi="宋体" w:cs="宋体"/>
                <w:sz w:val="21"/>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spacing w:line="240" w:lineRule="exact"/>
              <w:ind w:left="113"/>
              <w:jc w:val="center"/>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jc w:val="center"/>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完成</w:t>
            </w:r>
          </w:p>
          <w:p>
            <w:pPr>
              <w:spacing w:line="240" w:lineRule="exact"/>
              <w:jc w:val="center"/>
              <w:rPr>
                <w:rFonts w:hint="eastAsia" w:ascii="宋体" w:hAnsi="宋体" w:cs="宋体"/>
                <w:sz w:val="21"/>
                <w:szCs w:val="21"/>
              </w:rPr>
            </w:pPr>
            <w:r>
              <w:rPr>
                <w:rFonts w:hint="eastAsia" w:ascii="宋体" w:hAnsi="宋体" w:cs="宋体"/>
                <w:sz w:val="21"/>
                <w:szCs w:val="21"/>
              </w:rPr>
              <w:t>及时率</w:t>
            </w:r>
          </w:p>
          <w:p>
            <w:pPr>
              <w:spacing w:line="240" w:lineRule="exact"/>
              <w:jc w:val="center"/>
              <w:rPr>
                <w:rFonts w:hint="eastAsia" w:ascii="宋体" w:cs="宋体"/>
                <w:sz w:val="21"/>
                <w:szCs w:val="21"/>
              </w:rPr>
            </w:pPr>
            <w:r>
              <w:rPr>
                <w:rFonts w:hint="eastAsia" w:ascii="宋体" w:hAnsi="宋体" w:cs="宋体"/>
                <w:sz w:val="21"/>
                <w:szCs w:val="21"/>
              </w:rPr>
              <w:t>（4分）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3</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部门在规定时限内及时完成的实际工作数与计划工作数的比率,用以反映和考核部门履职时效目标的实现程度。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完成及时率=（及时完成实际工作数/计划工作数）×100%。</w:t>
            </w:r>
            <w:r>
              <w:rPr>
                <w:rFonts w:hint="eastAsia" w:ascii="宋体" w:cs="宋体"/>
                <w:sz w:val="21"/>
                <w:szCs w:val="21"/>
              </w:rPr>
              <w:br w:type="textWrapping"/>
            </w:r>
            <w:r>
              <w:rPr>
                <w:rFonts w:hint="eastAsia" w:ascii="宋体" w:hAnsi="宋体" w:cs="宋体"/>
                <w:sz w:val="21"/>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质量</w:t>
            </w:r>
          </w:p>
          <w:p>
            <w:pPr>
              <w:spacing w:line="240" w:lineRule="exact"/>
              <w:jc w:val="center"/>
              <w:rPr>
                <w:rFonts w:hint="eastAsia" w:ascii="宋体" w:hAnsi="宋体" w:cs="宋体"/>
                <w:sz w:val="21"/>
                <w:szCs w:val="21"/>
              </w:rPr>
            </w:pPr>
            <w:r>
              <w:rPr>
                <w:rFonts w:hint="eastAsia" w:ascii="宋体" w:hAnsi="宋体" w:cs="宋体"/>
                <w:sz w:val="21"/>
                <w:szCs w:val="21"/>
              </w:rPr>
              <w:t>达标率</w:t>
            </w:r>
          </w:p>
          <w:p>
            <w:pPr>
              <w:spacing w:line="240" w:lineRule="exact"/>
              <w:jc w:val="center"/>
              <w:rPr>
                <w:rFonts w:hint="eastAsia" w:ascii="宋体" w:cs="宋体"/>
                <w:sz w:val="21"/>
                <w:szCs w:val="21"/>
              </w:rPr>
            </w:pPr>
            <w:r>
              <w:rPr>
                <w:rFonts w:hint="eastAsia" w:ascii="宋体" w:hAnsi="宋体" w:cs="宋体"/>
                <w:sz w:val="21"/>
                <w:szCs w:val="21"/>
              </w:rPr>
              <w:t>（8分）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6</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达到质量标准（绩效标准值）的实际工作数与计划工作数的比率,用以反映和考核部门履职质量目标的实现程度。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质量达标率=（质量达标实际工作数/计划工作数）×100%。</w:t>
            </w:r>
            <w:r>
              <w:rPr>
                <w:rFonts w:hint="eastAsia" w:ascii="宋体" w:cs="宋体"/>
                <w:sz w:val="21"/>
                <w:szCs w:val="21"/>
              </w:rPr>
              <w:br w:type="textWrapping"/>
            </w:r>
            <w:r>
              <w:rPr>
                <w:rFonts w:hint="eastAsia" w:ascii="宋体" w:hAnsi="宋体" w:cs="宋体"/>
                <w:sz w:val="21"/>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重点工作</w:t>
            </w:r>
          </w:p>
          <w:p>
            <w:pPr>
              <w:spacing w:line="240" w:lineRule="exact"/>
              <w:jc w:val="center"/>
              <w:rPr>
                <w:rFonts w:hint="eastAsia" w:ascii="宋体" w:cs="宋体"/>
                <w:sz w:val="21"/>
                <w:szCs w:val="21"/>
              </w:rPr>
            </w:pPr>
            <w:r>
              <w:rPr>
                <w:rFonts w:hint="eastAsia" w:ascii="宋体" w:hAnsi="宋体" w:cs="宋体"/>
                <w:sz w:val="21"/>
                <w:szCs w:val="21"/>
              </w:rPr>
              <w:t>办结率（10分）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9</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部门年度重点工作实际完成数与交办或下达数的比率，用以反映部门对重点工作的办理落实程度。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重点工作办结率=（重点工作实际完成数/交办或下达数）×100%。</w:t>
            </w:r>
            <w:r>
              <w:rPr>
                <w:rFonts w:hint="eastAsia" w:ascii="宋体" w:cs="宋体"/>
                <w:sz w:val="21"/>
                <w:szCs w:val="21"/>
              </w:rPr>
              <w:br w:type="textWrapping"/>
            </w:r>
            <w:r>
              <w:rPr>
                <w:rFonts w:hint="eastAsia" w:ascii="宋体" w:hAnsi="宋体" w:cs="宋体"/>
                <w:sz w:val="21"/>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tcBorders>
              <w:top w:val="single" w:color="auto" w:sz="4" w:space="0"/>
              <w:left w:val="single" w:color="auto" w:sz="4" w:space="0"/>
              <w:bottom w:val="single" w:color="auto" w:sz="4" w:space="0"/>
              <w:right w:val="single" w:color="auto" w:sz="4" w:space="0"/>
              <w:tl2br w:val="nil"/>
              <w:tr2bl w:val="nil"/>
            </w:tcBorders>
            <w:noWrap/>
            <w:tcMar>
              <w:top w:w="10" w:type="dxa"/>
              <w:left w:w="10" w:type="dxa"/>
              <w:bottom w:w="0" w:type="dxa"/>
              <w:right w:w="10" w:type="dxa"/>
            </w:tcMar>
            <w:textDirection w:val="tbRlV"/>
            <w:vAlign w:val="center"/>
          </w:tcPr>
          <w:p>
            <w:pPr>
              <w:spacing w:line="240" w:lineRule="exact"/>
              <w:jc w:val="center"/>
              <w:rPr>
                <w:rFonts w:hint="eastAsia" w:ascii="宋体" w:cs="宋体"/>
                <w:sz w:val="21"/>
                <w:szCs w:val="21"/>
              </w:rPr>
            </w:pPr>
            <w:r>
              <w:rPr>
                <w:rFonts w:hint="eastAsia" w:ascii="宋体" w:hAnsi="宋体" w:cs="宋体"/>
                <w:sz w:val="21"/>
                <w:szCs w:val="21"/>
              </w:rPr>
              <w:t>效   果（20分）</w:t>
            </w:r>
          </w:p>
        </w:tc>
        <w:tc>
          <w:tcPr>
            <w:tcW w:w="375"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履职</w:t>
            </w:r>
            <w:r>
              <w:rPr>
                <w:rFonts w:hint="eastAsia" w:ascii="宋体" w:cs="宋体"/>
                <w:sz w:val="21"/>
                <w:szCs w:val="21"/>
              </w:rPr>
              <w:br w:type="textWrapping"/>
            </w:r>
            <w:r>
              <w:rPr>
                <w:rFonts w:hint="eastAsia" w:ascii="宋体" w:hAnsi="宋体" w:cs="宋体"/>
                <w:sz w:val="21"/>
                <w:szCs w:val="21"/>
              </w:rPr>
              <w:t>效益（20分）</w:t>
            </w: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经济效益（5分）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部门履行职责对经济发展所带来的直接或间接影响。</w:t>
            </w:r>
          </w:p>
        </w:tc>
        <w:tc>
          <w:tcPr>
            <w:tcW w:w="1867" w:type="pct"/>
            <w:vMerge w:val="restar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社会效益（5分）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部门履行职责对社会发展所带来的直接或间接影响。</w:t>
            </w:r>
          </w:p>
        </w:tc>
        <w:tc>
          <w:tcPr>
            <w:tcW w:w="1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ind w:left="105" w:leftChars="50" w:right="105" w:rightChars="50"/>
              <w:rPr>
                <w:rFonts w:hint="eastAsia"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生态效益（5分）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部门履行职责对生态环境所带来的直接或间接影响。</w:t>
            </w:r>
          </w:p>
        </w:tc>
        <w:tc>
          <w:tcPr>
            <w:tcW w:w="186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ind w:left="105" w:leftChars="50" w:right="105" w:rightChars="50"/>
              <w:rPr>
                <w:rFonts w:hint="eastAsia"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37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r>
              <w:rPr>
                <w:rFonts w:hint="eastAsia" w:ascii="宋体" w:hAnsi="宋体" w:cs="宋体"/>
                <w:sz w:val="21"/>
                <w:szCs w:val="21"/>
              </w:rPr>
              <w:t>社会公众</w:t>
            </w:r>
          </w:p>
          <w:p>
            <w:pPr>
              <w:spacing w:line="240" w:lineRule="exact"/>
              <w:jc w:val="center"/>
              <w:rPr>
                <w:rFonts w:hint="eastAsia" w:ascii="宋体" w:cs="宋体"/>
                <w:sz w:val="21"/>
                <w:szCs w:val="21"/>
              </w:rPr>
            </w:pPr>
            <w:r>
              <w:rPr>
                <w:rFonts w:hint="eastAsia" w:ascii="宋体" w:hAnsi="宋体" w:cs="宋体"/>
                <w:sz w:val="21"/>
                <w:szCs w:val="21"/>
              </w:rPr>
              <w:t>或服务对</w:t>
            </w:r>
          </w:p>
          <w:p>
            <w:pPr>
              <w:spacing w:line="240" w:lineRule="exact"/>
              <w:jc w:val="center"/>
              <w:rPr>
                <w:rFonts w:hint="eastAsia" w:ascii="宋体" w:cs="宋体"/>
                <w:sz w:val="21"/>
                <w:szCs w:val="21"/>
              </w:rPr>
            </w:pPr>
            <w:r>
              <w:rPr>
                <w:rFonts w:hint="eastAsia" w:ascii="宋体" w:hAnsi="宋体" w:cs="宋体"/>
                <w:sz w:val="21"/>
                <w:szCs w:val="21"/>
              </w:rPr>
              <w:t>象满意度（5分）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5</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r>
              <w:rPr>
                <w:rFonts w:hint="eastAsia" w:ascii="宋体" w:hAnsi="宋体" w:cs="宋体"/>
                <w:sz w:val="21"/>
                <w:szCs w:val="21"/>
              </w:rPr>
              <w:t>社会公众或部门的服务对象对部门履职效果的满意程度。</w:t>
            </w: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r>
              <w:rPr>
                <w:rFonts w:hint="eastAsia" w:ascii="宋体" w:hAnsi="宋体" w:cs="宋体"/>
                <w:sz w:val="21"/>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r>
              <w:rPr>
                <w:rFonts w:hint="eastAsia" w:ascii="宋体" w:hAnsi="宋体" w:cs="宋体"/>
                <w:sz w:val="21"/>
                <w:szCs w:val="21"/>
              </w:rPr>
              <w:t>总分</w:t>
            </w: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exact"/>
              <w:rPr>
                <w:rFonts w:hint="eastAsia" w:ascii="宋体" w:cs="宋体"/>
                <w:sz w:val="21"/>
                <w:szCs w:val="21"/>
              </w:rPr>
            </w:pPr>
          </w:p>
        </w:tc>
        <w:tc>
          <w:tcPr>
            <w:tcW w:w="500"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jc w:val="center"/>
              <w:rPr>
                <w:rFonts w:hint="eastAsia" w:ascii="宋体" w:cs="宋体"/>
                <w:sz w:val="21"/>
                <w:szCs w:val="21"/>
              </w:rPr>
            </w:pPr>
          </w:p>
        </w:tc>
        <w:tc>
          <w:tcPr>
            <w:tcW w:w="375" w:type="pct"/>
            <w:tcBorders>
              <w:top w:val="single" w:color="auto" w:sz="4" w:space="0"/>
              <w:left w:val="single" w:color="auto" w:sz="4" w:space="0"/>
              <w:bottom w:val="single" w:color="auto" w:sz="4" w:space="0"/>
              <w:right w:val="single" w:color="auto" w:sz="4" w:space="0"/>
              <w:tl2br w:val="nil"/>
              <w:tr2bl w:val="nil"/>
            </w:tcBorders>
            <w:noWrap w:val="0"/>
            <w:vAlign w:val="center"/>
          </w:tcPr>
          <w:p>
            <w:pPr>
              <w:tabs>
                <w:tab w:val="left" w:pos="2604"/>
              </w:tabs>
              <w:spacing w:line="240" w:lineRule="exact"/>
              <w:ind w:left="105" w:leftChars="50" w:right="105" w:rightChars="50" w:firstLine="96" w:firstLineChars="46"/>
              <w:jc w:val="center"/>
              <w:rPr>
                <w:rFonts w:hint="eastAsia" w:ascii="宋体" w:cs="宋体"/>
                <w:sz w:val="21"/>
                <w:szCs w:val="21"/>
              </w:rPr>
            </w:pPr>
            <w:r>
              <w:rPr>
                <w:rFonts w:hint="eastAsia" w:ascii="宋体" w:cs="宋体"/>
                <w:sz w:val="21"/>
                <w:szCs w:val="21"/>
              </w:rPr>
              <w:t>93</w:t>
            </w:r>
          </w:p>
        </w:tc>
        <w:tc>
          <w:tcPr>
            <w:tcW w:w="1576"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hint="eastAsia" w:ascii="宋体" w:cs="宋体"/>
                <w:sz w:val="21"/>
                <w:szCs w:val="21"/>
              </w:rPr>
            </w:pPr>
          </w:p>
        </w:tc>
        <w:tc>
          <w:tcPr>
            <w:tcW w:w="1867" w:type="pct"/>
            <w:tcBorders>
              <w:top w:val="single" w:color="auto" w:sz="4" w:space="0"/>
              <w:left w:val="single" w:color="auto" w:sz="4" w:space="0"/>
              <w:bottom w:val="single" w:color="auto" w:sz="4" w:space="0"/>
              <w:right w:val="single" w:color="auto" w:sz="4" w:space="0"/>
              <w:tl2br w:val="nil"/>
              <w:tr2bl w:val="nil"/>
            </w:tcBorders>
            <w:noWrap w:val="0"/>
            <w:tcMar>
              <w:top w:w="10" w:type="dxa"/>
              <w:left w:w="10" w:type="dxa"/>
              <w:bottom w:w="0" w:type="dxa"/>
              <w:right w:w="10" w:type="dxa"/>
            </w:tcMar>
            <w:vAlign w:val="center"/>
          </w:tcPr>
          <w:p>
            <w:pPr>
              <w:spacing w:line="240" w:lineRule="exact"/>
              <w:ind w:left="105" w:leftChars="50" w:right="105" w:rightChars="50"/>
              <w:rPr>
                <w:rFonts w:hint="eastAsia" w:ascii="宋体" w:cs="宋体"/>
                <w:sz w:val="21"/>
                <w:szCs w:val="21"/>
              </w:rPr>
            </w:pPr>
          </w:p>
        </w:tc>
      </w:tr>
    </w:tbl>
    <w:p>
      <w:pPr>
        <w:rPr>
          <w:rFonts w:hint="eastAsia"/>
          <w:sz w:val="21"/>
          <w:szCs w:val="21"/>
        </w:rPr>
      </w:pPr>
    </w:p>
    <w:p>
      <w:r>
        <w:rPr>
          <w:rFonts w:hint="eastAsia"/>
          <w:sz w:val="21"/>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384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sz w:val="21"/>
      <w:szCs w:val="24"/>
    </w:rPr>
  </w:style>
  <w:style w:type="paragraph" w:styleId="3">
    <w:name w:val="Normal (Web)"/>
    <w:basedOn w:val="1"/>
    <w:unhideWhenUsed/>
    <w:qFormat/>
    <w:uiPriority w:val="99"/>
    <w:pPr>
      <w:widowControl w:val="0"/>
      <w:jc w:val="left"/>
    </w:pPr>
    <w:rPr>
      <w:rFonts w:hint="eastAsia" w:ascii="Calibri" w:hAnsi="Calibri"/>
      <w:sz w:val="24"/>
      <w:szCs w:val="24"/>
    </w:rPr>
  </w:style>
  <w:style w:type="paragraph" w:customStyle="1" w:styleId="6">
    <w:name w:val="样式1"/>
    <w:basedOn w:val="1"/>
    <w:unhideWhenUsed/>
    <w:qFormat/>
    <w:uiPriority w:val="99"/>
    <w:pPr>
      <w:widowControl w:val="0"/>
    </w:pPr>
    <w:rPr>
      <w:rFonts w:hint="eastAsia" w:cs="Arial"/>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2023-06-17T13:49:01Z</dcterms:created>
  <dc:creator>admin-3</dc:creator>
  <cp:lastModifiedBy>admin-3</cp:lastModifiedBy>
  <dcterms:modified xsi:type="dcterms:W3CDTF">2023-06-17T13:50:00Z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05F6CB5B592F495A9229264A8E4C9710_12</vt:lpwstr>
  </property>
</Properties>
</file>