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36"/>
          <w:szCs w:val="36"/>
        </w:rPr>
      </w:pPr>
    </w:p>
    <w:p>
      <w:pPr>
        <w:spacing w:line="600" w:lineRule="exact"/>
        <w:jc w:val="center"/>
        <w:rPr>
          <w:rFonts w:hint="eastAsia" w:ascii="黑体" w:hAnsi="黑体" w:eastAsia="黑体" w:cs="黑体"/>
          <w:sz w:val="36"/>
          <w:szCs w:val="36"/>
        </w:rPr>
      </w:pPr>
      <w:r>
        <w:rPr>
          <w:rFonts w:hint="eastAsia" w:ascii="黑体" w:hAnsi="黑体" w:eastAsia="黑体" w:cs="黑体"/>
          <w:sz w:val="36"/>
          <w:szCs w:val="36"/>
        </w:rPr>
        <w:t>益阳市赫山区退役军人事务局</w:t>
      </w: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rPr>
        <w:t>2021年</w:t>
      </w:r>
      <w:r>
        <w:rPr>
          <w:rFonts w:hint="eastAsia" w:ascii="黑体" w:hAnsi="黑体" w:eastAsia="黑体" w:cs="黑体"/>
          <w:sz w:val="36"/>
          <w:szCs w:val="36"/>
          <w:lang w:val="en-US" w:eastAsia="zh-CN"/>
        </w:rPr>
        <w:t>度</w:t>
      </w:r>
      <w:r>
        <w:rPr>
          <w:rFonts w:hint="eastAsia" w:ascii="黑体" w:hAnsi="黑体" w:eastAsia="黑体" w:cs="黑体"/>
          <w:sz w:val="36"/>
          <w:szCs w:val="36"/>
        </w:rPr>
        <w:t>优抚对象抚恤补助项目支出绩效评价</w:t>
      </w:r>
      <w:r>
        <w:rPr>
          <w:rFonts w:hint="eastAsia" w:ascii="黑体" w:hAnsi="黑体" w:eastAsia="黑体" w:cs="黑体"/>
          <w:sz w:val="36"/>
          <w:szCs w:val="36"/>
          <w:lang w:val="en-US" w:eastAsia="zh-CN"/>
        </w:rPr>
        <w:t>报告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了全面实施财政资金预算绩效管理，切实提高财政资金使用效益，根据《赫山区财政局关于做好2021年度绩效自评工作的通知》（益赫财绩〔2022〕1）号文件精神，结合实际，现将益阳市赫山区退役军人事务局2021年优抚对象抚恤补助项目支出绩效评价报告如下：</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一、预算支出基本情况 </w:t>
      </w:r>
    </w:p>
    <w:p>
      <w:pPr>
        <w:spacing w:line="600" w:lineRule="exact"/>
        <w:ind w:left="120" w:firstLine="602" w:firstLineChars="200"/>
        <w:rPr>
          <w:rFonts w:ascii="仿宋" w:hAnsi="仿宋" w:eastAsia="仿宋" w:cs="仿宋"/>
          <w:b/>
          <w:bCs/>
          <w:sz w:val="30"/>
          <w:szCs w:val="30"/>
        </w:rPr>
      </w:pPr>
      <w:r>
        <w:rPr>
          <w:rFonts w:hint="eastAsia" w:ascii="仿宋" w:hAnsi="仿宋" w:eastAsia="仿宋" w:cs="仿宋"/>
          <w:b/>
          <w:bCs/>
          <w:sz w:val="30"/>
          <w:szCs w:val="30"/>
        </w:rPr>
        <w:t>（一）预算支出概况</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2021年，上级下达我单位优抚对象抚恤补助资金及医疗保障经费5438.15万元，其中：中央直达资金5071.95万元，省级补助资金366.2万元。</w:t>
      </w:r>
    </w:p>
    <w:p>
      <w:pPr>
        <w:spacing w:line="600" w:lineRule="exact"/>
        <w:ind w:left="120" w:firstLine="600" w:firstLineChars="200"/>
        <w:rPr>
          <w:rFonts w:ascii="仿宋" w:hAnsi="仿宋" w:eastAsia="仿宋" w:cs="仿宋"/>
          <w:sz w:val="30"/>
          <w:szCs w:val="30"/>
        </w:rPr>
      </w:pPr>
      <w:r>
        <w:rPr>
          <w:rFonts w:ascii="仿宋" w:hAnsi="仿宋" w:eastAsia="仿宋" w:cs="仿宋"/>
          <w:color w:val="000000"/>
          <w:sz w:val="30"/>
          <w:szCs w:val="30"/>
        </w:rPr>
        <w:t>2021年，发放</w:t>
      </w:r>
      <w:r>
        <w:rPr>
          <w:rFonts w:hint="eastAsia" w:ascii="仿宋" w:hAnsi="仿宋" w:eastAsia="仿宋" w:cs="仿宋"/>
          <w:color w:val="000000"/>
          <w:sz w:val="30"/>
          <w:szCs w:val="30"/>
        </w:rPr>
        <w:t>优抚对象抚恤</w:t>
      </w:r>
      <w:r>
        <w:rPr>
          <w:rFonts w:ascii="仿宋" w:hAnsi="仿宋" w:eastAsia="仿宋" w:cs="仿宋"/>
          <w:color w:val="000000"/>
          <w:sz w:val="30"/>
          <w:szCs w:val="30"/>
        </w:rPr>
        <w:t>补助资金</w:t>
      </w:r>
      <w:r>
        <w:rPr>
          <w:rFonts w:hint="eastAsia" w:ascii="仿宋" w:hAnsi="仿宋" w:eastAsia="仿宋" w:cs="仿宋"/>
          <w:sz w:val="30"/>
          <w:szCs w:val="30"/>
        </w:rPr>
        <w:t>及医疗保障经费7677.01万元，</w:t>
      </w:r>
      <w:r>
        <w:rPr>
          <w:rFonts w:ascii="仿宋" w:hAnsi="仿宋" w:eastAsia="仿宋" w:cs="仿宋"/>
          <w:color w:val="000000"/>
          <w:sz w:val="30"/>
          <w:szCs w:val="30"/>
        </w:rPr>
        <w:t>其中包含</w:t>
      </w:r>
      <w:r>
        <w:rPr>
          <w:rFonts w:hint="eastAsia" w:ascii="仿宋" w:hAnsi="仿宋" w:eastAsia="仿宋" w:cs="仿宋"/>
          <w:color w:val="000000"/>
          <w:sz w:val="30"/>
          <w:szCs w:val="30"/>
          <w:shd w:val="clear" w:color="auto" w:fill="FFFFFF"/>
        </w:rPr>
        <w:t>上述优抚对象抚恤补助资金5438.15万元（其中发放：优抚对象抚恤补助5179.33万元，优抚对象医疗保障经费258.82万元）。</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（二）预算资金使用管理情况</w:t>
      </w:r>
    </w:p>
    <w:p>
      <w:pPr>
        <w:pStyle w:val="3"/>
        <w:widowControl/>
        <w:shd w:val="clear" w:color="auto" w:fill="FFFFFF"/>
        <w:spacing w:before="0" w:beforeAutospacing="0" w:after="0" w:afterAutospacing="0" w:line="600" w:lineRule="exact"/>
        <w:ind w:firstLine="600" w:firstLineChars="200"/>
        <w:rPr>
          <w:rFonts w:ascii="仿宋" w:hAnsi="仿宋" w:eastAsia="仿宋" w:cs="仿宋"/>
          <w:color w:val="010101"/>
          <w:sz w:val="30"/>
          <w:szCs w:val="30"/>
          <w:shd w:val="clear" w:color="auto" w:fill="FFFFFF"/>
        </w:rPr>
      </w:pPr>
      <w:r>
        <w:rPr>
          <w:rFonts w:hint="eastAsia" w:ascii="仿宋" w:hAnsi="仿宋" w:eastAsia="仿宋" w:cs="仿宋"/>
          <w:color w:val="010101"/>
          <w:sz w:val="30"/>
          <w:szCs w:val="30"/>
          <w:shd w:val="clear" w:color="auto" w:fill="FFFFFF"/>
        </w:rPr>
        <w:t>根据民政部《伤残抚恤管理暂行办法》、湖南省《军人抚恤优待条例》等文件精神和《中华人民共和国预算法》的要求，对优抚专项资金的安排原则、支持范围和使用进行了规范，我局严格按照要求使用专项资金，财务制度健全，项目资金使用符合相关的财务管理制度规定，为保障资金的安全、规范运行而采取了必要的监控措施。</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w:t>
      </w:r>
      <w:r>
        <w:rPr>
          <w:rFonts w:hint="eastAsia" w:ascii="仿宋" w:hAnsi="仿宋" w:eastAsia="仿宋" w:cs="仿宋"/>
          <w:color w:val="000000"/>
          <w:kern w:val="0"/>
          <w:sz w:val="30"/>
          <w:szCs w:val="30"/>
          <w:shd w:val="clear" w:color="auto" w:fill="FFFFFF"/>
        </w:rPr>
        <w:t>优抚对象抚恤补助</w:t>
      </w:r>
      <w:r>
        <w:rPr>
          <w:rFonts w:hint="eastAsia" w:ascii="仿宋" w:hAnsi="仿宋" w:eastAsia="仿宋" w:cs="仿宋"/>
          <w:sz w:val="30"/>
          <w:szCs w:val="30"/>
        </w:rPr>
        <w:t xml:space="preserve">项目经费实行专款专用，项目补助支出均按相关的文件授权审批，资金拨付严格审批程序，使用规范，会计核算结果真实、准确。建立健全项目实施预算方案、财务管理制度和会计核算制度，有符合规定的法定票据，并由该项目分管负责人及主要负责人审核发放，我局根据退役军人工作总体布属和发展以及资金使用要求，将项目资金全部通过到“一卡通”发放到位，坚持“专款专用”的使用原则，保证了资金的使用绩效，没有截留、挤占或挪用项目资金的情况。。 </w:t>
      </w:r>
    </w:p>
    <w:p>
      <w:pPr>
        <w:widowControl/>
        <w:shd w:val="clear" w:color="auto" w:fill="FFFFFF"/>
        <w:spacing w:line="600" w:lineRule="exact"/>
        <w:ind w:firstLine="602" w:firstLineChars="200"/>
        <w:jc w:val="left"/>
        <w:rPr>
          <w:rFonts w:ascii="仿宋" w:hAnsi="仿宋" w:eastAsia="仿宋" w:cs="仿宋"/>
          <w:sz w:val="30"/>
          <w:szCs w:val="30"/>
        </w:rPr>
      </w:pPr>
      <w:r>
        <w:rPr>
          <w:rFonts w:hint="eastAsia" w:ascii="仿宋" w:hAnsi="仿宋" w:eastAsia="仿宋" w:cs="仿宋"/>
          <w:b/>
          <w:bCs/>
          <w:sz w:val="30"/>
          <w:szCs w:val="30"/>
        </w:rPr>
        <w:t>（三）预算支出绩效目标完成程度</w:t>
      </w:r>
    </w:p>
    <w:p>
      <w:pPr>
        <w:widowControl/>
        <w:shd w:val="clear" w:color="auto" w:fill="FFFFFF"/>
        <w:spacing w:line="600" w:lineRule="exact"/>
        <w:ind w:left="120" w:firstLine="600" w:firstLineChars="200"/>
        <w:jc w:val="left"/>
        <w:rPr>
          <w:rFonts w:ascii="微软雅黑" w:hAnsi="微软雅黑" w:eastAsia="微软雅黑" w:cs="微软雅黑"/>
          <w:color w:val="333333"/>
          <w:sz w:val="30"/>
          <w:szCs w:val="30"/>
        </w:rPr>
      </w:pPr>
      <w:r>
        <w:rPr>
          <w:rFonts w:ascii="仿宋" w:hAnsi="仿宋" w:eastAsia="仿宋" w:cs="仿宋"/>
          <w:color w:val="000000"/>
          <w:kern w:val="0"/>
          <w:sz w:val="30"/>
          <w:szCs w:val="30"/>
          <w:shd w:val="clear" w:color="auto" w:fill="FFFFFF"/>
        </w:rPr>
        <w:t>2021年，我单位积极履职，强化管理，较好地完成了年度工作目标。根据部门项目支出绩效评价指标体系，我单位2021年度</w:t>
      </w:r>
      <w:r>
        <w:rPr>
          <w:rFonts w:hint="eastAsia" w:ascii="仿宋" w:hAnsi="仿宋" w:eastAsia="仿宋" w:cs="仿宋"/>
          <w:color w:val="000000"/>
          <w:kern w:val="0"/>
          <w:sz w:val="30"/>
          <w:szCs w:val="30"/>
          <w:shd w:val="clear" w:color="auto" w:fill="FFFFFF"/>
        </w:rPr>
        <w:t>优抚对象抚恤补助</w:t>
      </w:r>
      <w:r>
        <w:rPr>
          <w:rFonts w:ascii="仿宋" w:hAnsi="仿宋" w:eastAsia="仿宋" w:cs="仿宋"/>
          <w:color w:val="000000"/>
          <w:kern w:val="0"/>
          <w:sz w:val="30"/>
          <w:szCs w:val="30"/>
          <w:shd w:val="clear" w:color="auto" w:fill="FFFFFF"/>
        </w:rPr>
        <w:t>项目资金绩效评价得分为</w:t>
      </w:r>
      <w:r>
        <w:rPr>
          <w:rFonts w:hint="eastAsia" w:ascii="仿宋" w:hAnsi="仿宋" w:eastAsia="仿宋" w:cs="仿宋"/>
          <w:color w:val="000000"/>
          <w:kern w:val="0"/>
          <w:sz w:val="30"/>
          <w:szCs w:val="30"/>
          <w:shd w:val="clear" w:color="auto" w:fill="FFFFFF"/>
        </w:rPr>
        <w:t>95</w:t>
      </w:r>
      <w:r>
        <w:rPr>
          <w:rFonts w:ascii="仿宋" w:hAnsi="仿宋" w:eastAsia="仿宋" w:cs="仿宋"/>
          <w:color w:val="000000"/>
          <w:kern w:val="0"/>
          <w:sz w:val="30"/>
          <w:szCs w:val="30"/>
          <w:shd w:val="clear" w:color="auto" w:fill="FFFFFF"/>
        </w:rPr>
        <w:t>分。</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二、绩效评价工作情况 </w:t>
      </w:r>
    </w:p>
    <w:p>
      <w:pPr>
        <w:spacing w:line="600" w:lineRule="exact"/>
        <w:ind w:left="120" w:firstLine="600" w:firstLineChars="200"/>
        <w:rPr>
          <w:rFonts w:ascii="黑体" w:hAnsi="黑体" w:eastAsia="黑体" w:cs="黑体"/>
          <w:sz w:val="30"/>
          <w:szCs w:val="30"/>
        </w:rPr>
      </w:pPr>
      <w:r>
        <w:rPr>
          <w:rFonts w:hint="eastAsia" w:ascii="仿宋" w:hAnsi="仿宋" w:eastAsia="仿宋" w:cs="仿宋"/>
          <w:color w:val="000000"/>
          <w:sz w:val="30"/>
          <w:szCs w:val="30"/>
          <w:shd w:val="clear" w:color="auto" w:fill="FFFFFF"/>
        </w:rPr>
        <w:t>项目采取自评方式，成立了区退役军人事务局项目绩效评价小组，按照上级下达的项目支出绩效评价指标体系，从决策、过程、产出、效益等方面开展自评工作。通过现场检查、核实，查阅相关资料，项目实施情况较好；经走访调查，满意度较高，产生了较好社会效益，达到了预期目标。项目绩效评价小组进行最后审核认定，并提出绩效评价报告。</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三、预算支出主要绩效及评价结论</w:t>
      </w:r>
    </w:p>
    <w:p>
      <w:pPr>
        <w:spacing w:line="600" w:lineRule="exact"/>
        <w:ind w:left="120"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一）严格按政策按时足额发放各类优抚对象生活补助和医疗保障经费。2021年，我区享受优抚待遇7635人，发放1-4季度优抚对象抚恤补助经费共计7418.19万元，各类优抚对象抚恤补助标准按规定执行率达100%，各类优抚对象满意度大于等于95%。</w:t>
      </w:r>
    </w:p>
    <w:p>
      <w:pPr>
        <w:spacing w:line="600" w:lineRule="exact"/>
        <w:ind w:left="120"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（二）解决优抚对象看病难的问题。大力开展优抚对象医疗保障工作，包括军转干部在内全年共投入258.82万元，进一步落实医疗补助，减轻优抚对象医疗困难。</w:t>
      </w:r>
    </w:p>
    <w:p>
      <w:pPr>
        <w:spacing w:line="600" w:lineRule="exact"/>
        <w:ind w:left="120" w:firstLine="600" w:firstLineChars="200"/>
        <w:rPr>
          <w:rFonts w:ascii="黑体" w:hAnsi="黑体" w:eastAsia="黑体" w:cs="黑体"/>
          <w:sz w:val="30"/>
          <w:szCs w:val="30"/>
        </w:rPr>
      </w:pPr>
      <w:r>
        <w:rPr>
          <w:rFonts w:ascii="仿宋" w:hAnsi="仿宋" w:eastAsia="仿宋" w:cs="仿宋"/>
          <w:color w:val="000000"/>
          <w:sz w:val="30"/>
          <w:szCs w:val="30"/>
          <w:shd w:val="clear" w:color="auto" w:fill="FFFFFF"/>
        </w:rPr>
        <w:t>此次自评认为，资金管理规范、使用安全，群众满意、社会反响好，</w:t>
      </w:r>
      <w:r>
        <w:rPr>
          <w:rFonts w:hint="eastAsia" w:ascii="仿宋" w:hAnsi="仿宋" w:eastAsia="仿宋" w:cs="仿宋"/>
          <w:color w:val="000000"/>
          <w:sz w:val="30"/>
          <w:szCs w:val="30"/>
        </w:rPr>
        <w:t>为维护社会稳定、社会和谐发挥了积极作用，取得了较好的社会效益。此次自评分96分，自评结论为“优”</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四、绩效评价指标分析 </w:t>
      </w:r>
    </w:p>
    <w:p>
      <w:pPr>
        <w:spacing w:line="600" w:lineRule="exact"/>
        <w:ind w:left="120" w:firstLine="602" w:firstLineChars="200"/>
        <w:rPr>
          <w:rFonts w:ascii="仿宋" w:hAnsi="仿宋" w:eastAsia="仿宋" w:cs="仿宋"/>
          <w:b/>
          <w:bCs/>
          <w:sz w:val="30"/>
          <w:szCs w:val="30"/>
        </w:rPr>
      </w:pPr>
      <w:r>
        <w:rPr>
          <w:rFonts w:hint="eastAsia" w:ascii="仿宋" w:hAnsi="仿宋" w:eastAsia="仿宋" w:cs="仿宋"/>
          <w:b/>
          <w:bCs/>
          <w:sz w:val="30"/>
          <w:szCs w:val="30"/>
        </w:rPr>
        <w:t>（一）预算支出决策情况</w:t>
      </w:r>
    </w:p>
    <w:p>
      <w:pPr>
        <w:spacing w:line="60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shd w:val="clear" w:color="auto" w:fill="FFFFFF"/>
        </w:rPr>
        <w:t>严格执行</w:t>
      </w:r>
      <w:r>
        <w:rPr>
          <w:rFonts w:hint="eastAsia" w:ascii="仿宋_GB2312" w:hAnsi="仿宋_GB2312" w:eastAsia="仿宋_GB2312" w:cs="仿宋_GB2312"/>
          <w:sz w:val="30"/>
          <w:szCs w:val="30"/>
        </w:rPr>
        <w:t>《湖南省实施（军人抚恤优优待条例）办法》、《优抚对象医疗保障办法》、《优抚对象抚恤补助资金使用管理办法》、《民政部、人力资源社会保障部、卫生部、财政部关于进一步加强优抚对象医疗保障工作的通知》、《民政部、财政部关于调整部分优抚对象抚恤补助标准的通知》</w:t>
      </w:r>
      <w:r>
        <w:rPr>
          <w:rFonts w:hint="eastAsia" w:ascii="仿宋" w:hAnsi="仿宋" w:eastAsia="仿宋" w:cs="仿宋"/>
          <w:color w:val="000000"/>
          <w:sz w:val="30"/>
          <w:szCs w:val="30"/>
        </w:rPr>
        <w:t>等相关要求。</w:t>
      </w:r>
    </w:p>
    <w:p>
      <w:pPr>
        <w:spacing w:line="600" w:lineRule="exact"/>
        <w:ind w:firstLine="600" w:firstLineChars="200"/>
        <w:rPr>
          <w:rFonts w:ascii="仿宋" w:hAnsi="仿宋" w:eastAsia="仿宋" w:cs="仿宋"/>
          <w:b/>
          <w:bCs/>
          <w:sz w:val="30"/>
          <w:szCs w:val="30"/>
        </w:rPr>
      </w:pPr>
      <w:r>
        <w:rPr>
          <w:rFonts w:hint="eastAsia" w:ascii="仿宋" w:hAnsi="仿宋" w:eastAsia="仿宋" w:cs="仿宋"/>
          <w:color w:val="000000"/>
          <w:sz w:val="30"/>
          <w:szCs w:val="30"/>
          <w:shd w:val="clear" w:color="auto" w:fill="FFFFFF"/>
        </w:rPr>
        <w:t>2021年，优抚对象抚恤补助资金支出决策符合法律法规、相关政策、发展规划以及部门职责，支出申请、拨付、发放符合相关要求，绩效目标设定依据充分，符合客观实际，绩效指标清晰、细化、可衡量。区财政局会同区退役军人事务局优化财政支出结构，科学合理编制预算，加强补助资金统筹使用，发挥补助资金合力，提升资金使用效益，有效保障伤残人员、“三属”人员、在乡复员军人、带病回乡退伍军人、60周岁以上农村籍退役士兵、烈士老年子女等优抚对象的生活，维护社会和谐稳定。</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b/>
          <w:bCs/>
          <w:sz w:val="30"/>
          <w:szCs w:val="30"/>
        </w:rPr>
        <w:t>预算执行过程情况</w:t>
      </w:r>
    </w:p>
    <w:p>
      <w:pPr>
        <w:spacing w:line="600" w:lineRule="exact"/>
        <w:ind w:left="120" w:firstLine="600" w:firstLineChars="200"/>
        <w:rPr>
          <w:rFonts w:ascii="仿宋" w:hAnsi="仿宋" w:eastAsia="仿宋" w:cs="仿宋"/>
          <w:sz w:val="30"/>
          <w:szCs w:val="30"/>
        </w:rPr>
      </w:pPr>
      <w:r>
        <w:rPr>
          <w:rFonts w:ascii="仿宋" w:hAnsi="仿宋" w:eastAsia="仿宋" w:cs="仿宋"/>
          <w:color w:val="000000"/>
          <w:sz w:val="30"/>
          <w:szCs w:val="30"/>
          <w:shd w:val="clear" w:color="auto" w:fill="FFFFFF"/>
        </w:rPr>
        <w:t>建章立制，规范资金使用与管理。详细制定了资金分配计划，建立健全了各项规章制度，规范了资金使用与管理。一是</w:t>
      </w:r>
      <w:r>
        <w:rPr>
          <w:rFonts w:hint="eastAsia" w:ascii="仿宋" w:hAnsi="仿宋" w:eastAsia="仿宋" w:cs="仿宋"/>
          <w:color w:val="000000"/>
          <w:sz w:val="30"/>
          <w:szCs w:val="30"/>
        </w:rPr>
        <w:t>严格资金分配，坚持资金分配的客观性，坚持每一笔资金分配都集体研究审议，杜绝主观随意性。二是</w:t>
      </w:r>
      <w:r>
        <w:rPr>
          <w:rFonts w:hint="eastAsia" w:ascii="仿宋" w:hAnsi="仿宋" w:eastAsia="仿宋" w:cs="仿宋"/>
          <w:color w:val="000000"/>
          <w:sz w:val="30"/>
          <w:szCs w:val="30"/>
          <w:shd w:val="clear" w:color="auto" w:fill="FFFFFF"/>
        </w:rPr>
        <w:t>严格执行国库集中支付制度，实行社会化发放，不存在截留、挤占、挪用、虚列支出等情况，</w:t>
      </w:r>
      <w:r>
        <w:rPr>
          <w:rFonts w:hint="eastAsia" w:ascii="仿宋" w:hAnsi="仿宋" w:eastAsia="仿宋" w:cs="仿宋"/>
          <w:color w:val="000000"/>
          <w:sz w:val="30"/>
          <w:szCs w:val="30"/>
        </w:rPr>
        <w:t>确保发放时效和资金安全。三是强化资金监管，实行政务公开公示，主动接受群众监督，同时积极接受和配合审计、纪检监察、财政部门的监督检查。</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b/>
          <w:bCs/>
          <w:sz w:val="30"/>
          <w:szCs w:val="30"/>
        </w:rPr>
        <w:t>预算支出产出情况</w:t>
      </w:r>
      <w:r>
        <w:rPr>
          <w:rFonts w:hint="eastAsia" w:ascii="仿宋" w:hAnsi="仿宋" w:eastAsia="仿宋" w:cs="仿宋"/>
          <w:sz w:val="30"/>
          <w:szCs w:val="30"/>
        </w:rPr>
        <w:t xml:space="preserve"> </w:t>
      </w:r>
    </w:p>
    <w:p>
      <w:pPr>
        <w:spacing w:line="600" w:lineRule="exact"/>
        <w:ind w:left="420" w:leftChars="200" w:firstLine="600" w:firstLineChars="2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2021年，我局按时足额发放7635名伤残人员、“三</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属”人员、在乡复员军人、带病回乡退伍军人、60周岁以上农村籍退役士兵、烈士老年子女等1-4季度补助7418.19万元，各类优抚对象抚恤补助标准按规定执行率达100%；支付优抚对象医疗保障金258.82万元，进一步落实医疗补助，减轻优抚对象医疗困难。</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（四）</w:t>
      </w:r>
      <w:r>
        <w:rPr>
          <w:rFonts w:hint="eastAsia" w:ascii="仿宋" w:hAnsi="仿宋" w:eastAsia="仿宋" w:cs="仿宋"/>
          <w:b/>
          <w:bCs/>
          <w:sz w:val="30"/>
          <w:szCs w:val="30"/>
        </w:rPr>
        <w:t>预算支出效益情况</w:t>
      </w:r>
      <w:r>
        <w:rPr>
          <w:rFonts w:hint="eastAsia" w:ascii="仿宋" w:hAnsi="仿宋" w:eastAsia="仿宋" w:cs="仿宋"/>
          <w:sz w:val="30"/>
          <w:szCs w:val="30"/>
        </w:rPr>
        <w:t xml:space="preserve"> </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维护国家安全社会和平，维护退役军人合法权益,解除适龄青年应征入伍后的后顾之忧,鼓舞部队土气,巩固国防,维护国家社会稳定，直接受益对象满意度≥95%。</w:t>
      </w:r>
    </w:p>
    <w:p>
      <w:pPr>
        <w:spacing w:line="600" w:lineRule="exact"/>
        <w:ind w:left="120" w:firstLine="600" w:firstLineChars="200"/>
        <w:rPr>
          <w:rFonts w:ascii="仿宋" w:hAnsi="仿宋" w:eastAsia="仿宋" w:cs="仿宋"/>
          <w:sz w:val="30"/>
          <w:szCs w:val="30"/>
        </w:rPr>
      </w:pPr>
      <w:r>
        <w:rPr>
          <w:rFonts w:hint="eastAsia" w:ascii="黑体" w:hAnsi="黑体" w:eastAsia="黑体" w:cs="黑体"/>
          <w:sz w:val="30"/>
          <w:szCs w:val="30"/>
        </w:rPr>
        <w:t>五、存在的问题</w:t>
      </w:r>
      <w:r>
        <w:rPr>
          <w:rFonts w:hint="eastAsia" w:ascii="仿宋" w:hAnsi="仿宋" w:eastAsia="仿宋" w:cs="仿宋"/>
          <w:sz w:val="30"/>
          <w:szCs w:val="30"/>
        </w:rPr>
        <w:t xml:space="preserve"> </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1.项目管理制度有待完善，项目管理需进一步规范。</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2.预算执行和绩效管理工作有待提高。</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3.会计基础工作需进一步提高质量，项目资金使用监管力度有待加强。</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 xml:space="preserve">六、有关建议 </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1.进一步加强单位内部各科室的预算管理意识，严格按照预算编制的相关制度和要求进行预算编制。</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2.加强财务管理，严格财务审核。加强单位财务管理，健全单位财务管理制度体系。</w:t>
      </w:r>
    </w:p>
    <w:p>
      <w:pPr>
        <w:spacing w:line="600" w:lineRule="exact"/>
        <w:ind w:left="120" w:firstLine="600" w:firstLineChars="200"/>
        <w:rPr>
          <w:rFonts w:ascii="黑体" w:hAnsi="黑体" w:eastAsia="黑体" w:cs="黑体"/>
          <w:sz w:val="30"/>
          <w:szCs w:val="30"/>
        </w:rPr>
      </w:pPr>
      <w:r>
        <w:rPr>
          <w:rFonts w:hint="eastAsia" w:ascii="仿宋" w:hAnsi="仿宋" w:eastAsia="仿宋" w:cs="仿宋"/>
          <w:sz w:val="30"/>
          <w:szCs w:val="30"/>
        </w:rPr>
        <w:t>3.对财务人员和业务经办人员加强培训，特别是针对《预算法》、《行政事业单位会计制度》等学习培训，规范部门预算收支核算，切实提高部门预算收支管理水平。</w:t>
      </w:r>
    </w:p>
    <w:p>
      <w:pPr>
        <w:spacing w:line="600" w:lineRule="exact"/>
        <w:ind w:left="120" w:firstLine="600" w:firstLineChars="200"/>
        <w:rPr>
          <w:rFonts w:ascii="黑体" w:hAnsi="黑体" w:eastAsia="黑体" w:cs="黑体"/>
          <w:sz w:val="30"/>
          <w:szCs w:val="30"/>
        </w:rPr>
      </w:pPr>
      <w:r>
        <w:rPr>
          <w:rFonts w:hint="eastAsia" w:ascii="黑体" w:hAnsi="黑体" w:eastAsia="黑体" w:cs="黑体"/>
          <w:sz w:val="30"/>
          <w:szCs w:val="30"/>
        </w:rPr>
        <w:t>七、其他需要说明的问题</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无。</w:t>
      </w:r>
    </w:p>
    <w:p>
      <w:pPr>
        <w:spacing w:line="600" w:lineRule="exact"/>
        <w:ind w:left="120" w:firstLine="600" w:firstLineChars="200"/>
        <w:rPr>
          <w:rFonts w:ascii="仿宋" w:hAnsi="仿宋" w:eastAsia="仿宋" w:cs="仿宋"/>
          <w:sz w:val="30"/>
          <w:szCs w:val="30"/>
        </w:rPr>
      </w:pPr>
      <w:r>
        <w:rPr>
          <w:rFonts w:hint="eastAsia" w:ascii="仿宋" w:hAnsi="仿宋" w:eastAsia="仿宋" w:cs="仿宋"/>
          <w:sz w:val="30"/>
          <w:szCs w:val="30"/>
        </w:rPr>
        <w:t>附件：益阳市赫山区退役军人事务局2021年项目支出绩效自评指标计分表</w:t>
      </w:r>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both"/>
        <w:rPr>
          <w:rFonts w:ascii="黑体" w:hAnsi="黑体" w:eastAsia="黑体" w:cs="黑体"/>
          <w:color w:val="333333"/>
          <w:sz w:val="28"/>
          <w:szCs w:val="28"/>
          <w:shd w:val="clear" w:color="auto" w:fill="FFFFFF"/>
        </w:rPr>
      </w:pPr>
      <w:bookmarkStart w:id="0" w:name="_GoBack"/>
      <w:bookmarkEnd w:id="0"/>
    </w:p>
    <w:p>
      <w:pPr>
        <w:spacing w:afterLines="50" w:line="400" w:lineRule="exact"/>
        <w:jc w:val="center"/>
        <w:rPr>
          <w:rFonts w:ascii="黑体" w:hAnsi="黑体" w:eastAsia="黑体" w:cs="黑体"/>
          <w:color w:val="333333"/>
          <w:sz w:val="28"/>
          <w:szCs w:val="28"/>
          <w:shd w:val="clear" w:color="auto" w:fill="FFFFFF"/>
        </w:rPr>
      </w:pPr>
    </w:p>
    <w:p>
      <w:pPr>
        <w:spacing w:afterLines="50" w:line="400" w:lineRule="exact"/>
        <w:jc w:val="center"/>
        <w:rPr>
          <w:rFonts w:ascii="黑体" w:hAnsi="黑体" w:eastAsia="黑体" w:cs="黑体"/>
          <w:sz w:val="28"/>
          <w:szCs w:val="28"/>
        </w:rPr>
      </w:pPr>
      <w:r>
        <w:rPr>
          <w:rFonts w:hint="eastAsia" w:ascii="黑体" w:hAnsi="黑体" w:eastAsia="黑体" w:cs="黑体"/>
          <w:color w:val="333333"/>
          <w:sz w:val="28"/>
          <w:szCs w:val="28"/>
          <w:shd w:val="clear" w:color="auto" w:fill="FFFFFF"/>
        </w:rPr>
        <w:t>益阳市赫山区退役军人事务局2021年项目支出绩效自评指标计分表</w:t>
      </w:r>
    </w:p>
    <w:tbl>
      <w:tblPr>
        <w:tblStyle w:val="4"/>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71"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5" w:type="dxa"/>
          </w:tcPr>
          <w:p>
            <w:pPr>
              <w:spacing w:line="240" w:lineRule="exact"/>
              <w:jc w:val="center"/>
              <w:rPr>
                <w:rFonts w:ascii="宋体"/>
                <w:b/>
                <w:bCs/>
              </w:rPr>
            </w:pPr>
            <w:r>
              <w:rPr>
                <w:rFonts w:hint="eastAsia" w:ascii="宋体" w:hAnsi="宋体" w:cs="宋体"/>
                <w:b/>
                <w:bCs/>
              </w:rPr>
              <w:t>自评分</w:t>
            </w:r>
          </w:p>
        </w:tc>
        <w:tc>
          <w:tcPr>
            <w:tcW w:w="2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9"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5" w:type="dxa"/>
          </w:tcPr>
          <w:p>
            <w:pPr>
              <w:spacing w:line="240" w:lineRule="exact"/>
              <w:ind w:left="105" w:leftChars="50" w:right="105" w:rightChars="50"/>
              <w:rPr>
                <w:rFonts w:ascii="宋体"/>
              </w:rPr>
            </w:pPr>
            <w:r>
              <w:rPr>
                <w:rFonts w:hint="eastAsia" w:ascii="宋体"/>
              </w:rPr>
              <w:t>96</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p>
        </w:tc>
      </w:tr>
    </w:tbl>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pPr>
        <w:spacing w:line="600" w:lineRule="exact"/>
        <w:ind w:firstLine="720" w:firstLineChars="200"/>
        <w:jc w:val="center"/>
        <w:rPr>
          <w:rFonts w:ascii="黑体" w:hAnsi="黑体" w:eastAsia="黑体" w:cs="黑体"/>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F16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Cs w:val="24"/>
    </w:r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2023-06-27T07:25:47Z</dcterms:created>
  <dc:creator>admin-3</dc:creator>
  <cp:lastModifiedBy>admin-3</cp:lastModifiedBy>
  <dcterms:modified xsi:type="dcterms:W3CDTF">2023-06-27T07:26:40Z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32F18D84E5FD429BAFD38AFEA470AB19_12</vt:lpwstr>
  </property>
</Properties>
</file>