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36"/>
          <w:szCs w:val="36"/>
          <w:lang w:val="en-US" w:eastAsia="zh-CN"/>
        </w:rPr>
      </w:pPr>
    </w:p>
    <w:p>
      <w:pPr>
        <w:spacing w:line="56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w:t>
      </w:r>
      <w:r>
        <w:rPr>
          <w:rFonts w:hint="eastAsia" w:ascii="黑体" w:hAnsi="黑体" w:eastAsia="黑体" w:cs="黑体"/>
          <w:sz w:val="36"/>
          <w:szCs w:val="36"/>
          <w:lang w:eastAsia="zh-CN"/>
        </w:rPr>
        <w:t>医疗保障局</w:t>
      </w:r>
      <w:r>
        <w:rPr>
          <w:rFonts w:hint="eastAsia" w:ascii="黑体" w:hAnsi="黑体" w:eastAsia="黑体" w:cs="黑体"/>
          <w:sz w:val="36"/>
          <w:szCs w:val="36"/>
        </w:rPr>
        <w:t>2021年</w:t>
      </w:r>
      <w:r>
        <w:rPr>
          <w:rFonts w:hint="eastAsia" w:ascii="黑体" w:hAnsi="黑体" w:eastAsia="黑体" w:cs="黑体"/>
          <w:sz w:val="36"/>
          <w:szCs w:val="36"/>
          <w:lang w:val="en-US" w:eastAsia="zh-CN"/>
        </w:rPr>
        <w:t>度</w:t>
      </w:r>
    </w:p>
    <w:p>
      <w:pPr>
        <w:spacing w:line="560" w:lineRule="exact"/>
        <w:jc w:val="center"/>
        <w:rPr>
          <w:rFonts w:ascii="方正小标宋简体" w:hAnsi="黑体" w:eastAsia="方正小标宋简体" w:cs="黑体"/>
          <w:sz w:val="44"/>
          <w:szCs w:val="44"/>
        </w:rPr>
      </w:pPr>
      <w:r>
        <w:rPr>
          <w:rFonts w:hint="eastAsia" w:ascii="黑体" w:hAnsi="黑体" w:eastAsia="黑体" w:cs="黑体"/>
          <w:sz w:val="36"/>
          <w:szCs w:val="36"/>
          <w:lang w:eastAsia="zh-CN"/>
        </w:rPr>
        <w:t>健康扶贫兜底资金项目</w:t>
      </w:r>
      <w:r>
        <w:rPr>
          <w:rFonts w:hint="eastAsia" w:ascii="黑体" w:hAnsi="黑体" w:eastAsia="黑体" w:cs="黑体"/>
          <w:sz w:val="36"/>
          <w:szCs w:val="36"/>
          <w:lang w:val="en-US" w:eastAsia="zh-CN"/>
        </w:rPr>
        <w:t>支出</w:t>
      </w:r>
      <w:r>
        <w:rPr>
          <w:rFonts w:hint="eastAsia" w:ascii="黑体" w:hAnsi="黑体" w:eastAsia="黑体" w:cs="黑体"/>
          <w:sz w:val="36"/>
          <w:szCs w:val="36"/>
        </w:rPr>
        <w:t>绩效评价自评报告</w:t>
      </w:r>
    </w:p>
    <w:p>
      <w:pPr>
        <w:spacing w:line="400" w:lineRule="exact"/>
        <w:rPr>
          <w:rFonts w:ascii="方正小标宋_GBK" w:hAnsi="方正小标宋_GBK" w:eastAsia="方正小标宋_GBK" w:cs="方正小标宋_GBK"/>
          <w:sz w:val="44"/>
          <w:szCs w:val="44"/>
        </w:rPr>
      </w:pPr>
    </w:p>
    <w:p>
      <w:pPr>
        <w:spacing w:line="560" w:lineRule="exact"/>
        <w:ind w:firstLine="640" w:firstLineChars="200"/>
        <w:rPr>
          <w:rFonts w:eastAsia="仿宋"/>
          <w:color w:val="000000"/>
          <w:sz w:val="32"/>
          <w:szCs w:val="32"/>
        </w:rPr>
      </w:pPr>
      <w:r>
        <w:rPr>
          <w:rFonts w:hAnsi="仿宋" w:eastAsia="仿宋"/>
          <w:color w:val="000000"/>
          <w:sz w:val="32"/>
          <w:szCs w:val="32"/>
        </w:rPr>
        <w:t>为深入贯彻落实《中共中央 国务院关于全面实施预算绩效管理的意见》精神，按照</w:t>
      </w:r>
      <w:r>
        <w:rPr>
          <w:rFonts w:hint="eastAsia" w:hAnsi="仿宋" w:eastAsia="仿宋"/>
          <w:color w:val="000000"/>
          <w:sz w:val="32"/>
          <w:szCs w:val="32"/>
        </w:rPr>
        <w:t>湖南省医疗保障局办公室</w:t>
      </w:r>
      <w:r>
        <w:rPr>
          <w:rFonts w:hint="eastAsia" w:ascii="仿宋" w:hAnsi="仿宋" w:eastAsia="仿宋" w:cs="仿宋"/>
          <w:sz w:val="32"/>
          <w:szCs w:val="32"/>
        </w:rPr>
        <w:t>《关于开展2021年医保转移支付绩效评价工作的通知</w:t>
      </w:r>
      <w:r>
        <w:rPr>
          <w:rFonts w:hint="eastAsia" w:hAnsi="仿宋" w:eastAsia="仿宋"/>
          <w:color w:val="000000"/>
          <w:sz w:val="32"/>
          <w:szCs w:val="32"/>
        </w:rPr>
        <w:t>》</w:t>
      </w:r>
      <w:r>
        <w:rPr>
          <w:rFonts w:hAnsi="仿宋" w:eastAsia="仿宋"/>
          <w:color w:val="000000"/>
          <w:sz w:val="32"/>
          <w:szCs w:val="32"/>
        </w:rPr>
        <w:t>文件</w:t>
      </w:r>
      <w:r>
        <w:rPr>
          <w:rFonts w:hint="eastAsia" w:hAnsi="仿宋" w:eastAsia="仿宋"/>
          <w:color w:val="000000"/>
          <w:sz w:val="32"/>
          <w:szCs w:val="32"/>
        </w:rPr>
        <w:t>要求</w:t>
      </w:r>
      <w:r>
        <w:rPr>
          <w:rFonts w:hAnsi="仿宋" w:eastAsia="仿宋"/>
          <w:color w:val="000000"/>
          <w:sz w:val="32"/>
          <w:szCs w:val="32"/>
        </w:rPr>
        <w:t>，我局对</w:t>
      </w:r>
      <w:r>
        <w:rPr>
          <w:rFonts w:hint="eastAsia" w:eastAsia="仿宋"/>
          <w:color w:val="000000"/>
          <w:sz w:val="32"/>
          <w:szCs w:val="32"/>
        </w:rPr>
        <w:t>2021</w:t>
      </w:r>
      <w:r>
        <w:rPr>
          <w:rFonts w:hAnsi="仿宋" w:eastAsia="仿宋"/>
          <w:color w:val="000000"/>
          <w:sz w:val="32"/>
          <w:szCs w:val="32"/>
        </w:rPr>
        <w:t>年</w:t>
      </w:r>
      <w:r>
        <w:rPr>
          <w:rFonts w:hint="eastAsia" w:hAnsi="仿宋" w:eastAsia="仿宋"/>
          <w:color w:val="000000"/>
          <w:sz w:val="32"/>
          <w:szCs w:val="32"/>
          <w:lang w:eastAsia="zh-CN"/>
        </w:rPr>
        <w:t>健康扶贫兜底资金</w:t>
      </w:r>
      <w:r>
        <w:rPr>
          <w:rFonts w:hAnsi="仿宋" w:eastAsia="仿宋"/>
          <w:color w:val="000000"/>
          <w:sz w:val="32"/>
          <w:szCs w:val="32"/>
        </w:rPr>
        <w:t>使用</w:t>
      </w:r>
      <w:r>
        <w:rPr>
          <w:rFonts w:hint="eastAsia" w:hAnsi="仿宋" w:eastAsia="仿宋"/>
          <w:color w:val="000000"/>
          <w:sz w:val="32"/>
          <w:szCs w:val="32"/>
        </w:rPr>
        <w:t>管理</w:t>
      </w:r>
      <w:r>
        <w:rPr>
          <w:rFonts w:hAnsi="仿宋" w:eastAsia="仿宋"/>
          <w:color w:val="000000"/>
          <w:sz w:val="32"/>
          <w:szCs w:val="32"/>
        </w:rPr>
        <w:t>情况和效果进行了认真的评估和总结，现将情况报告如下：</w:t>
      </w:r>
    </w:p>
    <w:p>
      <w:pPr>
        <w:numPr>
          <w:ilvl w:val="0"/>
          <w:numId w:val="1"/>
        </w:numPr>
        <w:spacing w:line="560" w:lineRule="exact"/>
        <w:ind w:firstLine="707" w:firstLineChars="221"/>
        <w:rPr>
          <w:rFonts w:ascii="黑体" w:hAnsi="黑体" w:eastAsia="黑体" w:cs="黑体"/>
          <w:sz w:val="32"/>
          <w:szCs w:val="32"/>
        </w:rPr>
      </w:pPr>
      <w:r>
        <w:rPr>
          <w:rFonts w:hint="eastAsia" w:ascii="黑体" w:hAnsi="黑体" w:eastAsia="黑体" w:cs="黑体"/>
          <w:sz w:val="32"/>
          <w:szCs w:val="32"/>
        </w:rPr>
        <w:t>基本情况</w:t>
      </w:r>
    </w:p>
    <w:p>
      <w:pPr>
        <w:numPr>
          <w:ilvl w:val="0"/>
          <w:numId w:val="2"/>
        </w:num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项目总体情况</w:t>
      </w:r>
    </w:p>
    <w:p>
      <w:pPr>
        <w:pStyle w:val="2"/>
        <w:spacing w:line="560" w:lineRule="exact"/>
        <w:ind w:firstLine="640" w:firstLineChars="200"/>
        <w:rPr>
          <w:rFonts w:hint="eastAsia" w:hAnsi="仿宋" w:eastAsia="仿宋"/>
          <w:color w:val="000000"/>
          <w:sz w:val="32"/>
          <w:szCs w:val="32"/>
        </w:rPr>
      </w:pPr>
      <w:r>
        <w:rPr>
          <w:rFonts w:hint="eastAsia" w:hAnsi="仿宋" w:eastAsia="仿宋"/>
          <w:color w:val="000000"/>
          <w:sz w:val="32"/>
          <w:szCs w:val="32"/>
        </w:rPr>
        <w:t>2021年我区健康扶贫兜底资金到位</w:t>
      </w:r>
      <w:r>
        <w:rPr>
          <w:rFonts w:hint="eastAsia" w:hAnsi="仿宋" w:eastAsia="仿宋"/>
          <w:color w:val="000000"/>
          <w:sz w:val="32"/>
          <w:szCs w:val="32"/>
          <w:lang w:val="en-US" w:eastAsia="zh-CN"/>
        </w:rPr>
        <w:t>400</w:t>
      </w:r>
      <w:r>
        <w:rPr>
          <w:rFonts w:hint="eastAsia" w:hAnsi="仿宋" w:eastAsia="仿宋"/>
          <w:color w:val="000000"/>
          <w:sz w:val="32"/>
          <w:szCs w:val="32"/>
        </w:rPr>
        <w:t>万元</w:t>
      </w:r>
      <w:r>
        <w:rPr>
          <w:rFonts w:hint="eastAsia" w:hAnsi="仿宋" w:eastAsia="仿宋"/>
          <w:color w:val="000000"/>
          <w:sz w:val="32"/>
          <w:szCs w:val="32"/>
          <w:lang w:eastAsia="zh-CN"/>
        </w:rPr>
        <w:t>主要用于城乡居民医疗保险救助支出</w:t>
      </w:r>
      <w:r>
        <w:rPr>
          <w:rFonts w:hint="eastAsia" w:hAnsi="仿宋" w:eastAsia="仿宋"/>
          <w:color w:val="000000"/>
          <w:sz w:val="32"/>
          <w:szCs w:val="32"/>
        </w:rPr>
        <w:t>，</w:t>
      </w:r>
      <w:r>
        <w:rPr>
          <w:rFonts w:hint="eastAsia" w:hAnsi="仿宋" w:eastAsia="仿宋"/>
          <w:color w:val="000000"/>
          <w:sz w:val="32"/>
          <w:szCs w:val="32"/>
          <w:lang w:eastAsia="zh-CN"/>
        </w:rPr>
        <w:t>通过</w:t>
      </w:r>
      <w:r>
        <w:rPr>
          <w:rFonts w:hint="eastAsia" w:hAnsi="仿宋" w:eastAsia="仿宋"/>
          <w:color w:val="000000"/>
          <w:sz w:val="32"/>
          <w:szCs w:val="32"/>
        </w:rPr>
        <w:t>覆盖城乡居民的基本医疗保险制度,扶贫对象人员根据实施计划可以得到医疗服务,减少医疗费用负担</w:t>
      </w:r>
      <w:r>
        <w:rPr>
          <w:rFonts w:hint="eastAsia" w:hAnsi="仿宋" w:eastAsia="仿宋"/>
          <w:color w:val="000000"/>
          <w:sz w:val="32"/>
          <w:szCs w:val="32"/>
          <w:lang w:eastAsia="zh-CN"/>
        </w:rPr>
        <w:t>和</w:t>
      </w:r>
      <w:r>
        <w:rPr>
          <w:rFonts w:hint="eastAsia" w:hAnsi="仿宋" w:eastAsia="仿宋"/>
          <w:color w:val="000000"/>
          <w:sz w:val="32"/>
          <w:szCs w:val="32"/>
        </w:rPr>
        <w:t>“因病引发的贫困和疾病导致重返贫困"</w:t>
      </w:r>
      <w:r>
        <w:rPr>
          <w:rFonts w:hint="eastAsia" w:hAnsi="仿宋" w:eastAsia="仿宋"/>
          <w:color w:val="000000"/>
          <w:sz w:val="32"/>
          <w:szCs w:val="32"/>
          <w:lang w:eastAsia="zh-CN"/>
        </w:rPr>
        <w:t>事件</w:t>
      </w:r>
      <w:r>
        <w:rPr>
          <w:rFonts w:hint="eastAsia" w:hAnsi="仿宋" w:eastAsia="仿宋"/>
          <w:color w:val="000000"/>
          <w:sz w:val="32"/>
          <w:szCs w:val="32"/>
        </w:rPr>
        <w:t>的发生;正确实施</w:t>
      </w:r>
      <w:r>
        <w:rPr>
          <w:rFonts w:hint="eastAsia" w:hAnsi="仿宋" w:eastAsia="仿宋"/>
          <w:color w:val="000000"/>
          <w:sz w:val="32"/>
          <w:szCs w:val="32"/>
          <w:lang w:eastAsia="zh-CN"/>
        </w:rPr>
        <w:t>、严格落实</w:t>
      </w:r>
      <w:r>
        <w:rPr>
          <w:rFonts w:hint="eastAsia" w:hAnsi="仿宋" w:eastAsia="仿宋"/>
          <w:color w:val="000000"/>
          <w:sz w:val="32"/>
          <w:szCs w:val="32"/>
        </w:rPr>
        <w:t>扶贫健康和扶贫优惠政策。</w:t>
      </w:r>
    </w:p>
    <w:p>
      <w:pPr>
        <w:spacing w:line="560" w:lineRule="exact"/>
        <w:ind w:firstLine="640" w:firstLineChars="200"/>
        <w:rPr>
          <w:rFonts w:hAnsi="仿宋" w:eastAsia="仿宋"/>
          <w:color w:val="000000"/>
          <w:sz w:val="32"/>
          <w:szCs w:val="32"/>
        </w:rPr>
      </w:pPr>
      <w:r>
        <w:rPr>
          <w:rFonts w:hint="eastAsia" w:hAnsi="仿宋" w:eastAsia="仿宋"/>
          <w:color w:val="000000"/>
          <w:sz w:val="32"/>
          <w:szCs w:val="32"/>
        </w:rPr>
        <w:t>（二）项目绩效目标</w:t>
      </w:r>
    </w:p>
    <w:p>
      <w:pPr>
        <w:spacing w:line="560" w:lineRule="exact"/>
        <w:ind w:firstLine="640" w:firstLineChars="200"/>
        <w:rPr>
          <w:rFonts w:hAnsi="仿宋" w:eastAsia="仿宋"/>
          <w:color w:val="000000"/>
          <w:sz w:val="32"/>
          <w:szCs w:val="32"/>
        </w:rPr>
      </w:pPr>
      <w:r>
        <w:rPr>
          <w:rFonts w:hint="eastAsia" w:hAnsi="仿宋" w:eastAsia="仿宋"/>
          <w:color w:val="000000"/>
          <w:sz w:val="32"/>
          <w:szCs w:val="32"/>
        </w:rPr>
        <w:t>1、年度总体目标</w:t>
      </w:r>
    </w:p>
    <w:p>
      <w:pPr>
        <w:pStyle w:val="2"/>
        <w:numPr>
          <w:ilvl w:val="0"/>
          <w:numId w:val="3"/>
        </w:numPr>
        <w:spacing w:line="560" w:lineRule="exact"/>
        <w:ind w:firstLine="640" w:firstLineChars="200"/>
        <w:rPr>
          <w:rFonts w:hAnsi="仿宋" w:eastAsia="仿宋"/>
          <w:color w:val="000000"/>
          <w:sz w:val="32"/>
          <w:szCs w:val="32"/>
        </w:rPr>
      </w:pPr>
      <w:r>
        <w:rPr>
          <w:rFonts w:hint="eastAsia" w:hAnsi="仿宋" w:eastAsia="仿宋"/>
          <w:color w:val="000000"/>
          <w:sz w:val="32"/>
          <w:szCs w:val="32"/>
        </w:rPr>
        <w:t>巩固参保率。</w:t>
      </w:r>
    </w:p>
    <w:p>
      <w:pPr>
        <w:pStyle w:val="3"/>
        <w:numPr>
          <w:ilvl w:val="0"/>
          <w:numId w:val="3"/>
        </w:numPr>
        <w:spacing w:line="560" w:lineRule="exact"/>
        <w:ind w:left="0" w:firstLine="640" w:firstLineChars="200"/>
        <w:rPr>
          <w:rFonts w:hAnsi="仿宋" w:eastAsia="仿宋"/>
          <w:color w:val="000000"/>
          <w:sz w:val="32"/>
          <w:szCs w:val="32"/>
        </w:rPr>
      </w:pPr>
      <w:r>
        <w:rPr>
          <w:rFonts w:hint="eastAsia" w:hAnsi="仿宋" w:eastAsia="仿宋"/>
          <w:color w:val="000000"/>
          <w:sz w:val="32"/>
          <w:szCs w:val="32"/>
        </w:rPr>
        <w:t xml:space="preserve">稳步提高保障水平。 </w:t>
      </w:r>
    </w:p>
    <w:p>
      <w:pPr>
        <w:spacing w:line="560" w:lineRule="exact"/>
        <w:ind w:firstLine="640" w:firstLineChars="200"/>
        <w:rPr>
          <w:rFonts w:hAnsi="仿宋" w:eastAsia="仿宋"/>
          <w:color w:val="000000"/>
          <w:sz w:val="32"/>
          <w:szCs w:val="32"/>
        </w:rPr>
      </w:pPr>
      <w:r>
        <w:rPr>
          <w:rFonts w:hint="eastAsia" w:hAnsi="仿宋" w:eastAsia="仿宋"/>
          <w:color w:val="000000"/>
          <w:sz w:val="32"/>
          <w:szCs w:val="32"/>
        </w:rPr>
        <w:t xml:space="preserve">（3）实现基金收支平衡。  </w:t>
      </w:r>
    </w:p>
    <w:tbl>
      <w:tblPr>
        <w:tblStyle w:val="8"/>
        <w:tblpPr w:leftFromText="180" w:rightFromText="180" w:vertAnchor="text" w:horzAnchor="margin" w:tblpXSpec="center" w:tblpY="976"/>
        <w:tblOverlap w:val="never"/>
        <w:tblW w:w="9617" w:type="dxa"/>
        <w:jc w:val="center"/>
        <w:tblLayout w:type="autofit"/>
        <w:tblCellMar>
          <w:top w:w="0" w:type="dxa"/>
          <w:left w:w="108" w:type="dxa"/>
          <w:bottom w:w="0" w:type="dxa"/>
          <w:right w:w="108" w:type="dxa"/>
        </w:tblCellMar>
      </w:tblPr>
      <w:tblGrid>
        <w:gridCol w:w="756"/>
        <w:gridCol w:w="1408"/>
        <w:gridCol w:w="2057"/>
        <w:gridCol w:w="3777"/>
        <w:gridCol w:w="1619"/>
      </w:tblGrid>
      <w:tr>
        <w:tblPrEx>
          <w:tblCellMar>
            <w:top w:w="0" w:type="dxa"/>
            <w:left w:w="108" w:type="dxa"/>
            <w:bottom w:w="0" w:type="dxa"/>
            <w:right w:w="108" w:type="dxa"/>
          </w:tblCellMar>
        </w:tblPrEx>
        <w:trPr>
          <w:trHeight w:val="6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绩效</w:t>
            </w:r>
          </w:p>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二级指标</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三级指标</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标准值</w:t>
            </w:r>
          </w:p>
        </w:tc>
      </w:tr>
      <w:tr>
        <w:tblPrEx>
          <w:tblCellMar>
            <w:top w:w="0" w:type="dxa"/>
            <w:left w:w="108" w:type="dxa"/>
            <w:bottom w:w="0" w:type="dxa"/>
            <w:right w:w="108" w:type="dxa"/>
          </w:tblCellMar>
        </w:tblPrEx>
        <w:trPr>
          <w:trHeight w:val="39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项目</w:t>
            </w:r>
          </w:p>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产出</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数量指标</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参保人数（人）</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≥680010人</w:t>
            </w:r>
          </w:p>
        </w:tc>
      </w:tr>
      <w:tr>
        <w:tblPrEx>
          <w:tblCellMar>
            <w:top w:w="0" w:type="dxa"/>
            <w:left w:w="108" w:type="dxa"/>
            <w:bottom w:w="0" w:type="dxa"/>
            <w:right w:w="108" w:type="dxa"/>
          </w:tblCellMar>
        </w:tblPrEx>
        <w:trPr>
          <w:trHeight w:val="39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各级财政补助标准（元）</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≥580元</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质量指标</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以户籍人口为基础计算的基本医保综合参保率（%）</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≥95%</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以常住人口为基数计算的基本医保综合参保率（%）</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≥95%</w:t>
            </w:r>
          </w:p>
        </w:tc>
      </w:tr>
      <w:tr>
        <w:tblPrEx>
          <w:tblCellMar>
            <w:top w:w="0" w:type="dxa"/>
            <w:left w:w="108" w:type="dxa"/>
            <w:bottom w:w="0" w:type="dxa"/>
            <w:right w:w="108" w:type="dxa"/>
          </w:tblCellMar>
        </w:tblPrEx>
        <w:trPr>
          <w:trHeight w:val="5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重复参保人数（人）</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0</w:t>
            </w:r>
          </w:p>
        </w:tc>
      </w:tr>
      <w:tr>
        <w:tblPrEx>
          <w:tblCellMar>
            <w:top w:w="0" w:type="dxa"/>
            <w:left w:w="108" w:type="dxa"/>
            <w:bottom w:w="0" w:type="dxa"/>
            <w:right w:w="108" w:type="dxa"/>
          </w:tblCellMar>
        </w:tblPrEx>
        <w:trPr>
          <w:trHeight w:val="5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虚报参保人数（人）</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0</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参保人政策范围内住院费用报销比（%）</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≥65%</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参保人住院费用实际报销比（%）</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≥50%</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实行按病种（组）、按人头付费等支付方式改革</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逐步推开</w:t>
            </w:r>
          </w:p>
        </w:tc>
      </w:tr>
      <w:tr>
        <w:tblPrEx>
          <w:tblCellMar>
            <w:top w:w="0" w:type="dxa"/>
            <w:left w:w="108" w:type="dxa"/>
            <w:bottom w:w="0" w:type="dxa"/>
            <w:right w:w="108" w:type="dxa"/>
          </w:tblCellMar>
        </w:tblPrEx>
        <w:trPr>
          <w:trHeight w:val="5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开展门诊统筹</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普遍开展</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基金缴存结余可支付月数（月）</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≥6-9月</w:t>
            </w:r>
          </w:p>
        </w:tc>
      </w:tr>
      <w:tr>
        <w:tblPrEx>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时效指标</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当年各级财政补助资金到位率（%）</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w:t>
            </w:r>
          </w:p>
        </w:tc>
      </w:tr>
      <w:tr>
        <w:tblPrEx>
          <w:tblCellMar>
            <w:top w:w="0" w:type="dxa"/>
            <w:left w:w="108" w:type="dxa"/>
            <w:bottom w:w="0" w:type="dxa"/>
            <w:right w:w="108" w:type="dxa"/>
          </w:tblCellMar>
        </w:tblPrEx>
        <w:trPr>
          <w:trHeight w:val="5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项目效益</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服务对象满意度</w:t>
            </w: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工作满意度</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w:t>
            </w:r>
          </w:p>
        </w:tc>
      </w:tr>
      <w:tr>
        <w:tblPrEx>
          <w:tblCellMar>
            <w:top w:w="0" w:type="dxa"/>
            <w:left w:w="108" w:type="dxa"/>
            <w:bottom w:w="0" w:type="dxa"/>
            <w:right w:w="108" w:type="dxa"/>
          </w:tblCellMar>
        </w:tblPrEx>
        <w:trPr>
          <w:trHeight w:val="52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 w:val="28"/>
                <w:szCs w:val="28"/>
              </w:rPr>
            </w:pPr>
          </w:p>
        </w:tc>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color w:val="000000"/>
                <w:sz w:val="28"/>
                <w:szCs w:val="28"/>
              </w:rPr>
            </w:pPr>
          </w:p>
        </w:tc>
        <w:tc>
          <w:tcPr>
            <w:tcW w:w="37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政策知晓率</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w:t>
            </w:r>
          </w:p>
        </w:tc>
      </w:tr>
    </w:tbl>
    <w:p>
      <w:pPr>
        <w:pStyle w:val="2"/>
        <w:spacing w:line="560" w:lineRule="exact"/>
        <w:ind w:firstLine="640" w:firstLineChars="200"/>
        <w:rPr>
          <w:rFonts w:hAnsi="仿宋" w:eastAsia="仿宋"/>
          <w:color w:val="000000"/>
          <w:sz w:val="32"/>
          <w:szCs w:val="32"/>
        </w:rPr>
      </w:pPr>
      <w:r>
        <w:rPr>
          <w:rFonts w:hint="eastAsia" w:hAnsi="仿宋" w:eastAsia="仿宋"/>
          <w:color w:val="000000"/>
          <w:sz w:val="32"/>
          <w:szCs w:val="32"/>
        </w:rPr>
        <w:t>2、具体绩效目标</w:t>
      </w:r>
    </w:p>
    <w:p>
      <w:pPr>
        <w:pStyle w:val="3"/>
        <w:spacing w:line="100" w:lineRule="exact"/>
        <w:ind w:left="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numPr>
          <w:ilvl w:val="0"/>
          <w:numId w:val="4"/>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评价目的、对象和范围</w:t>
      </w:r>
    </w:p>
    <w:p>
      <w:pPr>
        <w:pStyle w:val="2"/>
        <w:spacing w:line="600" w:lineRule="exact"/>
        <w:ind w:firstLine="640" w:firstLineChars="200"/>
      </w:pPr>
      <w:r>
        <w:rPr>
          <w:rFonts w:hint="eastAsia" w:ascii="仿宋_GB2312" w:hAnsi="宋体" w:eastAsia="仿宋_GB2312" w:cs="宋体"/>
          <w:bCs/>
          <w:sz w:val="32"/>
          <w:szCs w:val="32"/>
        </w:rPr>
        <w:t>通过对2021年</w:t>
      </w:r>
      <w:r>
        <w:rPr>
          <w:rFonts w:hint="eastAsia" w:ascii="仿宋_GB2312" w:hAnsi="宋体" w:eastAsia="仿宋_GB2312" w:cs="宋体"/>
          <w:bCs/>
          <w:sz w:val="32"/>
          <w:szCs w:val="32"/>
          <w:lang w:eastAsia="zh-CN"/>
        </w:rPr>
        <w:t>健康扶贫兜底资金</w:t>
      </w:r>
      <w:r>
        <w:rPr>
          <w:rFonts w:hint="eastAsia" w:ascii="仿宋_GB2312" w:hAnsi="宋体" w:eastAsia="仿宋_GB2312" w:cs="宋体"/>
          <w:bCs/>
          <w:sz w:val="32"/>
          <w:szCs w:val="32"/>
        </w:rPr>
        <w:t>的绩效评价，加强预算绩效管理，强化支出责任，建立科学、合理的医保转移支付绩效评价管理体系，提高转移支付资金使用效益。</w:t>
      </w:r>
    </w:p>
    <w:p>
      <w:pPr>
        <w:pStyle w:val="5"/>
        <w:spacing w:line="600" w:lineRule="exact"/>
        <w:ind w:firstLine="643"/>
        <w:rPr>
          <w:rFonts w:ascii="仿宋_GB2312" w:hAnsi="宋体" w:eastAsia="仿宋_GB2312" w:cs="宋体"/>
          <w:b w:val="0"/>
          <w:bCs/>
          <w:sz w:val="32"/>
          <w:szCs w:val="32"/>
        </w:rPr>
      </w:pPr>
      <w:bookmarkStart w:id="0" w:name="_Toc16182"/>
      <w:r>
        <w:rPr>
          <w:rFonts w:hint="eastAsia" w:ascii="仿宋_GB2312" w:hAnsi="宋体" w:eastAsia="仿宋_GB2312" w:cs="宋体"/>
          <w:b w:val="0"/>
          <w:bCs/>
          <w:sz w:val="32"/>
          <w:szCs w:val="32"/>
        </w:rPr>
        <w:t>（二）评价方法和评价等次</w:t>
      </w:r>
      <w:bookmarkEnd w:id="0"/>
    </w:p>
    <w:p>
      <w:pPr>
        <w:adjustRightInd w:val="0"/>
        <w:snapToGrid w:val="0"/>
        <w:spacing w:line="600" w:lineRule="exact"/>
        <w:ind w:firstLine="643"/>
        <w:rPr>
          <w:rFonts w:ascii="仿宋_GB2312" w:hAnsi="宋体" w:eastAsia="仿宋_GB2312" w:cs="宋体"/>
          <w:bCs/>
          <w:sz w:val="32"/>
          <w:szCs w:val="32"/>
        </w:rPr>
      </w:pPr>
      <w:r>
        <w:rPr>
          <w:rFonts w:hint="eastAsia" w:ascii="仿宋_GB2312" w:hAnsi="宋体" w:eastAsia="仿宋_GB2312" w:cs="宋体"/>
          <w:bCs/>
          <w:sz w:val="32"/>
          <w:szCs w:val="32"/>
        </w:rPr>
        <w:t>1.评价方法。本次评价采用以百分制进行量化打分,满分100分。</w:t>
      </w:r>
    </w:p>
    <w:p>
      <w:pPr>
        <w:adjustRightInd w:val="0"/>
        <w:snapToGrid w:val="0"/>
        <w:spacing w:line="600" w:lineRule="exact"/>
        <w:ind w:firstLine="643"/>
        <w:rPr>
          <w:rFonts w:ascii="仿宋_GB2312" w:hAnsi="宋体" w:eastAsia="仿宋_GB2312" w:cs="宋体"/>
          <w:bCs/>
          <w:sz w:val="32"/>
          <w:szCs w:val="32"/>
        </w:rPr>
      </w:pPr>
      <w:r>
        <w:rPr>
          <w:rFonts w:hint="eastAsia" w:ascii="仿宋_GB2312" w:hAnsi="宋体" w:eastAsia="仿宋_GB2312" w:cs="宋体"/>
          <w:bCs/>
          <w:sz w:val="32"/>
          <w:szCs w:val="32"/>
        </w:rPr>
        <w:t>2.评价等次。根据评价得分(S)分值,确定相应的评价等次。评价等次分为优秀(S≥90)、良好(90&gt;S≥80)、中等(80&gt;S≥60)、差(S&lt;60)四个评价等次。</w:t>
      </w:r>
    </w:p>
    <w:p>
      <w:pPr>
        <w:pStyle w:val="5"/>
        <w:spacing w:line="600" w:lineRule="exact"/>
        <w:ind w:firstLine="643"/>
        <w:rPr>
          <w:rFonts w:ascii="仿宋_GB2312" w:hAnsi="宋体" w:eastAsia="仿宋_GB2312" w:cs="宋体"/>
          <w:b w:val="0"/>
          <w:bCs/>
          <w:sz w:val="32"/>
          <w:szCs w:val="32"/>
        </w:rPr>
      </w:pPr>
      <w:bookmarkStart w:id="1" w:name="_Toc29938"/>
      <w:r>
        <w:rPr>
          <w:rFonts w:hint="eastAsia" w:ascii="仿宋_GB2312" w:hAnsi="宋体" w:eastAsia="仿宋_GB2312" w:cs="宋体"/>
          <w:b w:val="0"/>
          <w:bCs/>
          <w:sz w:val="32"/>
          <w:szCs w:val="32"/>
        </w:rPr>
        <w:t>（三）指标体系设置</w:t>
      </w:r>
      <w:bookmarkEnd w:id="1"/>
    </w:p>
    <w:p>
      <w:pPr>
        <w:adjustRightInd w:val="0"/>
        <w:snapToGrid w:val="0"/>
        <w:spacing w:before="156" w:beforeLines="50" w:after="156" w:afterLines="50" w:line="60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按照《医保转移支付资金绩效评价工作手册》，</w:t>
      </w:r>
      <w:r>
        <w:rPr>
          <w:rFonts w:hint="eastAsia" w:ascii="仿宋_GB2312" w:hAnsi="宋体" w:eastAsia="仿宋_GB2312" w:cs="宋体"/>
          <w:bCs/>
          <w:sz w:val="32"/>
          <w:szCs w:val="32"/>
          <w:lang w:eastAsia="zh-CN"/>
        </w:rPr>
        <w:t>健康扶贫兜底资金</w:t>
      </w:r>
      <w:r>
        <w:rPr>
          <w:rFonts w:hint="eastAsia" w:ascii="仿宋_GB2312" w:hAnsi="宋体" w:eastAsia="仿宋_GB2312" w:cs="宋体"/>
          <w:bCs/>
          <w:sz w:val="32"/>
          <w:szCs w:val="32"/>
        </w:rPr>
        <w:t>绩效评价指标体系，设置一级指标4个、二级指标10个、三级指标30个（其中定量指标</w:t>
      </w:r>
      <w:r>
        <w:rPr>
          <w:rFonts w:ascii="仿宋_GB2312" w:hAnsi="宋体" w:eastAsia="仿宋_GB2312" w:cs="宋体"/>
          <w:bCs/>
          <w:sz w:val="32"/>
          <w:szCs w:val="32"/>
        </w:rPr>
        <w:t>13</w:t>
      </w:r>
      <w:r>
        <w:rPr>
          <w:rFonts w:hint="eastAsia" w:ascii="仿宋_GB2312" w:hAnsi="宋体" w:eastAsia="仿宋_GB2312" w:cs="宋体"/>
          <w:bCs/>
          <w:sz w:val="32"/>
          <w:szCs w:val="32"/>
        </w:rPr>
        <w:t>个、定性指标17个）。</w:t>
      </w:r>
    </w:p>
    <w:p>
      <w:pPr>
        <w:pStyle w:val="4"/>
        <w:spacing w:line="600" w:lineRule="exact"/>
        <w:ind w:firstLine="643"/>
        <w:rPr>
          <w:rFonts w:ascii="仿宋_GB2312" w:hAnsi="宋体" w:eastAsia="仿宋_GB2312" w:cs="宋体"/>
          <w:b w:val="0"/>
          <w:bCs/>
          <w:kern w:val="2"/>
          <w:sz w:val="32"/>
          <w:szCs w:val="32"/>
        </w:rPr>
      </w:pPr>
      <w:bookmarkStart w:id="2" w:name="_Toc19531"/>
      <w:r>
        <w:rPr>
          <w:rFonts w:hint="eastAsia" w:ascii="仿宋_GB2312" w:hAnsi="宋体" w:eastAsia="仿宋_GB2312" w:cs="宋体"/>
          <w:b w:val="0"/>
          <w:bCs/>
          <w:kern w:val="2"/>
          <w:sz w:val="32"/>
          <w:szCs w:val="32"/>
        </w:rPr>
        <w:t>三、绩效评价结论</w:t>
      </w:r>
      <w:bookmarkEnd w:id="2"/>
    </w:p>
    <w:p>
      <w:pPr>
        <w:pStyle w:val="5"/>
        <w:spacing w:line="600" w:lineRule="exact"/>
        <w:ind w:firstLine="643"/>
        <w:rPr>
          <w:rFonts w:ascii="仿宋_GB2312" w:hAnsi="宋体" w:eastAsia="仿宋_GB2312" w:cs="宋体"/>
          <w:b w:val="0"/>
          <w:bCs/>
          <w:sz w:val="32"/>
          <w:szCs w:val="32"/>
        </w:rPr>
      </w:pPr>
      <w:r>
        <w:rPr>
          <w:rFonts w:hint="eastAsia" w:ascii="仿宋_GB2312" w:hAnsi="宋体" w:eastAsia="仿宋_GB2312" w:cs="宋体"/>
          <w:b w:val="0"/>
          <w:bCs/>
          <w:sz w:val="32"/>
          <w:szCs w:val="32"/>
        </w:rPr>
        <w:t>（一）评价得分</w:t>
      </w:r>
    </w:p>
    <w:p>
      <w:pPr>
        <w:spacing w:line="600" w:lineRule="exact"/>
        <w:ind w:firstLine="640"/>
        <w:rPr>
          <w:rFonts w:ascii="仿宋_GB2312" w:hAnsi="宋体" w:eastAsia="仿宋_GB2312" w:cs="宋体"/>
          <w:bCs/>
          <w:sz w:val="32"/>
          <w:szCs w:val="32"/>
        </w:rPr>
      </w:pPr>
      <w:r>
        <w:rPr>
          <w:rFonts w:hint="eastAsia" w:ascii="仿宋_GB2312" w:hAnsi="宋体" w:eastAsia="仿宋_GB2312" w:cs="宋体"/>
          <w:bCs/>
          <w:sz w:val="32"/>
          <w:szCs w:val="32"/>
        </w:rPr>
        <w:t>经评价，赫山区2021年</w:t>
      </w:r>
      <w:r>
        <w:rPr>
          <w:rFonts w:hint="eastAsia" w:ascii="仿宋_GB2312" w:hAnsi="宋体" w:eastAsia="仿宋_GB2312" w:cs="宋体"/>
          <w:bCs/>
          <w:sz w:val="32"/>
          <w:szCs w:val="32"/>
          <w:lang w:eastAsia="zh-CN"/>
        </w:rPr>
        <w:t>健康扶贫兜底资金</w:t>
      </w:r>
      <w:r>
        <w:rPr>
          <w:rFonts w:hint="eastAsia" w:ascii="仿宋_GB2312" w:hAnsi="宋体" w:eastAsia="仿宋_GB2312" w:cs="宋体"/>
          <w:bCs/>
          <w:sz w:val="32"/>
          <w:szCs w:val="32"/>
        </w:rPr>
        <w:t>绩效评价得分99 分，绩效评定等级为“优秀”。</w:t>
      </w:r>
    </w:p>
    <w:p>
      <w:pPr>
        <w:spacing w:line="600" w:lineRule="exact"/>
        <w:ind w:firstLine="643"/>
        <w:jc w:val="both"/>
        <w:outlineLvl w:val="1"/>
        <w:rPr>
          <w:rFonts w:ascii="仿宋_GB2312" w:hAnsi="宋体" w:eastAsia="仿宋_GB2312" w:cs="宋体"/>
          <w:bCs/>
          <w:sz w:val="32"/>
          <w:szCs w:val="32"/>
        </w:rPr>
      </w:pPr>
      <w:bookmarkStart w:id="3" w:name="_Toc16263"/>
      <w:r>
        <w:rPr>
          <w:rFonts w:hint="eastAsia" w:ascii="仿宋_GB2312" w:hAnsi="宋体" w:eastAsia="仿宋_GB2312" w:cs="宋体"/>
          <w:bCs/>
          <w:sz w:val="32"/>
          <w:szCs w:val="32"/>
        </w:rPr>
        <w:t>赫山区医保局2021年</w:t>
      </w:r>
      <w:bookmarkEnd w:id="3"/>
      <w:r>
        <w:rPr>
          <w:rFonts w:hint="eastAsia" w:ascii="仿宋_GB2312" w:hAnsi="宋体" w:eastAsia="仿宋_GB2312" w:cs="宋体"/>
          <w:bCs/>
          <w:sz w:val="32"/>
          <w:szCs w:val="32"/>
          <w:lang w:eastAsia="zh-CN"/>
        </w:rPr>
        <w:t>健康扶贫兜底资金</w:t>
      </w:r>
      <w:bookmarkStart w:id="4" w:name="_Toc29312"/>
      <w:r>
        <w:rPr>
          <w:rFonts w:hint="eastAsia" w:ascii="仿宋_GB2312" w:hAnsi="宋体" w:eastAsia="仿宋_GB2312" w:cs="宋体"/>
          <w:bCs/>
          <w:sz w:val="32"/>
          <w:szCs w:val="32"/>
        </w:rPr>
        <w:t>绩效评价得分一览表</w:t>
      </w:r>
      <w:bookmarkEnd w:id="4"/>
    </w:p>
    <w:tbl>
      <w:tblPr>
        <w:tblStyle w:val="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64"/>
        <w:gridCol w:w="3261"/>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评价内容</w:t>
            </w:r>
          </w:p>
        </w:tc>
        <w:tc>
          <w:tcPr>
            <w:tcW w:w="3261"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分值</w:t>
            </w:r>
          </w:p>
        </w:tc>
        <w:tc>
          <w:tcPr>
            <w:tcW w:w="301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pStyle w:val="6"/>
              <w:adjustRightInd w:val="0"/>
              <w:snapToGrid w:val="0"/>
              <w:spacing w:line="596" w:lineRule="exact"/>
              <w:ind w:firstLine="0"/>
              <w:jc w:val="center"/>
              <w:rPr>
                <w:rFonts w:ascii="Times New Roman" w:hAnsi="Times New Roman" w:cs="Times New Roman"/>
                <w:bCs/>
                <w:sz w:val="28"/>
                <w:szCs w:val="28"/>
              </w:rPr>
            </w:pPr>
            <w:r>
              <w:rPr>
                <w:rFonts w:ascii="Times New Roman" w:hAnsi="Times New Roman" w:cs="Times New Roman"/>
                <w:bCs/>
                <w:sz w:val="28"/>
                <w:szCs w:val="28"/>
              </w:rPr>
              <w:t>项目决策</w:t>
            </w:r>
          </w:p>
        </w:tc>
        <w:tc>
          <w:tcPr>
            <w:tcW w:w="3261"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20</w:t>
            </w:r>
          </w:p>
        </w:tc>
        <w:tc>
          <w:tcPr>
            <w:tcW w:w="3014" w:type="dxa"/>
            <w:noWrap w:val="0"/>
            <w:vAlign w:val="center"/>
          </w:tcPr>
          <w:p>
            <w:pPr>
              <w:adjustRightInd w:val="0"/>
              <w:snapToGrid w:val="0"/>
              <w:spacing w:line="596" w:lineRule="exact"/>
              <w:jc w:val="center"/>
              <w:rPr>
                <w:rFonts w:ascii="Times New Roman" w:hAnsi="Times New Roman" w:eastAsia="仿宋_GB2312" w:cs="Times New Roman"/>
                <w:bCs/>
                <w:sz w:val="28"/>
                <w:szCs w:val="28"/>
              </w:rPr>
            </w:pPr>
            <w:r>
              <w:rPr>
                <w:rFonts w:hint="eastAsia" w:ascii="Times New Roman" w:hAnsi="Times New Roman" w:cs="Times New Roman"/>
                <w:bCs/>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过程管理</w:t>
            </w:r>
          </w:p>
        </w:tc>
        <w:tc>
          <w:tcPr>
            <w:tcW w:w="3261" w:type="dxa"/>
            <w:noWrap w:val="0"/>
            <w:vAlign w:val="center"/>
          </w:tcPr>
          <w:p>
            <w:pPr>
              <w:adjustRightInd w:val="0"/>
              <w:snapToGrid w:val="0"/>
              <w:spacing w:line="596" w:lineRule="exact"/>
              <w:jc w:val="center"/>
              <w:rPr>
                <w:rFonts w:hint="eastAsia" w:ascii="Times New Roman" w:hAnsi="Times New Roman" w:eastAsia="宋体" w:cs="Times New Roman"/>
                <w:bCs/>
                <w:sz w:val="28"/>
                <w:szCs w:val="28"/>
                <w:lang w:val="en-US" w:eastAsia="zh-CN"/>
              </w:rPr>
            </w:pPr>
            <w:r>
              <w:rPr>
                <w:rFonts w:ascii="Times New Roman" w:hAnsi="Times New Roman" w:cs="Times New Roman"/>
                <w:bCs/>
                <w:sz w:val="28"/>
                <w:szCs w:val="28"/>
              </w:rPr>
              <w:t>2</w:t>
            </w:r>
            <w:r>
              <w:rPr>
                <w:rFonts w:hint="eastAsia" w:ascii="Times New Roman" w:hAnsi="Times New Roman" w:cs="Times New Roman"/>
                <w:bCs/>
                <w:sz w:val="28"/>
                <w:szCs w:val="28"/>
                <w:lang w:val="en-US" w:eastAsia="zh-CN"/>
              </w:rPr>
              <w:t>0</w:t>
            </w:r>
          </w:p>
        </w:tc>
        <w:tc>
          <w:tcPr>
            <w:tcW w:w="3014" w:type="dxa"/>
            <w:noWrap w:val="0"/>
            <w:vAlign w:val="center"/>
          </w:tcPr>
          <w:p>
            <w:pPr>
              <w:adjustRightInd w:val="0"/>
              <w:snapToGrid w:val="0"/>
              <w:spacing w:line="596" w:lineRule="exact"/>
              <w:jc w:val="center"/>
              <w:rPr>
                <w:rFonts w:hint="eastAsia" w:ascii="Times New Roman" w:hAnsi="Times New Roman" w:eastAsia="宋体" w:cs="Times New Roman"/>
                <w:bCs/>
                <w:sz w:val="28"/>
                <w:szCs w:val="28"/>
                <w:lang w:val="en-US" w:eastAsia="zh-CN"/>
              </w:rPr>
            </w:pPr>
            <w:r>
              <w:rPr>
                <w:rFonts w:hint="eastAsia" w:ascii="Times New Roman" w:hAnsi="Times New Roman" w:cs="Times New Roman"/>
                <w:bCs/>
                <w:sz w:val="28"/>
                <w:szCs w:val="28"/>
              </w:rPr>
              <w:t>2</w:t>
            </w:r>
            <w:r>
              <w:rPr>
                <w:rFonts w:hint="eastAsia" w:ascii="Times New Roman" w:hAnsi="Times New Roman" w:cs="Times New Roman"/>
                <w:bCs/>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项目产出</w:t>
            </w:r>
          </w:p>
        </w:tc>
        <w:tc>
          <w:tcPr>
            <w:tcW w:w="3261" w:type="dxa"/>
            <w:noWrap w:val="0"/>
            <w:vAlign w:val="center"/>
          </w:tcPr>
          <w:p>
            <w:pPr>
              <w:adjustRightInd w:val="0"/>
              <w:snapToGrid w:val="0"/>
              <w:spacing w:line="596" w:lineRule="exact"/>
              <w:jc w:val="center"/>
              <w:rPr>
                <w:rFonts w:hint="eastAsia" w:ascii="Times New Roman" w:hAnsi="Times New Roman" w:eastAsia="宋体" w:cs="Times New Roman"/>
                <w:bCs/>
                <w:sz w:val="28"/>
                <w:szCs w:val="28"/>
                <w:lang w:val="en-US" w:eastAsia="zh-CN"/>
              </w:rPr>
            </w:pPr>
            <w:r>
              <w:rPr>
                <w:rFonts w:hint="eastAsia" w:ascii="Times New Roman" w:hAnsi="Times New Roman" w:cs="Times New Roman"/>
                <w:bCs/>
                <w:sz w:val="28"/>
                <w:szCs w:val="28"/>
              </w:rPr>
              <w:t>4</w:t>
            </w:r>
            <w:r>
              <w:rPr>
                <w:rFonts w:hint="eastAsia" w:ascii="Times New Roman" w:hAnsi="Times New Roman" w:cs="Times New Roman"/>
                <w:bCs/>
                <w:sz w:val="28"/>
                <w:szCs w:val="28"/>
                <w:lang w:val="en-US" w:eastAsia="zh-CN"/>
              </w:rPr>
              <w:t>0</w:t>
            </w:r>
          </w:p>
        </w:tc>
        <w:tc>
          <w:tcPr>
            <w:tcW w:w="3014" w:type="dxa"/>
            <w:noWrap w:val="0"/>
            <w:vAlign w:val="center"/>
          </w:tcPr>
          <w:p>
            <w:pPr>
              <w:pStyle w:val="2"/>
              <w:jc w:val="center"/>
              <w:rPr>
                <w:rFonts w:hint="default" w:eastAsia="宋体"/>
                <w:lang w:val="en-US" w:eastAsia="zh-CN"/>
              </w:rPr>
            </w:pPr>
            <w:r>
              <w:rPr>
                <w:rFonts w:hint="eastAsia" w:ascii="Times New Roman" w:hAnsi="Times New Roman" w:eastAsia="宋体" w:cs="Times New Roman"/>
                <w:bCs/>
                <w:kern w:val="2"/>
                <w:sz w:val="28"/>
                <w:szCs w:val="28"/>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项目效益</w:t>
            </w:r>
          </w:p>
        </w:tc>
        <w:tc>
          <w:tcPr>
            <w:tcW w:w="3261" w:type="dxa"/>
            <w:noWrap w:val="0"/>
            <w:vAlign w:val="center"/>
          </w:tcPr>
          <w:p>
            <w:pPr>
              <w:adjustRightInd w:val="0"/>
              <w:snapToGrid w:val="0"/>
              <w:spacing w:line="596" w:lineRule="exact"/>
              <w:jc w:val="center"/>
              <w:rPr>
                <w:rFonts w:hint="default" w:ascii="Times New Roman" w:hAnsi="Times New Roman" w:eastAsia="宋体" w:cs="Times New Roman"/>
                <w:bCs/>
                <w:sz w:val="28"/>
                <w:szCs w:val="28"/>
                <w:lang w:val="en-US" w:eastAsia="zh-CN"/>
              </w:rPr>
            </w:pPr>
            <w:r>
              <w:rPr>
                <w:rFonts w:hint="eastAsia" w:ascii="Times New Roman" w:hAnsi="Times New Roman" w:cs="Times New Roman"/>
                <w:bCs/>
                <w:sz w:val="28"/>
                <w:szCs w:val="28"/>
                <w:lang w:val="en-US" w:eastAsia="zh-CN"/>
              </w:rPr>
              <w:t>20</w:t>
            </w:r>
          </w:p>
        </w:tc>
        <w:tc>
          <w:tcPr>
            <w:tcW w:w="3014" w:type="dxa"/>
            <w:noWrap w:val="0"/>
            <w:vAlign w:val="center"/>
          </w:tcPr>
          <w:p>
            <w:pPr>
              <w:adjustRightInd w:val="0"/>
              <w:snapToGrid w:val="0"/>
              <w:spacing w:line="596" w:lineRule="exact"/>
              <w:jc w:val="center"/>
              <w:rPr>
                <w:rFonts w:hint="default" w:ascii="Times New Roman" w:hAnsi="Times New Roman" w:eastAsia="仿宋_GB2312" w:cs="Times New Roman"/>
                <w:bCs/>
                <w:sz w:val="28"/>
                <w:szCs w:val="28"/>
                <w:lang w:val="en-US" w:eastAsia="zh-CN"/>
              </w:rPr>
            </w:pPr>
            <w:r>
              <w:rPr>
                <w:rFonts w:hint="eastAsia" w:ascii="Times New Roman" w:hAnsi="Times New Roman" w:eastAsia="仿宋_GB2312" w:cs="Times New Roman"/>
                <w:bCs/>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综合得分</w:t>
            </w:r>
          </w:p>
        </w:tc>
        <w:tc>
          <w:tcPr>
            <w:tcW w:w="3261"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100</w:t>
            </w:r>
          </w:p>
        </w:tc>
        <w:tc>
          <w:tcPr>
            <w:tcW w:w="3014" w:type="dxa"/>
            <w:noWrap w:val="0"/>
            <w:vAlign w:val="center"/>
          </w:tcPr>
          <w:p>
            <w:pPr>
              <w:adjustRightInd w:val="0"/>
              <w:snapToGrid w:val="0"/>
              <w:spacing w:line="596" w:lineRule="exact"/>
              <w:jc w:val="center"/>
              <w:rPr>
                <w:rFonts w:ascii="Times New Roman" w:hAnsi="Times New Roman" w:eastAsia="仿宋_GB2312" w:cs="Times New Roman"/>
                <w:bCs/>
                <w:sz w:val="28"/>
                <w:szCs w:val="28"/>
              </w:rPr>
            </w:pPr>
            <w:r>
              <w:rPr>
                <w:rFonts w:hint="eastAsia" w:ascii="Times New Roman" w:hAnsi="Times New Roman" w:cs="Times New Roman"/>
                <w:bCs/>
                <w:sz w:val="28"/>
                <w:szCs w:val="2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264" w:type="dxa"/>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绩效评定级别</w:t>
            </w:r>
          </w:p>
        </w:tc>
        <w:tc>
          <w:tcPr>
            <w:tcW w:w="6275" w:type="dxa"/>
            <w:gridSpan w:val="2"/>
            <w:noWrap w:val="0"/>
            <w:vAlign w:val="center"/>
          </w:tcPr>
          <w:p>
            <w:pPr>
              <w:adjustRightInd w:val="0"/>
              <w:snapToGrid w:val="0"/>
              <w:spacing w:line="596" w:lineRule="exact"/>
              <w:jc w:val="center"/>
              <w:rPr>
                <w:rFonts w:ascii="Times New Roman" w:hAnsi="Times New Roman" w:cs="Times New Roman"/>
                <w:bCs/>
                <w:sz w:val="28"/>
                <w:szCs w:val="28"/>
              </w:rPr>
            </w:pPr>
            <w:r>
              <w:rPr>
                <w:rFonts w:ascii="Times New Roman" w:hAnsi="Times New Roman" w:cs="Times New Roman"/>
                <w:bCs/>
                <w:sz w:val="28"/>
                <w:szCs w:val="28"/>
              </w:rPr>
              <w:t>优秀</w:t>
            </w:r>
          </w:p>
        </w:tc>
      </w:tr>
    </w:tbl>
    <w:p>
      <w:pPr>
        <w:pStyle w:val="5"/>
        <w:spacing w:line="600" w:lineRule="exact"/>
        <w:ind w:firstLine="643"/>
        <w:rPr>
          <w:rFonts w:ascii="仿宋_GB2312" w:hAnsi="宋体" w:eastAsia="仿宋_GB2312" w:cs="宋体"/>
          <w:b w:val="0"/>
          <w:bCs/>
          <w:sz w:val="32"/>
          <w:szCs w:val="32"/>
        </w:rPr>
      </w:pPr>
      <w:r>
        <w:rPr>
          <w:rFonts w:hint="eastAsia" w:ascii="仿宋_GB2312" w:hAnsi="宋体" w:eastAsia="仿宋_GB2312" w:cs="宋体"/>
          <w:b w:val="0"/>
          <w:bCs/>
          <w:sz w:val="32"/>
          <w:szCs w:val="32"/>
        </w:rPr>
        <w:t>（二）评价结论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项目资金管理情况</w:t>
      </w:r>
    </w:p>
    <w:p>
      <w:pPr>
        <w:spacing w:line="560" w:lineRule="exact"/>
        <w:ind w:firstLine="640" w:firstLineChars="200"/>
        <w:rPr>
          <w:rFonts w:hAnsi="仿宋" w:eastAsia="仿宋"/>
          <w:color w:val="000000"/>
          <w:sz w:val="32"/>
          <w:szCs w:val="32"/>
        </w:rPr>
      </w:pPr>
      <w:r>
        <w:rPr>
          <w:rFonts w:hAnsi="仿宋" w:eastAsia="仿宋"/>
          <w:color w:val="000000"/>
          <w:sz w:val="32"/>
          <w:szCs w:val="32"/>
        </w:rPr>
        <w:t>根据资金预算情况，制定了年度城乡居民医保实施方案。按城乡居民医保基金财务管理制度要求，严格管理城乡居民医保基金的收缴、使用、支付，在资金管理上强化责任意识，建立健全管理制度，定期调度资金拨付情况，提高预算执行效率和资金使用效益，确保资金使用安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2总体绩效目标完成情况</w:t>
      </w:r>
    </w:p>
    <w:p>
      <w:pPr>
        <w:spacing w:line="560" w:lineRule="exact"/>
        <w:ind w:firstLine="640" w:firstLineChars="200"/>
        <w:rPr>
          <w:rFonts w:hAnsi="仿宋" w:eastAsia="仿宋"/>
          <w:color w:val="000000"/>
          <w:spacing w:val="-3"/>
          <w:sz w:val="32"/>
          <w:szCs w:val="32"/>
        </w:rPr>
      </w:pPr>
      <w:r>
        <w:rPr>
          <w:rFonts w:hint="eastAsia" w:ascii="仿宋" w:hAnsi="仿宋" w:eastAsia="仿宋" w:cs="仿宋"/>
          <w:color w:val="000000"/>
          <w:sz w:val="32"/>
          <w:szCs w:val="32"/>
        </w:rPr>
        <w:t>（1）</w:t>
      </w:r>
      <w:r>
        <w:rPr>
          <w:rFonts w:hAnsi="仿宋" w:eastAsia="仿宋"/>
          <w:color w:val="000000"/>
          <w:sz w:val="32"/>
          <w:szCs w:val="32"/>
        </w:rPr>
        <w:t>强化政策宣传，提升知晓率</w:t>
      </w:r>
      <w:r>
        <w:rPr>
          <w:rFonts w:hAnsi="仿宋" w:eastAsia="仿宋"/>
          <w:color w:val="000000"/>
          <w:spacing w:val="-3"/>
          <w:sz w:val="32"/>
          <w:szCs w:val="32"/>
        </w:rPr>
        <w:t>。</w:t>
      </w:r>
      <w:r>
        <w:rPr>
          <w:rFonts w:hint="eastAsia" w:hAnsi="仿宋" w:eastAsia="仿宋"/>
          <w:color w:val="000000"/>
          <w:spacing w:val="-3"/>
          <w:sz w:val="32"/>
          <w:szCs w:val="32"/>
        </w:rPr>
        <w:t>一是</w:t>
      </w:r>
      <w:r>
        <w:rPr>
          <w:rFonts w:hAnsi="仿宋" w:eastAsia="仿宋"/>
          <w:color w:val="000000"/>
          <w:spacing w:val="-3"/>
          <w:sz w:val="32"/>
          <w:szCs w:val="32"/>
        </w:rPr>
        <w:t>以各级各类会议、培训为媒介，大力解读城乡居民医保筹资政策，并结合实例广泛宣传城乡居民医保政策，</w:t>
      </w:r>
      <w:r>
        <w:rPr>
          <w:rFonts w:hint="eastAsia" w:hAnsi="仿宋" w:eastAsia="仿宋"/>
          <w:color w:val="000000"/>
          <w:spacing w:val="-3"/>
          <w:sz w:val="32"/>
          <w:szCs w:val="32"/>
        </w:rPr>
        <w:t>因</w:t>
      </w:r>
      <w:r>
        <w:rPr>
          <w:rFonts w:hAnsi="仿宋" w:eastAsia="仿宋"/>
          <w:color w:val="000000"/>
          <w:spacing w:val="-3"/>
          <w:sz w:val="32"/>
          <w:szCs w:val="32"/>
        </w:rPr>
        <w:t>患重大疾病从中得到医疗救助实惠的典型事例引导居民积极参保。二是印发城乡居民医保政策宣传单</w:t>
      </w:r>
      <w:r>
        <w:rPr>
          <w:rFonts w:hint="eastAsia" w:hAnsi="仿宋" w:eastAsia="仿宋"/>
          <w:color w:val="000000"/>
          <w:spacing w:val="-3"/>
          <w:sz w:val="32"/>
          <w:szCs w:val="32"/>
        </w:rPr>
        <w:t>、宣传册</w:t>
      </w:r>
      <w:r>
        <w:rPr>
          <w:rFonts w:hAnsi="仿宋" w:eastAsia="仿宋"/>
          <w:color w:val="000000"/>
          <w:spacing w:val="-3"/>
          <w:sz w:val="32"/>
          <w:szCs w:val="32"/>
        </w:rPr>
        <w:t>，确保参保人员及时了解政策。三是通过广播对最新的政策进行宣传。</w:t>
      </w:r>
    </w:p>
    <w:p>
      <w:pPr>
        <w:spacing w:line="560" w:lineRule="exact"/>
        <w:ind w:firstLine="628" w:firstLineChars="200"/>
        <w:rPr>
          <w:rFonts w:hAnsi="仿宋" w:eastAsia="仿宋"/>
          <w:color w:val="000000"/>
          <w:spacing w:val="-3"/>
          <w:sz w:val="32"/>
          <w:szCs w:val="32"/>
        </w:rPr>
      </w:pPr>
      <w:r>
        <w:rPr>
          <w:rFonts w:hint="eastAsia" w:hAnsi="仿宋" w:eastAsia="仿宋"/>
          <w:color w:val="000000"/>
          <w:spacing w:val="-3"/>
          <w:sz w:val="32"/>
          <w:szCs w:val="32"/>
        </w:rPr>
        <w:t>（2）严</w:t>
      </w:r>
      <w:r>
        <w:rPr>
          <w:rFonts w:hAnsi="仿宋" w:eastAsia="仿宋"/>
          <w:color w:val="000000"/>
          <w:spacing w:val="-3"/>
          <w:sz w:val="32"/>
          <w:szCs w:val="32"/>
        </w:rPr>
        <w:t>把基金监管，确保安全。主要做到了严把“四关”，即严把审核关、稽查关、收支关、监管关。一是严格执行定点医疗机构协议管理办法，实行考核评价机制及准入退出机制。按定期与不定期，网上审核、现场稽查、病历抽查等方法对全区协议医疗机构进行稽核。开展打击欺诈骗保专项行动，组织各协议医药机构开展打击欺诈骗保自查自纠。二是落实城乡居民医保三级定期公示制度。定期公示城乡居民医保主要政策、就诊（转诊）流程、医疗费用报销情况和监督举报电话等内容。广泛接受社会及群众监督。三是对违反《中华人民共和国社会保险法》和基本医疗保险制度政策等有关规定骗取、套取城乡居民医保基金的行为，严肃查处，绝不姑息。</w:t>
      </w:r>
    </w:p>
    <w:p>
      <w:pPr>
        <w:spacing w:line="560" w:lineRule="exact"/>
        <w:ind w:firstLine="630"/>
        <w:rPr>
          <w:rFonts w:hAnsi="仿宋" w:eastAsia="仿宋"/>
          <w:color w:val="000000"/>
          <w:spacing w:val="-3"/>
          <w:sz w:val="32"/>
          <w:szCs w:val="32"/>
        </w:rPr>
      </w:pPr>
      <w:r>
        <w:rPr>
          <w:rFonts w:hint="eastAsia" w:ascii="仿宋" w:hAnsi="仿宋" w:eastAsia="仿宋" w:cs="仿宋"/>
          <w:color w:val="000000"/>
          <w:sz w:val="32"/>
          <w:szCs w:val="32"/>
        </w:rPr>
        <w:t>（3）深</w:t>
      </w:r>
      <w:r>
        <w:rPr>
          <w:rFonts w:hAnsi="仿宋" w:eastAsia="仿宋"/>
          <w:color w:val="000000"/>
          <w:sz w:val="32"/>
          <w:szCs w:val="32"/>
        </w:rPr>
        <w:t>化医保改革，卓有成效</w:t>
      </w:r>
      <w:r>
        <w:rPr>
          <w:rFonts w:hAnsi="仿宋" w:eastAsia="仿宋"/>
          <w:color w:val="000000"/>
          <w:spacing w:val="-3"/>
          <w:sz w:val="32"/>
          <w:szCs w:val="32"/>
        </w:rPr>
        <w:t>。一是实现参保群众全国异地住院即时结算，现阶段我们按省里统一要求进行系统备案，参保群众跨省异地就医无需跑腿、垫资。二是完善一站式平台建设。根据精准扶贫政策要求，建立一站式窗口，完善一站式平台，贫困人口基本医疗、大病保险、医疗救助、扶贫特惠保、医院减免、财政兜底一次性补偿到位，为贫困患者报销提供了便捷的服务，让他们少跑路，得实惠。</w:t>
      </w:r>
    </w:p>
    <w:p>
      <w:pPr>
        <w:pStyle w:val="4"/>
        <w:ind w:firstLine="643"/>
        <w:rPr>
          <w:rFonts w:ascii="仿宋" w:hAnsi="仿宋" w:eastAsia="仿宋" w:cs="仿宋"/>
          <w:bCs/>
          <w:kern w:val="2"/>
          <w:sz w:val="32"/>
          <w:szCs w:val="32"/>
        </w:rPr>
      </w:pPr>
      <w:bookmarkStart w:id="5" w:name="_Toc8376"/>
      <w:r>
        <w:rPr>
          <w:rFonts w:hint="eastAsia" w:ascii="仿宋" w:hAnsi="仿宋" w:eastAsia="仿宋" w:cs="仿宋"/>
          <w:bCs/>
          <w:kern w:val="2"/>
          <w:sz w:val="32"/>
          <w:szCs w:val="32"/>
        </w:rPr>
        <w:t>四、绩效评价指标分析</w:t>
      </w:r>
      <w:bookmarkEnd w:id="5"/>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（一）项目决策</w:t>
      </w:r>
    </w:p>
    <w:p>
      <w:pPr>
        <w:spacing w:line="560" w:lineRule="exact"/>
        <w:ind w:firstLine="640" w:firstLineChars="200"/>
      </w:pPr>
      <w:r>
        <w:rPr>
          <w:rFonts w:hint="eastAsia" w:ascii="楷体" w:hAnsi="楷体" w:eastAsia="楷体" w:cs="楷体"/>
          <w:sz w:val="32"/>
          <w:szCs w:val="32"/>
        </w:rPr>
        <w:t>指标分值20分，得分20分。具体为：</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（1）决策依据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根据《中共中央 国务院关于深化医疗保障制度改革的意见》，严格贯彻执行中央医疗保障制度改革有关城乡居民医保决策的部署。此项指标得分4分。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项目决策依据符合《国家医疗保障局关于全面实施预算绩效管理的意见》、《项目支出绩效评价管理办法》以及各省市区制定的预算绩效管理要求和资金管理办法的相关规定。此项指标得分3分。</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（2）决策过程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对转移支付资金支持项目的必要性、可行性等进行科学论证，按规定履行立项审批、预算评审等报批程序，下达预算指标的同时明确绩效目标。此项指标得分2分。</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（3）绩效目标</w:t>
      </w:r>
    </w:p>
    <w:p>
      <w:pPr>
        <w:spacing w:line="560" w:lineRule="exact"/>
        <w:ind w:firstLine="640" w:firstLineChars="200"/>
        <w:rPr>
          <w:rFonts w:ascii="仿宋" w:hAnsi="仿宋" w:eastAsia="仿宋" w:cs="仿宋"/>
          <w:sz w:val="32"/>
          <w:szCs w:val="32"/>
        </w:rPr>
      </w:pPr>
      <w:r>
        <w:rPr>
          <w:rFonts w:hint="eastAsia" w:ascii="仿宋_GB2312" w:hAnsi="仿宋" w:eastAsia="仿宋_GB2312" w:cs="仿宋"/>
          <w:sz w:val="32"/>
          <w:szCs w:val="32"/>
        </w:rPr>
        <w:t>遵照省局下达的年度总体目标和具体绩效指标，以“稳定参保率、稳步提高保障水平、实现基金收支平衡”为年度总体目标，明确产出指标、满意度指标等绩效指标要求，并分解细化绩效目标。通过开展绩效评价分析城乡居民医保基金补助的使用、管理和项目实施等情况，总结资金使用管理经验和实行效果，完善资金管理，强化财政支出绩效理念，提高资金使用效益。</w:t>
      </w:r>
      <w:r>
        <w:rPr>
          <w:rFonts w:hint="eastAsia" w:ascii="仿宋" w:hAnsi="仿宋" w:eastAsia="仿宋" w:cs="仿宋"/>
          <w:sz w:val="32"/>
          <w:szCs w:val="32"/>
        </w:rPr>
        <w:t>此项指标得分6分。</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（4）资金分配</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按照湖南省人民政府办公厅关于印发《医疗卫生领域省与市县财政事权和支出责任划分改革方案的通知》（湘政办发〔2019〕40号）文件规定，省财政按照省政府办公厅湘政办发〔2019〕16号文件确定的分类分档分担比例承担支出责任。</w:t>
      </w:r>
    </w:p>
    <w:p>
      <w:pPr>
        <w:spacing w:line="560" w:lineRule="exact"/>
        <w:ind w:firstLine="640" w:firstLineChars="200"/>
        <w:rPr>
          <w:rFonts w:ascii="仿宋" w:hAnsi="仿宋" w:eastAsia="仿宋" w:cs="仿宋"/>
        </w:rPr>
      </w:pPr>
      <w:r>
        <w:rPr>
          <w:rFonts w:hint="eastAsia" w:ascii="仿宋" w:hAnsi="仿宋" w:eastAsia="仿宋" w:cs="仿宋"/>
          <w:color w:val="000000"/>
          <w:sz w:val="32"/>
          <w:szCs w:val="32"/>
        </w:rPr>
        <w:t>根据湖南省医疗保障局等三部门《关于转发&lt;国家医保局财政部国家税务总局关于做好2020年城乡居民基本医疗保障工作&gt;的通知》的通知（湘医保发〔2020〕36号）文件要求，市、区两级财政部门要按照规定标准足额安排预算，并及时安排补助资金，并在12月31日前全部上解至市医保基金财政专户。</w:t>
      </w:r>
      <w:r>
        <w:rPr>
          <w:rFonts w:hint="eastAsia" w:ascii="仿宋" w:hAnsi="仿宋" w:eastAsia="仿宋" w:cs="仿宋"/>
          <w:sz w:val="32"/>
          <w:szCs w:val="32"/>
        </w:rPr>
        <w:t>此项指标得分5分。</w:t>
      </w:r>
    </w:p>
    <w:p>
      <w:pPr>
        <w:numPr>
          <w:ilvl w:val="0"/>
          <w:numId w:val="4"/>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过程管理</w:t>
      </w:r>
    </w:p>
    <w:p>
      <w:pPr>
        <w:spacing w:line="560" w:lineRule="exact"/>
        <w:ind w:left="420" w:leftChars="200"/>
        <w:rPr>
          <w:rFonts w:ascii="楷体_GB2312" w:hAnsi="楷体_GB2312" w:eastAsia="楷体_GB2312" w:cs="楷体_GB2312"/>
          <w:sz w:val="32"/>
          <w:szCs w:val="32"/>
        </w:rPr>
      </w:pPr>
      <w:r>
        <w:rPr>
          <w:rFonts w:hint="eastAsia" w:ascii="楷体" w:hAnsi="楷体" w:eastAsia="楷体" w:cs="楷体"/>
          <w:sz w:val="32"/>
          <w:szCs w:val="32"/>
        </w:rPr>
        <w:t>指标分值25分，得分25分。具体为：</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（1）资金管理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sz w:val="32"/>
          <w:szCs w:val="32"/>
          <w:lang w:eastAsia="zh-CN"/>
        </w:rPr>
        <w:t>健康扶贫兜底</w:t>
      </w:r>
      <w:r>
        <w:rPr>
          <w:rFonts w:hint="eastAsia" w:ascii="仿宋" w:hAnsi="仿宋" w:eastAsia="仿宋" w:cs="仿宋"/>
          <w:sz w:val="32"/>
          <w:szCs w:val="32"/>
        </w:rPr>
        <w:t>资金预算数</w:t>
      </w:r>
      <w:r>
        <w:rPr>
          <w:rFonts w:hint="eastAsia" w:ascii="仿宋" w:hAnsi="仿宋" w:eastAsia="仿宋" w:cs="仿宋"/>
          <w:sz w:val="32"/>
          <w:szCs w:val="32"/>
          <w:lang w:val="en-US" w:eastAsia="zh-CN"/>
        </w:rPr>
        <w:t>400</w:t>
      </w:r>
      <w:r>
        <w:rPr>
          <w:rFonts w:hint="eastAsia" w:ascii="仿宋" w:hAnsi="仿宋" w:eastAsia="仿宋" w:cs="仿宋"/>
          <w:sz w:val="32"/>
          <w:szCs w:val="32"/>
        </w:rPr>
        <w:t>万元，全年执行数</w:t>
      </w:r>
      <w:r>
        <w:rPr>
          <w:rFonts w:hint="eastAsia" w:ascii="仿宋" w:hAnsi="仿宋" w:eastAsia="仿宋" w:cs="仿宋"/>
          <w:sz w:val="32"/>
          <w:szCs w:val="32"/>
          <w:lang w:val="en-US" w:eastAsia="zh-CN"/>
        </w:rPr>
        <w:t>400</w:t>
      </w:r>
      <w:r>
        <w:rPr>
          <w:rFonts w:hint="eastAsia" w:ascii="仿宋" w:hAnsi="仿宋" w:eastAsia="仿宋" w:cs="仿宋"/>
          <w:sz w:val="32"/>
          <w:szCs w:val="32"/>
        </w:rPr>
        <w:t>万元，预算执行率为100%。此项指标得分2分。</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2021年</w:t>
      </w:r>
      <w:r>
        <w:rPr>
          <w:rFonts w:hint="eastAsia" w:ascii="仿宋" w:hAnsi="仿宋" w:eastAsia="仿宋" w:cs="仿宋"/>
          <w:sz w:val="32"/>
          <w:szCs w:val="32"/>
          <w:lang w:eastAsia="zh-CN"/>
        </w:rPr>
        <w:t>健康扶贫兜底</w:t>
      </w:r>
      <w:r>
        <w:rPr>
          <w:rFonts w:hint="eastAsia" w:ascii="仿宋" w:hAnsi="仿宋" w:eastAsia="仿宋" w:cs="仿宋"/>
          <w:sz w:val="32"/>
          <w:szCs w:val="32"/>
        </w:rPr>
        <w:t>资金在符合财经法规和有关专项资金管理办法的基础上，财政专户专账核算、专款专用，未发生截留、挤占、挪用、虚列支出等情况。此项指标得分3分。</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2021年城乡居民医疗保险筹资收入全部上解至市级财政专户，实行统收统支，并</w:t>
      </w:r>
      <w:r>
        <w:rPr>
          <w:rFonts w:hint="eastAsia" w:ascii="仿宋" w:hAnsi="仿宋" w:eastAsia="仿宋" w:cs="仿宋"/>
          <w:sz w:val="32"/>
          <w:szCs w:val="32"/>
          <w:lang w:eastAsia="zh-CN"/>
        </w:rPr>
        <w:t>及时上解</w:t>
      </w:r>
      <w:r>
        <w:rPr>
          <w:rFonts w:hint="eastAsia" w:ascii="仿宋" w:hAnsi="仿宋" w:eastAsia="仿宋" w:cs="仿宋"/>
          <w:sz w:val="32"/>
          <w:szCs w:val="32"/>
        </w:rPr>
        <w:t>风险储备金。此项指标得分3分。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医保基金监督检查制度实现了全覆盖，实行医疗保险基金的透明度管理，在医疗保险基金的筹集、使用、管理过程中定期向广大社会民众公开医疗保险基金的使用、管理情况，提高保险基金使用的透明度。充分利用医疗保险信息系统现有的统计和智能监审功能，对定点医疗机构住院人次、人均住院医疗费用、医保基金总额等指标进行重点监控，并以通报、会议等形式定期公布，实行医保基金违法违规行为有奖举报。此项指标得分3分。</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（2）组织管理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全区城乡居民医疗保障职能早已整合，已实现覆盖范围、筹资政策、保障待遇、医保目录、定点管理、基金管理</w:t>
      </w:r>
      <w:r>
        <w:rPr>
          <w:rFonts w:hint="eastAsia" w:ascii="仿宋" w:hAnsi="仿宋" w:eastAsia="仿宋" w:cs="仿宋"/>
          <w:sz w:val="32"/>
          <w:szCs w:val="32"/>
          <w:lang w:eastAsia="zh-CN"/>
        </w:rPr>
        <w:t>的</w:t>
      </w:r>
      <w:r>
        <w:rPr>
          <w:rFonts w:hint="eastAsia" w:ascii="仿宋" w:hAnsi="仿宋" w:eastAsia="仿宋" w:cs="仿宋"/>
          <w:sz w:val="32"/>
          <w:szCs w:val="32"/>
        </w:rPr>
        <w:t>统一。此项指标得分3分。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对全区56家医</w:t>
      </w:r>
      <w:r>
        <w:rPr>
          <w:rFonts w:hint="eastAsia" w:ascii="仿宋" w:hAnsi="仿宋" w:eastAsia="仿宋" w:cs="仿宋"/>
          <w:sz w:val="32"/>
          <w:szCs w:val="32"/>
          <w:lang w:eastAsia="zh-CN"/>
        </w:rPr>
        <w:t>疗</w:t>
      </w:r>
      <w:r>
        <w:rPr>
          <w:rFonts w:hint="eastAsia" w:ascii="仿宋" w:hAnsi="仿宋" w:eastAsia="仿宋" w:cs="仿宋"/>
          <w:sz w:val="32"/>
          <w:szCs w:val="32"/>
        </w:rPr>
        <w:t>机构进行协议管理，建立考核评价机制，实行动态进入和退出机制，</w:t>
      </w:r>
      <w:r>
        <w:rPr>
          <w:rFonts w:hint="eastAsia" w:ascii="仿宋" w:hAnsi="仿宋" w:eastAsia="仿宋"/>
          <w:sz w:val="32"/>
          <w:szCs w:val="32"/>
        </w:rPr>
        <w:t>建立益阳特色的“互联网+基金监管”体系，</w:t>
      </w:r>
      <w:r>
        <w:rPr>
          <w:rFonts w:hint="eastAsia" w:ascii="仿宋" w:hAnsi="仿宋" w:eastAsia="仿宋" w:cs="仿宋"/>
          <w:sz w:val="32"/>
          <w:szCs w:val="32"/>
        </w:rPr>
        <w:t>实现协议医药机构现场检查覆盖率100%。此项指标得分3分。</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信息系统运转正常，能够及时准确提取参保人数、财政补助资金到位率、城乡居民个人缴费水平等数据，并通过益阳医保公众号开通全市参保自助缴费、参保情况查询、协议机构和目录查询、医药服务价格查询和异地就医自助备案等业务。</w:t>
      </w:r>
      <w:r>
        <w:rPr>
          <w:rFonts w:hint="eastAsia" w:ascii="仿宋" w:hAnsi="仿宋" w:eastAsia="仿宋" w:cs="仿宋"/>
          <w:sz w:val="32"/>
          <w:szCs w:val="32"/>
        </w:rPr>
        <w:t>此项指标得分2分。</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医保基金统计、基金</w:t>
      </w:r>
      <w:r>
        <w:rPr>
          <w:rFonts w:hint="eastAsia" w:ascii="仿宋" w:hAnsi="仿宋" w:eastAsia="仿宋" w:cs="仿宋"/>
          <w:sz w:val="32"/>
          <w:szCs w:val="32"/>
        </w:rPr>
        <w:t>会计</w:t>
      </w:r>
      <w:r>
        <w:rPr>
          <w:rFonts w:ascii="仿宋" w:hAnsi="仿宋" w:eastAsia="仿宋" w:cs="仿宋"/>
          <w:sz w:val="32"/>
          <w:szCs w:val="32"/>
        </w:rPr>
        <w:t>报表</w:t>
      </w:r>
      <w:r>
        <w:rPr>
          <w:rFonts w:hint="eastAsia" w:ascii="仿宋" w:hAnsi="仿宋" w:eastAsia="仿宋" w:cs="仿宋"/>
          <w:sz w:val="32"/>
          <w:szCs w:val="32"/>
        </w:rPr>
        <w:t>根据省局要求</w:t>
      </w:r>
      <w:r>
        <w:rPr>
          <w:rFonts w:ascii="仿宋" w:hAnsi="仿宋" w:eastAsia="仿宋" w:cs="仿宋"/>
          <w:sz w:val="32"/>
          <w:szCs w:val="32"/>
        </w:rPr>
        <w:t>上报</w:t>
      </w:r>
      <w:r>
        <w:rPr>
          <w:rFonts w:hint="eastAsia" w:ascii="仿宋" w:hAnsi="仿宋" w:eastAsia="仿宋" w:cs="仿宋"/>
          <w:sz w:val="32"/>
          <w:szCs w:val="32"/>
        </w:rPr>
        <w:t>，确保</w:t>
      </w:r>
      <w:r>
        <w:rPr>
          <w:rFonts w:ascii="仿宋" w:hAnsi="仿宋" w:eastAsia="仿宋" w:cs="仿宋"/>
          <w:sz w:val="32"/>
          <w:szCs w:val="32"/>
        </w:rPr>
        <w:t>准确完整、及时有效</w:t>
      </w:r>
      <w:r>
        <w:rPr>
          <w:rFonts w:hint="eastAsia" w:ascii="仿宋" w:hAnsi="仿宋" w:eastAsia="仿宋" w:cs="仿宋"/>
          <w:sz w:val="32"/>
          <w:szCs w:val="32"/>
        </w:rPr>
        <w:t>，对异常数据有说明解释。此项指标得分2分。</w:t>
      </w:r>
    </w:p>
    <w:p>
      <w:pPr>
        <w:spacing w:line="560" w:lineRule="exact"/>
        <w:ind w:firstLine="640" w:firstLineChars="200"/>
        <w:rPr>
          <w:rFonts w:ascii="楷体_GB2312" w:hAnsi="楷体_GB2312" w:eastAsia="楷体_GB2312" w:cs="楷体_GB2312"/>
          <w:sz w:val="32"/>
          <w:szCs w:val="32"/>
        </w:rPr>
      </w:pPr>
      <w:r>
        <w:rPr>
          <w:rFonts w:hint="eastAsia" w:ascii="仿宋" w:hAnsi="仿宋" w:eastAsia="仿宋" w:cs="仿宋"/>
          <w:sz w:val="32"/>
          <w:szCs w:val="32"/>
        </w:rPr>
        <w:t>全面实现绩效管理，对市局下发的绩效指标根据我区实际进行细化明确，城乡居民医疗保险补助资金绩效运行情况需要向市局和市财政局自评，并接受市财政委托第三方公司的绩效评价。自评报告严格按照市局要求规范完整上报，及时将评价结果公示并为下一年度的城乡居民医疗补助资金绩效评价工作提供参照此项指标得分4分。</w:t>
      </w:r>
    </w:p>
    <w:p>
      <w:pPr>
        <w:numPr>
          <w:ilvl w:val="0"/>
          <w:numId w:val="5"/>
        </w:numPr>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项目产出</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bCs/>
          <w:color w:val="000000"/>
          <w:sz w:val="32"/>
          <w:szCs w:val="32"/>
        </w:rPr>
        <w:t>（1）数量指标。</w:t>
      </w:r>
      <w:r>
        <w:rPr>
          <w:rFonts w:hint="eastAsia" w:ascii="仿宋" w:hAnsi="仿宋" w:eastAsia="仿宋" w:cs="仿宋"/>
          <w:color w:val="000000"/>
          <w:sz w:val="32"/>
          <w:szCs w:val="32"/>
        </w:rPr>
        <w:t>随着城乡居民医保工作的不断深入，2021年度我区城乡居民参保人数680010人，各级财政补助标准580元/人。</w:t>
      </w:r>
    </w:p>
    <w:p>
      <w:pPr>
        <w:spacing w:line="560" w:lineRule="exact"/>
        <w:ind w:firstLine="640" w:firstLineChars="200"/>
        <w:rPr>
          <w:rFonts w:ascii="仿宋" w:hAnsi="仿宋" w:eastAsia="仿宋" w:cs="仿宋"/>
          <w:bCs/>
          <w:color w:val="000000"/>
          <w:sz w:val="32"/>
          <w:szCs w:val="32"/>
        </w:rPr>
      </w:pPr>
      <w:r>
        <w:rPr>
          <w:rFonts w:hint="eastAsia" w:ascii="仿宋" w:hAnsi="仿宋" w:eastAsia="仿宋" w:cs="仿宋"/>
          <w:color w:val="000000"/>
          <w:sz w:val="32"/>
          <w:szCs w:val="32"/>
        </w:rPr>
        <w:t>（2）质量指标。我区2021年补助政策与市级出台文件一致</w:t>
      </w:r>
      <w:r>
        <w:rPr>
          <w:rFonts w:hint="eastAsia" w:ascii="仿宋" w:hAnsi="仿宋" w:eastAsia="仿宋" w:cs="仿宋"/>
          <w:bCs/>
          <w:color w:val="000000"/>
          <w:sz w:val="32"/>
          <w:szCs w:val="32"/>
        </w:rPr>
        <w:t>。一是基金运行平稳有序。2021年全区以常住人口为基础计算的基本医保综合参保率98.65%；无重复参保人数，无虚报参保人数；参保人政策范围内住院费用报销比例68.6%，参保人住院费用实际报销比例55.41%。二是保障水平逐年提高。政策范围内报销比例由65.3%提高到68.6%，实际报销比例由51%提高到55.41%。实行了按病种、按人头付费等支付方式改革，开展门诊统筹，实行个人账户向门诊统筹过渡，住院人次的逐年增加，体现了城乡居民医</w:t>
      </w:r>
      <w:r>
        <w:rPr>
          <w:rFonts w:hAnsi="仿宋" w:eastAsia="仿宋"/>
          <w:bCs/>
          <w:color w:val="000000"/>
          <w:sz w:val="32"/>
          <w:szCs w:val="32"/>
        </w:rPr>
        <w:t>保制度的优越性和先进性。为保障居民的受益度，从单一的住院补偿发展到现在的大病二次补偿、门诊统筹补偿、特慢疾病补偿、特药补偿筹等，居民的健康需求得到了满足，群众对城乡居民医保的满意度逐年增加，经办机构管理逐步规范，城乡居民医保的实</w:t>
      </w:r>
      <w:r>
        <w:rPr>
          <w:rFonts w:hAnsi="仿宋" w:eastAsia="仿宋"/>
          <w:bCs/>
          <w:sz w:val="32"/>
          <w:szCs w:val="32"/>
        </w:rPr>
        <w:t>施，保障了居民基本医疗，</w:t>
      </w:r>
      <w:r>
        <w:rPr>
          <w:rFonts w:hAnsi="仿宋" w:eastAsia="仿宋"/>
          <w:bCs/>
          <w:color w:val="000000"/>
          <w:sz w:val="32"/>
          <w:szCs w:val="32"/>
        </w:rPr>
        <w:t>改善乡镇卫生院和区级医疗机构的医疗</w:t>
      </w:r>
      <w:r>
        <w:rPr>
          <w:rFonts w:hint="eastAsia" w:ascii="仿宋" w:hAnsi="仿宋" w:eastAsia="仿宋" w:cs="仿宋"/>
          <w:bCs/>
          <w:color w:val="000000"/>
          <w:sz w:val="32"/>
          <w:szCs w:val="32"/>
        </w:rPr>
        <w:t>环境的同时也提高了乡镇医疗技术水平，各医疗机构内部管理更加规范。基金累计结余可支配月数2</w:t>
      </w:r>
      <w:r>
        <w:rPr>
          <w:rFonts w:hint="eastAsia" w:ascii="仿宋" w:hAnsi="仿宋" w:eastAsia="仿宋" w:cs="仿宋"/>
          <w:bCs/>
          <w:sz w:val="32"/>
          <w:szCs w:val="32"/>
        </w:rPr>
        <w:t>个</w:t>
      </w:r>
      <w:r>
        <w:rPr>
          <w:rFonts w:hint="eastAsia" w:ascii="仿宋" w:hAnsi="仿宋" w:eastAsia="仿宋" w:cs="仿宋"/>
          <w:bCs/>
          <w:color w:val="000000"/>
          <w:sz w:val="32"/>
          <w:szCs w:val="32"/>
        </w:rPr>
        <w:t>月。</w:t>
      </w:r>
    </w:p>
    <w:p>
      <w:pPr>
        <w:spacing w:line="560" w:lineRule="exact"/>
        <w:ind w:firstLine="640" w:firstLineChars="200"/>
        <w:rPr>
          <w:rFonts w:eastAsia="仿宋"/>
          <w:bCs/>
          <w:color w:val="000000"/>
          <w:sz w:val="32"/>
          <w:szCs w:val="32"/>
        </w:rPr>
      </w:pPr>
      <w:r>
        <w:rPr>
          <w:rFonts w:hint="eastAsia" w:ascii="仿宋" w:hAnsi="仿宋" w:eastAsia="仿宋" w:cs="仿宋"/>
          <w:bCs/>
          <w:color w:val="000000"/>
          <w:sz w:val="32"/>
          <w:szCs w:val="32"/>
        </w:rPr>
        <w:t>（3）时效指标。</w:t>
      </w:r>
      <w:r>
        <w:rPr>
          <w:rFonts w:hint="eastAsia" w:ascii="仿宋" w:hAnsi="仿宋" w:eastAsia="仿宋" w:cs="仿宋"/>
          <w:sz w:val="32"/>
          <w:szCs w:val="32"/>
        </w:rPr>
        <w:t>截至2021年12月31日，2021年我区城乡居民医保各级财政补助资金到位</w:t>
      </w:r>
      <w:r>
        <w:rPr>
          <w:rFonts w:hint="eastAsia" w:ascii="仿宋" w:hAnsi="仿宋" w:eastAsia="仿宋" w:cs="仿宋"/>
          <w:sz w:val="32"/>
          <w:szCs w:val="32"/>
          <w:lang w:val="en-US" w:eastAsia="zh-CN"/>
        </w:rPr>
        <w:t>400</w:t>
      </w:r>
      <w:r>
        <w:rPr>
          <w:rFonts w:hint="eastAsia" w:ascii="仿宋" w:hAnsi="仿宋" w:eastAsia="仿宋" w:cs="仿宋"/>
          <w:sz w:val="32"/>
          <w:szCs w:val="32"/>
        </w:rPr>
        <w:t>万元，资金到位率100%。</w:t>
      </w:r>
      <w:r>
        <w:rPr>
          <w:rFonts w:hint="eastAsia" w:ascii="仿宋" w:hAnsi="仿宋" w:eastAsia="仿宋" w:cs="仿宋"/>
          <w:bCs/>
          <w:color w:val="000000"/>
          <w:sz w:val="32"/>
          <w:szCs w:val="32"/>
        </w:rPr>
        <w:t>（自评得</w:t>
      </w:r>
      <w:r>
        <w:rPr>
          <w:rFonts w:hint="eastAsia" w:ascii="仿宋" w:hAnsi="仿宋" w:eastAsia="仿宋" w:cs="仿宋"/>
          <w:color w:val="000000"/>
          <w:sz w:val="32"/>
          <w:szCs w:val="32"/>
        </w:rPr>
        <w:t>分44</w:t>
      </w:r>
      <w:r>
        <w:rPr>
          <w:rFonts w:hAnsi="仿宋" w:eastAsia="仿宋"/>
          <w:color w:val="000000"/>
          <w:sz w:val="32"/>
          <w:szCs w:val="32"/>
        </w:rPr>
        <w:t>分）</w:t>
      </w:r>
    </w:p>
    <w:p>
      <w:pPr>
        <w:adjustRightInd w:val="0"/>
        <w:snapToGrid w:val="0"/>
        <w:spacing w:line="560" w:lineRule="exact"/>
        <w:ind w:firstLine="640" w:firstLineChars="200"/>
        <w:rPr>
          <w:rFonts w:hAnsi="仿宋" w:eastAsia="仿宋"/>
          <w:color w:val="000000"/>
          <w:sz w:val="32"/>
          <w:szCs w:val="32"/>
        </w:rPr>
      </w:pPr>
      <w:r>
        <w:rPr>
          <w:rFonts w:hint="eastAsia" w:ascii="仿宋" w:hAnsi="仿宋" w:eastAsia="仿宋" w:cs="仿宋"/>
          <w:color w:val="000000"/>
          <w:sz w:val="32"/>
          <w:szCs w:val="32"/>
        </w:rPr>
        <w:t>4.项目</w:t>
      </w:r>
      <w:r>
        <w:rPr>
          <w:rFonts w:hint="eastAsia" w:hAnsi="仿宋" w:eastAsia="仿宋"/>
          <w:color w:val="000000"/>
          <w:sz w:val="32"/>
          <w:szCs w:val="32"/>
        </w:rPr>
        <w:t>效益</w:t>
      </w:r>
    </w:p>
    <w:p>
      <w:pPr>
        <w:adjustRightInd w:val="0"/>
        <w:snapToGrid w:val="0"/>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满意度指标。</w:t>
      </w:r>
      <w:r>
        <w:rPr>
          <w:rFonts w:hint="eastAsia" w:ascii="仿宋" w:hAnsi="仿宋" w:eastAsia="仿宋" w:cs="仿宋"/>
          <w:color w:val="000000"/>
          <w:sz w:val="32"/>
          <w:szCs w:val="32"/>
        </w:rPr>
        <w:t>参保对象对工作满意度95%。完善一站式服务平台，提高了群众报账效率、优化报账流程。参保群众对城乡居民医保工作开展比较满意。现行的城乡居民医保制度更优质、更实际，参保居民的获得感和满意度不断提高。（自评得分10分）</w:t>
      </w:r>
    </w:p>
    <w:p>
      <w:pPr>
        <w:adjustRightInd w:val="0"/>
        <w:snapToGrid w:val="0"/>
        <w:spacing w:line="560" w:lineRule="exact"/>
        <w:ind w:firstLine="630"/>
        <w:rPr>
          <w:rFonts w:ascii="仿宋" w:hAnsi="仿宋" w:eastAsia="仿宋" w:cs="仿宋"/>
          <w:color w:val="000000"/>
          <w:sz w:val="32"/>
          <w:szCs w:val="32"/>
        </w:rPr>
      </w:pPr>
      <w:r>
        <w:rPr>
          <w:rFonts w:hint="eastAsia" w:ascii="仿宋" w:hAnsi="仿宋" w:eastAsia="仿宋" w:cs="仿宋"/>
          <w:color w:val="000000"/>
          <w:sz w:val="32"/>
          <w:szCs w:val="32"/>
        </w:rPr>
        <w:t>2021年度我区</w:t>
      </w:r>
      <w:r>
        <w:rPr>
          <w:rFonts w:hint="eastAsia" w:ascii="仿宋" w:hAnsi="仿宋" w:eastAsia="仿宋" w:cs="仿宋"/>
          <w:color w:val="000000"/>
          <w:sz w:val="32"/>
          <w:szCs w:val="32"/>
          <w:lang w:eastAsia="zh-CN"/>
        </w:rPr>
        <w:t>健康扶贫兜底</w:t>
      </w:r>
      <w:r>
        <w:rPr>
          <w:rFonts w:hint="eastAsia" w:ascii="仿宋" w:hAnsi="仿宋" w:eastAsia="仿宋" w:cs="仿宋"/>
          <w:color w:val="000000"/>
          <w:sz w:val="32"/>
          <w:szCs w:val="32"/>
        </w:rPr>
        <w:t>资金绩效自评总得分99分。</w:t>
      </w:r>
    </w:p>
    <w:p>
      <w:pPr>
        <w:pStyle w:val="7"/>
        <w:kinsoku w:val="0"/>
        <w:overflowPunct w:val="0"/>
        <w:spacing w:line="560" w:lineRule="exact"/>
        <w:ind w:left="0" w:firstLine="640" w:firstLineChars="200"/>
        <w:rPr>
          <w:rFonts w:ascii="Times New Roman" w:eastAsia="楷体" w:cs="Times New Roman"/>
          <w:sz w:val="32"/>
          <w:szCs w:val="32"/>
        </w:rPr>
      </w:pPr>
      <w:r>
        <w:rPr>
          <w:rFonts w:hint="eastAsia" w:ascii="Times New Roman" w:hAnsi="楷体" w:eastAsia="楷体" w:cs="Times New Roman"/>
          <w:sz w:val="32"/>
          <w:szCs w:val="32"/>
        </w:rPr>
        <w:t>五、</w:t>
      </w:r>
      <w:r>
        <w:rPr>
          <w:rFonts w:ascii="Times New Roman" w:hAnsi="楷体" w:eastAsia="楷体" w:cs="Times New Roman"/>
          <w:sz w:val="32"/>
          <w:szCs w:val="32"/>
        </w:rPr>
        <w:t>存在的问题</w:t>
      </w:r>
    </w:p>
    <w:p>
      <w:pPr>
        <w:spacing w:line="560" w:lineRule="exact"/>
        <w:ind w:firstLine="640" w:firstLineChars="200"/>
        <w:rPr>
          <w:rFonts w:eastAsia="仿宋"/>
          <w:color w:val="000000"/>
          <w:kern w:val="1"/>
          <w:sz w:val="32"/>
          <w:szCs w:val="32"/>
        </w:rPr>
      </w:pPr>
      <w:r>
        <w:rPr>
          <w:rFonts w:hAnsi="仿宋" w:eastAsia="仿宋"/>
          <w:color w:val="000000"/>
          <w:kern w:val="1"/>
          <w:sz w:val="32"/>
          <w:szCs w:val="32"/>
        </w:rPr>
        <w:t>第一，区级财政配套资金压力很大。区财政底子很薄，只能勉强保证城乡居民医保配套经费足额到位。加上近两年出台的一系列对贫困人口的精准帮扶政策，全部需要区政府出资，财政支出压力很大。</w:t>
      </w:r>
    </w:p>
    <w:p>
      <w:pPr>
        <w:spacing w:line="560" w:lineRule="exact"/>
        <w:ind w:firstLine="640" w:firstLineChars="200"/>
        <w:rPr>
          <w:rFonts w:eastAsia="仿宋"/>
          <w:color w:val="000000"/>
          <w:kern w:val="1"/>
          <w:sz w:val="32"/>
          <w:szCs w:val="32"/>
        </w:rPr>
      </w:pPr>
      <w:r>
        <w:rPr>
          <w:rFonts w:hAnsi="仿宋" w:eastAsia="仿宋"/>
          <w:color w:val="000000"/>
          <w:sz w:val="32"/>
          <w:szCs w:val="32"/>
        </w:rPr>
        <w:t>第二，住院医疗费用增幅大，基金运行压力剧增。</w:t>
      </w:r>
      <w:r>
        <w:rPr>
          <w:rFonts w:hint="eastAsia" w:hAnsi="仿宋" w:eastAsia="仿宋"/>
          <w:color w:val="000000"/>
          <w:sz w:val="32"/>
          <w:szCs w:val="32"/>
        </w:rPr>
        <w:t>一是因</w:t>
      </w:r>
      <w:r>
        <w:rPr>
          <w:rFonts w:hAnsi="仿宋" w:eastAsia="仿宋"/>
          <w:color w:val="000000"/>
          <w:sz w:val="32"/>
          <w:szCs w:val="32"/>
        </w:rPr>
        <w:t>区</w:t>
      </w:r>
      <w:r>
        <w:rPr>
          <w:rFonts w:hAnsi="仿宋" w:eastAsia="仿宋"/>
          <w:color w:val="000000"/>
          <w:kern w:val="1"/>
          <w:sz w:val="32"/>
          <w:szCs w:val="32"/>
        </w:rPr>
        <w:t>内医疗机构</w:t>
      </w:r>
      <w:r>
        <w:rPr>
          <w:rFonts w:hint="eastAsia" w:hAnsi="仿宋" w:eastAsia="仿宋"/>
          <w:color w:val="000000"/>
          <w:kern w:val="1"/>
          <w:sz w:val="32"/>
          <w:szCs w:val="32"/>
        </w:rPr>
        <w:t>技术</w:t>
      </w:r>
      <w:r>
        <w:rPr>
          <w:rFonts w:hAnsi="仿宋" w:eastAsia="仿宋"/>
          <w:color w:val="000000"/>
          <w:kern w:val="1"/>
          <w:sz w:val="32"/>
          <w:szCs w:val="32"/>
        </w:rPr>
        <w:t>能力相对不足</w:t>
      </w:r>
      <w:r>
        <w:rPr>
          <w:rFonts w:hint="eastAsia" w:hAnsi="仿宋" w:eastAsia="仿宋"/>
          <w:color w:val="000000"/>
          <w:kern w:val="1"/>
          <w:sz w:val="32"/>
          <w:szCs w:val="32"/>
        </w:rPr>
        <w:t>，导致</w:t>
      </w:r>
      <w:r>
        <w:rPr>
          <w:rFonts w:hAnsi="仿宋" w:eastAsia="仿宋"/>
          <w:color w:val="000000"/>
          <w:kern w:val="1"/>
          <w:sz w:val="32"/>
          <w:szCs w:val="32"/>
        </w:rPr>
        <w:t>病源外流，</w:t>
      </w:r>
      <w:r>
        <w:rPr>
          <w:rFonts w:hint="eastAsia" w:hAnsi="仿宋" w:eastAsia="仿宋"/>
          <w:color w:val="000000"/>
          <w:kern w:val="1"/>
          <w:sz w:val="32"/>
          <w:szCs w:val="32"/>
        </w:rPr>
        <w:t>医保支付费用增多。二是区</w:t>
      </w:r>
      <w:r>
        <w:rPr>
          <w:rFonts w:hAnsi="仿宋" w:eastAsia="仿宋"/>
          <w:color w:val="000000"/>
          <w:kern w:val="1"/>
          <w:sz w:val="32"/>
          <w:szCs w:val="32"/>
        </w:rPr>
        <w:t>域外定点医疗机构的医疗费用大幅增长，</w:t>
      </w:r>
      <w:r>
        <w:rPr>
          <w:rFonts w:hint="eastAsia" w:hAnsi="仿宋" w:eastAsia="仿宋"/>
          <w:color w:val="000000"/>
          <w:kern w:val="1"/>
          <w:sz w:val="32"/>
          <w:szCs w:val="32"/>
        </w:rPr>
        <w:t>基金支出增加</w:t>
      </w:r>
      <w:r>
        <w:rPr>
          <w:rFonts w:hAnsi="仿宋" w:eastAsia="仿宋"/>
          <w:color w:val="000000"/>
          <w:kern w:val="1"/>
          <w:sz w:val="32"/>
          <w:szCs w:val="32"/>
        </w:rPr>
        <w:t>。</w:t>
      </w:r>
    </w:p>
    <w:p>
      <w:pPr>
        <w:adjustRightInd w:val="0"/>
        <w:snapToGrid w:val="0"/>
        <w:spacing w:line="560" w:lineRule="exact"/>
        <w:ind w:firstLine="630"/>
        <w:rPr>
          <w:rFonts w:eastAsia="仿宋"/>
          <w:color w:val="000000"/>
          <w:kern w:val="1"/>
          <w:sz w:val="32"/>
          <w:szCs w:val="32"/>
        </w:rPr>
      </w:pPr>
      <w:r>
        <w:rPr>
          <w:rFonts w:hAnsi="仿宋" w:eastAsia="仿宋"/>
          <w:color w:val="000000"/>
          <w:sz w:val="32"/>
          <w:szCs w:val="32"/>
        </w:rPr>
        <w:t>第三，基金运行存在安全隐患。</w:t>
      </w:r>
      <w:r>
        <w:rPr>
          <w:rFonts w:hint="eastAsia" w:hAnsi="仿宋" w:eastAsia="仿宋"/>
          <w:bCs/>
          <w:color w:val="000000"/>
          <w:kern w:val="1"/>
          <w:sz w:val="32"/>
          <w:szCs w:val="32"/>
        </w:rPr>
        <w:t>一是由于赫山区外出务工青壮年人员多（估计有8-10万人），家里剩下的全是老幼病残，患病率高，医疗费用多，医保支付相对增多</w:t>
      </w:r>
      <w:r>
        <w:rPr>
          <w:rFonts w:hAnsi="仿宋" w:eastAsia="仿宋"/>
          <w:color w:val="000000"/>
          <w:kern w:val="1"/>
          <w:sz w:val="32"/>
          <w:szCs w:val="32"/>
        </w:rPr>
        <w:t>。</w:t>
      </w:r>
      <w:r>
        <w:rPr>
          <w:rFonts w:hint="eastAsia" w:hAnsi="仿宋" w:eastAsia="仿宋"/>
          <w:color w:val="000000"/>
          <w:kern w:val="1"/>
          <w:sz w:val="32"/>
          <w:szCs w:val="32"/>
        </w:rPr>
        <w:t>而由于青壮年在外务工，不能在户籍地参保，导致我区参保人数逐年下降，基金盘量减小，支付逐年递增，导致基金安全风险增大。二是由于市级统筹原因，区县市医保局对医疗机构床日控费、次均控费无法实施，医疗机构欠规范服务行为不能有效控制，导致医保支付压力加大，为基金安全埋下很大隐患。</w:t>
      </w:r>
    </w:p>
    <w:p>
      <w:pPr>
        <w:pStyle w:val="7"/>
        <w:kinsoku w:val="0"/>
        <w:overflowPunct w:val="0"/>
        <w:spacing w:line="560" w:lineRule="exact"/>
        <w:ind w:left="0" w:firstLine="640" w:firstLineChars="200"/>
        <w:rPr>
          <w:rFonts w:ascii="Times New Roman" w:eastAsia="楷体" w:cs="Times New Roman"/>
          <w:sz w:val="32"/>
          <w:szCs w:val="32"/>
        </w:rPr>
      </w:pPr>
      <w:r>
        <w:rPr>
          <w:rFonts w:hint="eastAsia" w:ascii="Times New Roman" w:hAnsi="楷体" w:eastAsia="楷体" w:cs="Times New Roman"/>
          <w:sz w:val="32"/>
          <w:szCs w:val="32"/>
        </w:rPr>
        <w:t>六、有关</w:t>
      </w:r>
      <w:r>
        <w:rPr>
          <w:rFonts w:ascii="Times New Roman" w:hAnsi="楷体" w:eastAsia="楷体" w:cs="Times New Roman"/>
          <w:sz w:val="32"/>
          <w:szCs w:val="32"/>
        </w:rPr>
        <w:t>建议</w:t>
      </w:r>
    </w:p>
    <w:p>
      <w:pPr>
        <w:spacing w:line="560" w:lineRule="exact"/>
        <w:ind w:firstLine="640" w:firstLineChars="200"/>
        <w:rPr>
          <w:rFonts w:eastAsia="仿宋"/>
          <w:bCs/>
          <w:color w:val="000000"/>
          <w:kern w:val="1"/>
          <w:sz w:val="32"/>
          <w:szCs w:val="32"/>
        </w:rPr>
      </w:pPr>
      <w:r>
        <w:rPr>
          <w:rFonts w:hAnsi="仿宋" w:eastAsia="仿宋"/>
          <w:bCs/>
          <w:color w:val="000000"/>
          <w:kern w:val="1"/>
          <w:sz w:val="32"/>
          <w:szCs w:val="32"/>
        </w:rPr>
        <w:t>第一，建议上级调整配套比例，减轻区级配套压力。</w:t>
      </w:r>
    </w:p>
    <w:p>
      <w:pPr>
        <w:spacing w:line="560" w:lineRule="exact"/>
        <w:ind w:firstLine="640" w:firstLineChars="200"/>
        <w:rPr>
          <w:rFonts w:eastAsia="仿宋"/>
          <w:bCs/>
          <w:color w:val="000000"/>
          <w:kern w:val="1"/>
          <w:sz w:val="32"/>
          <w:szCs w:val="32"/>
        </w:rPr>
      </w:pPr>
      <w:r>
        <w:rPr>
          <w:rFonts w:hAnsi="仿宋" w:eastAsia="仿宋"/>
          <w:bCs/>
          <w:color w:val="000000"/>
          <w:kern w:val="1"/>
          <w:sz w:val="32"/>
          <w:szCs w:val="32"/>
        </w:rPr>
        <w:t>第二，进一步</w:t>
      </w:r>
      <w:r>
        <w:rPr>
          <w:rFonts w:hAnsi="仿宋" w:eastAsia="仿宋"/>
          <w:sz w:val="32"/>
          <w:szCs w:val="32"/>
        </w:rPr>
        <w:t>加大定点医疗机构监管力度。建议</w:t>
      </w:r>
      <w:r>
        <w:rPr>
          <w:rFonts w:hAnsi="仿宋" w:eastAsia="仿宋"/>
          <w:bCs/>
          <w:color w:val="000000"/>
          <w:kern w:val="1"/>
          <w:sz w:val="32"/>
          <w:szCs w:val="32"/>
        </w:rPr>
        <w:t>各级卫健行政部门要进一步强化对定点医疗机构服务行为的监管，引导医疗机构合理治疗、合理检查、合理收费，规范医院医疗服务行为。重点是加强对各医院主要负责人的管理和引导，明确医保基金管理和使用原则，真正明白</w:t>
      </w:r>
      <w:r>
        <w:rPr>
          <w:rFonts w:eastAsia="仿宋"/>
          <w:bCs/>
          <w:color w:val="000000"/>
          <w:kern w:val="1"/>
          <w:sz w:val="32"/>
          <w:szCs w:val="32"/>
        </w:rPr>
        <w:t>“</w:t>
      </w:r>
      <w:r>
        <w:rPr>
          <w:rFonts w:hAnsi="仿宋" w:eastAsia="仿宋"/>
          <w:bCs/>
          <w:color w:val="000000"/>
          <w:kern w:val="1"/>
          <w:sz w:val="32"/>
          <w:szCs w:val="32"/>
        </w:rPr>
        <w:t>政府得民心、卫生得发展、群众得实惠</w:t>
      </w:r>
      <w:r>
        <w:rPr>
          <w:rFonts w:eastAsia="仿宋"/>
          <w:bCs/>
          <w:color w:val="000000"/>
          <w:kern w:val="1"/>
          <w:sz w:val="32"/>
          <w:szCs w:val="32"/>
        </w:rPr>
        <w:t>”</w:t>
      </w:r>
      <w:r>
        <w:rPr>
          <w:rFonts w:hAnsi="仿宋" w:eastAsia="仿宋"/>
          <w:bCs/>
          <w:color w:val="000000"/>
          <w:kern w:val="1"/>
          <w:sz w:val="32"/>
          <w:szCs w:val="32"/>
        </w:rPr>
        <w:t>的含义。让他们着重从自身能力建设上下功夫，降低农民住院和门诊次均费用，真正让利于民。</w:t>
      </w:r>
    </w:p>
    <w:p>
      <w:pPr>
        <w:adjustRightInd w:val="0"/>
        <w:snapToGrid w:val="0"/>
        <w:spacing w:line="560" w:lineRule="exact"/>
        <w:ind w:firstLine="630"/>
        <w:rPr>
          <w:rFonts w:ascii="仿宋" w:hAnsi="仿宋" w:eastAsia="仿宋" w:cs="仿宋"/>
          <w:sz w:val="32"/>
          <w:szCs w:val="32"/>
        </w:rPr>
      </w:pPr>
      <w:r>
        <w:rPr>
          <w:rFonts w:hAnsi="仿宋" w:eastAsia="仿宋"/>
          <w:bCs/>
          <w:color w:val="000000"/>
          <w:kern w:val="1"/>
          <w:sz w:val="32"/>
          <w:szCs w:val="32"/>
        </w:rPr>
        <w:t>第三，</w:t>
      </w:r>
      <w:r>
        <w:rPr>
          <w:rFonts w:hint="eastAsia" w:hAnsi="仿宋" w:eastAsia="仿宋"/>
          <w:bCs/>
          <w:color w:val="000000"/>
          <w:kern w:val="1"/>
          <w:sz w:val="32"/>
          <w:szCs w:val="32"/>
        </w:rPr>
        <w:t>建议外出务工人员按政策在户籍地参保，大学生在学校统筹区整体参保</w:t>
      </w:r>
      <w:r>
        <w:rPr>
          <w:rFonts w:hAnsi="仿宋" w:eastAsia="仿宋"/>
          <w:color w:val="000000"/>
          <w:kern w:val="1"/>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附件：赫山区健康扶贫兜底资金绩效自评表</w:t>
      </w: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rPr>
      </w:pPr>
      <w:bookmarkStart w:id="6" w:name="_GoBack"/>
      <w:bookmarkEnd w:id="6"/>
    </w:p>
    <w:p>
      <w:pPr>
        <w:pStyle w:val="2"/>
        <w:rPr>
          <w:rFonts w:hint="eastAsia"/>
        </w:rPr>
      </w:pPr>
    </w:p>
    <w:p>
      <w:pPr>
        <w:pStyle w:val="2"/>
        <w:rPr>
          <w:rFonts w:hint="eastAsia"/>
        </w:rPr>
      </w:pPr>
    </w:p>
    <w:p>
      <w:pPr>
        <w:spacing w:afterLines="50" w:line="400" w:lineRule="exact"/>
        <w:ind w:firstLine="0" w:firstLineChars="0"/>
        <w:jc w:val="center"/>
        <w:rPr>
          <w:rFonts w:ascii="方正小标宋简体" w:hAnsi="Times New Roman" w:eastAsia="方正小标宋简体" w:cs="方正小标宋_GBK"/>
          <w:sz w:val="36"/>
          <w:szCs w:val="36"/>
        </w:rPr>
      </w:pPr>
      <w:r>
        <w:rPr>
          <w:rFonts w:hint="eastAsia" w:ascii="方正小标宋简体" w:hAnsi="Times New Roman" w:eastAsia="方正小标宋简体" w:cs="方正小标宋_GBK"/>
          <w:sz w:val="36"/>
          <w:szCs w:val="36"/>
        </w:rPr>
        <w:t>202</w:t>
      </w:r>
      <w:r>
        <w:rPr>
          <w:rFonts w:hint="eastAsia" w:ascii="方正小标宋简体" w:hAnsi="Times New Roman" w:eastAsia="方正小标宋简体" w:cs="方正小标宋_GBK"/>
          <w:sz w:val="36"/>
          <w:szCs w:val="36"/>
          <w:lang w:val="en-US" w:eastAsia="zh-CN"/>
        </w:rPr>
        <w:t>1</w:t>
      </w:r>
      <w:r>
        <w:rPr>
          <w:rFonts w:hint="eastAsia" w:ascii="方正小标宋简体" w:hAnsi="Times New Roman" w:eastAsia="方正小标宋简体" w:cs="方正小标宋_GBK"/>
          <w:sz w:val="36"/>
          <w:szCs w:val="36"/>
        </w:rPr>
        <w:t>年度项目支出绩效自评指标计分表</w:t>
      </w:r>
    </w:p>
    <w:tbl>
      <w:tblPr>
        <w:tblStyle w:val="8"/>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471"/>
        <w:gridCol w:w="866"/>
        <w:gridCol w:w="561"/>
        <w:gridCol w:w="2723"/>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一级</w:t>
            </w:r>
            <w:r>
              <w:rPr>
                <w:rFonts w:ascii="宋体" w:hAnsi="Times New Roman" w:eastAsia="宋体" w:cs="Times New Roman"/>
                <w:b/>
                <w:bCs/>
                <w:sz w:val="21"/>
              </w:rPr>
              <w:br w:type="textWrapping"/>
            </w:r>
            <w:r>
              <w:rPr>
                <w:rFonts w:hint="eastAsia" w:ascii="宋体" w:hAnsi="宋体" w:eastAsia="宋体" w:cs="宋体"/>
                <w:b/>
                <w:bCs/>
                <w:sz w:val="21"/>
              </w:rPr>
              <w:t>指标</w:t>
            </w:r>
          </w:p>
        </w:tc>
        <w:tc>
          <w:tcPr>
            <w:tcW w:w="247"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二级</w:t>
            </w:r>
            <w:r>
              <w:rPr>
                <w:rFonts w:ascii="宋体" w:hAnsi="Times New Roman" w:eastAsia="宋体" w:cs="Times New Roman"/>
                <w:b/>
                <w:bCs/>
                <w:sz w:val="21"/>
              </w:rPr>
              <w:br w:type="textWrapping"/>
            </w:r>
            <w:r>
              <w:rPr>
                <w:rFonts w:hint="eastAsia" w:ascii="宋体" w:hAnsi="宋体" w:eastAsia="宋体" w:cs="宋体"/>
                <w:b/>
                <w:bCs/>
                <w:sz w:val="21"/>
              </w:rPr>
              <w:t>指标</w:t>
            </w:r>
          </w:p>
        </w:tc>
        <w:tc>
          <w:tcPr>
            <w:tcW w:w="454"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三级指标</w:t>
            </w:r>
          </w:p>
        </w:tc>
        <w:tc>
          <w:tcPr>
            <w:tcW w:w="294" w:type="pct"/>
            <w:noWrap w:val="0"/>
            <w:vAlign w:val="top"/>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自评分</w:t>
            </w:r>
          </w:p>
        </w:tc>
        <w:tc>
          <w:tcPr>
            <w:tcW w:w="1428"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指标解释</w:t>
            </w:r>
          </w:p>
        </w:tc>
        <w:tc>
          <w:tcPr>
            <w:tcW w:w="2282"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决</w:t>
            </w:r>
            <w:r>
              <w:rPr>
                <w:rFonts w:ascii="宋体" w:hAnsi="宋体" w:eastAsia="宋体" w:cs="宋体"/>
                <w:sz w:val="21"/>
              </w:rPr>
              <w:t xml:space="preserve">  </w:t>
            </w:r>
            <w:r>
              <w:rPr>
                <w:rFonts w:hint="eastAsia" w:ascii="宋体" w:hAnsi="宋体" w:eastAsia="宋体" w:cs="宋体"/>
                <w:sz w:val="21"/>
              </w:rPr>
              <w:t>策（</w:t>
            </w:r>
            <w:r>
              <w:rPr>
                <w:rFonts w:ascii="宋体" w:hAnsi="宋体" w:eastAsia="宋体" w:cs="宋体"/>
                <w:sz w:val="21"/>
              </w:rPr>
              <w:t>20</w:t>
            </w:r>
            <w:r>
              <w:rPr>
                <w:rFonts w:hint="eastAsia" w:ascii="宋体" w:hAnsi="宋体" w:eastAsia="宋体" w:cs="宋体"/>
                <w:sz w:val="21"/>
              </w:rPr>
              <w:t>分）</w:t>
            </w:r>
          </w:p>
        </w:tc>
        <w:tc>
          <w:tcPr>
            <w:tcW w:w="247" w:type="pct"/>
            <w:vMerge w:val="restar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预算支出决策</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（项目立项）（</w:t>
            </w:r>
            <w:r>
              <w:rPr>
                <w:rFonts w:ascii="宋体" w:hAnsi="宋体" w:eastAsia="宋体" w:cs="宋体"/>
                <w:sz w:val="21"/>
              </w:rPr>
              <w:t>8</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预算支出决策（项目立项）依据</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充分性（</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预算支出决策（项目立项）是否符合法律法规、相关政策、发展规划以及部门职责，用以反映和考核决策（立项）的依据情况。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①决策（立项）是否符合国家相关法律法规、国民经济发展规划和相关政策；</w:t>
            </w:r>
            <w:r>
              <w:rPr>
                <w:rFonts w:ascii="宋体" w:hAnsi="Times New Roman" w:eastAsia="宋体" w:cs="Times New Roman"/>
                <w:sz w:val="21"/>
              </w:rPr>
              <w:br w:type="textWrapping"/>
            </w:r>
            <w:r>
              <w:rPr>
                <w:rFonts w:hint="eastAsia" w:ascii="宋体" w:hAnsi="宋体" w:eastAsia="宋体" w:cs="宋体"/>
                <w:sz w:val="21"/>
              </w:rPr>
              <w:t>②决策（立项）是否符合行业发展规划和政策要求；</w:t>
            </w:r>
            <w:r>
              <w:rPr>
                <w:rFonts w:ascii="宋体" w:hAnsi="Times New Roman" w:eastAsia="宋体" w:cs="Times New Roman"/>
                <w:sz w:val="21"/>
              </w:rPr>
              <w:br w:type="textWrapping"/>
            </w:r>
            <w:r>
              <w:rPr>
                <w:rFonts w:hint="eastAsia" w:ascii="宋体" w:hAnsi="宋体" w:eastAsia="宋体" w:cs="宋体"/>
                <w:sz w:val="21"/>
              </w:rPr>
              <w:t>③决策（立项）是否与部门职责范围相符，属于部门履职所需；</w:t>
            </w:r>
            <w:r>
              <w:rPr>
                <w:rFonts w:ascii="宋体" w:hAnsi="Times New Roman" w:eastAsia="宋体" w:cs="Times New Roman"/>
                <w:sz w:val="21"/>
              </w:rPr>
              <w:br w:type="textWrapping"/>
            </w:r>
            <w:r>
              <w:rPr>
                <w:rFonts w:hint="eastAsia" w:ascii="宋体" w:hAnsi="宋体" w:eastAsia="宋体" w:cs="宋体"/>
                <w:sz w:val="21"/>
              </w:rPr>
              <w:t>④预算支出是否属于公共财政支持范围，是否符合中央、地方事权支出责任划分原则；</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p>
        </w:tc>
        <w:tc>
          <w:tcPr>
            <w:tcW w:w="247" w:type="pct"/>
            <w:vMerge w:val="continue"/>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决策(立项）程序规范性(</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预算支出申请、设立过程是否符合相关要求，用以反映和考核决策（立项）的规范情况。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left="105" w:leftChars="50" w:firstLine="0" w:firstLineChars="0"/>
              <w:rPr>
                <w:rFonts w:ascii="宋体" w:hAnsi="Times New Roman" w:eastAsia="宋体" w:cs="Times New Roman"/>
                <w:sz w:val="21"/>
              </w:rPr>
            </w:pPr>
            <w:r>
              <w:rPr>
                <w:rFonts w:hint="eastAsia" w:ascii="宋体" w:hAnsi="宋体" w:eastAsia="宋体" w:cs="宋体"/>
                <w:sz w:val="21"/>
              </w:rPr>
              <w:t>①预算支出是否按照规定的程序申请设立；</w:t>
            </w:r>
          </w:p>
          <w:p>
            <w:pPr>
              <w:spacing w:line="240" w:lineRule="exact"/>
              <w:ind w:left="105" w:leftChars="50" w:firstLine="0" w:firstLineChars="0"/>
              <w:rPr>
                <w:rFonts w:ascii="宋体" w:hAnsi="Times New Roman" w:eastAsia="宋体" w:cs="Times New Roman"/>
                <w:sz w:val="21"/>
              </w:rPr>
            </w:pPr>
            <w:r>
              <w:rPr>
                <w:rFonts w:hint="eastAsia" w:ascii="宋体" w:hAnsi="宋体" w:eastAsia="宋体" w:cs="宋体"/>
                <w:sz w:val="21"/>
              </w:rPr>
              <w:t>②审批文件、材料是否符合相关要求；</w:t>
            </w:r>
          </w:p>
          <w:p>
            <w:pPr>
              <w:spacing w:line="240" w:lineRule="exact"/>
              <w:ind w:left="105" w:leftChars="50" w:firstLine="0" w:firstLineChars="0"/>
              <w:rPr>
                <w:rFonts w:ascii="宋体" w:hAnsi="Times New Roman" w:eastAsia="宋体" w:cs="Times New Roman"/>
                <w:sz w:val="21"/>
              </w:rPr>
            </w:pPr>
            <w:r>
              <w:rPr>
                <w:rFonts w:hint="eastAsia" w:ascii="宋体" w:hAnsi="宋体" w:eastAsia="宋体" w:cs="宋体"/>
                <w:sz w:val="21"/>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noWrap w:val="0"/>
            <w:vAlign w:val="center"/>
          </w:tcPr>
          <w:p>
            <w:pPr>
              <w:spacing w:line="240" w:lineRule="exact"/>
              <w:ind w:firstLine="0" w:firstLineChars="0"/>
              <w:rPr>
                <w:rFonts w:ascii="宋体" w:hAnsi="Times New Roman" w:eastAsia="宋体" w:cs="Times New Roman"/>
                <w:sz w:val="21"/>
              </w:rPr>
            </w:pPr>
          </w:p>
        </w:tc>
        <w:tc>
          <w:tcPr>
            <w:tcW w:w="247" w:type="pct"/>
            <w:vMerge w:val="restart"/>
            <w:noWrap w:val="0"/>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绩效</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目标（</w:t>
            </w:r>
            <w:r>
              <w:rPr>
                <w:rFonts w:ascii="宋体" w:hAnsi="宋体" w:eastAsia="宋体" w:cs="宋体"/>
                <w:sz w:val="21"/>
              </w:rPr>
              <w:t>6</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绩效目标</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合理性（</w:t>
            </w:r>
            <w:r>
              <w:rPr>
                <w:rFonts w:ascii="宋体" w:hAnsi="宋体" w:eastAsia="宋体" w:cs="宋体"/>
                <w:sz w:val="21"/>
              </w:rPr>
              <w:t>3</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预算支出所设定的绩效目标是否依据充分，是否符合客观实际，用以反映和考核预算支出绩效目标与预算支出实施的相符情况。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（如未设定预算绩效目标，也可考核其他工作任务目标）</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①预算支出是否有绩效目标；</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②预算支出绩效目标与实际工作内容是否具有相关性；</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firstLine="0" w:firstLineChars="0"/>
              <w:rPr>
                <w:rFonts w:ascii="宋体" w:hAnsi="Times New Roman" w:eastAsia="宋体" w:cs="Times New Roman"/>
                <w:sz w:val="21"/>
              </w:rPr>
            </w:pPr>
          </w:p>
        </w:tc>
        <w:tc>
          <w:tcPr>
            <w:tcW w:w="247" w:type="pct"/>
            <w:vMerge w:val="continue"/>
            <w:noWrap w:val="0"/>
            <w:vAlign w:val="center"/>
          </w:tcPr>
          <w:p>
            <w:pPr>
              <w:spacing w:line="240" w:lineRule="exact"/>
              <w:ind w:firstLine="0" w:firstLineChars="0"/>
              <w:jc w:val="center"/>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绩效指标</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明确性（</w:t>
            </w:r>
            <w:r>
              <w:rPr>
                <w:rFonts w:ascii="宋体" w:hAnsi="宋体" w:eastAsia="宋体" w:cs="宋体"/>
                <w:sz w:val="21"/>
              </w:rPr>
              <w:t>3</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依据绩效目标设定的绩效指标是否清晰、细化、可衡量等，用以反映和考核预算支出绩效目标的明细化情况。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①是否将预算支出绩效目标细化分解为具体的绩效指标；</w:t>
            </w:r>
            <w:r>
              <w:rPr>
                <w:rFonts w:ascii="宋体" w:hAnsi="Times New Roman" w:eastAsia="宋体" w:cs="Times New Roman"/>
                <w:sz w:val="21"/>
              </w:rPr>
              <w:br w:type="textWrapping"/>
            </w:r>
            <w:r>
              <w:rPr>
                <w:rFonts w:hint="eastAsia" w:ascii="宋体" w:hAnsi="宋体" w:eastAsia="宋体" w:cs="宋体"/>
                <w:sz w:val="21"/>
              </w:rPr>
              <w:t>②是否通过清晰、可衡量的指标值予以体现；</w:t>
            </w:r>
            <w:r>
              <w:rPr>
                <w:rFonts w:ascii="宋体" w:hAnsi="Times New Roman" w:eastAsia="宋体" w:cs="Times New Roman"/>
                <w:sz w:val="21"/>
              </w:rPr>
              <w:br w:type="textWrapping"/>
            </w:r>
            <w:r>
              <w:rPr>
                <w:rFonts w:hint="eastAsia" w:ascii="宋体" w:hAnsi="宋体" w:eastAsia="宋体" w:cs="宋体"/>
                <w:sz w:val="21"/>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noWrap w:val="0"/>
            <w:vAlign w:val="center"/>
          </w:tcPr>
          <w:p>
            <w:pPr>
              <w:spacing w:line="240" w:lineRule="exact"/>
              <w:ind w:firstLine="0" w:firstLineChars="0"/>
              <w:rPr>
                <w:rFonts w:ascii="宋体" w:hAnsi="Times New Roman" w:eastAsia="宋体" w:cs="Times New Roman"/>
                <w:sz w:val="21"/>
              </w:rPr>
            </w:pPr>
          </w:p>
        </w:tc>
        <w:tc>
          <w:tcPr>
            <w:tcW w:w="247" w:type="pct"/>
            <w:vMerge w:val="restart"/>
            <w:noWrap w:val="0"/>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资金</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投入（</w:t>
            </w:r>
            <w:r>
              <w:rPr>
                <w:rFonts w:ascii="宋体" w:hAnsi="宋体" w:eastAsia="宋体" w:cs="宋体"/>
                <w:sz w:val="21"/>
              </w:rPr>
              <w:t>6</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预算编制</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科学性（</w:t>
            </w:r>
            <w:r>
              <w:rPr>
                <w:rFonts w:ascii="宋体" w:hAnsi="宋体" w:eastAsia="宋体" w:cs="宋体"/>
                <w:sz w:val="21"/>
              </w:rPr>
              <w:t>3</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预算编制是否经过科学论证、有明确标准，资金额度与年度目标是否相适应，用以反映和考核预算支出预算编制的科学性、合理性情况。</w:t>
            </w:r>
          </w:p>
        </w:tc>
        <w:tc>
          <w:tcPr>
            <w:tcW w:w="2282" w:type="pct"/>
            <w:noWrap w:val="0"/>
            <w:tcMar>
              <w:top w:w="10" w:type="dxa"/>
              <w:left w:w="10" w:type="dxa"/>
              <w:bottom w:w="0" w:type="dxa"/>
              <w:right w:w="10" w:type="dxa"/>
            </w:tcMar>
            <w:vAlign w:val="center"/>
          </w:tcPr>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①预算编制是否经过科学论证；</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②预算内容与支出内容是否匹配；</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③预算额度测算依据是否充分，是否按照标准编制；</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firstLine="0" w:firstLineChars="0"/>
              <w:rPr>
                <w:rFonts w:ascii="宋体" w:hAnsi="Times New Roman" w:eastAsia="宋体" w:cs="Times New Roman"/>
                <w:sz w:val="21"/>
              </w:rPr>
            </w:pPr>
          </w:p>
        </w:tc>
        <w:tc>
          <w:tcPr>
            <w:tcW w:w="247" w:type="pct"/>
            <w:vMerge w:val="continue"/>
            <w:noWrap w:val="0"/>
            <w:vAlign w:val="center"/>
          </w:tcPr>
          <w:p>
            <w:pPr>
              <w:spacing w:line="240" w:lineRule="exact"/>
              <w:ind w:firstLine="0" w:firstLineChars="0"/>
              <w:jc w:val="center"/>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资金分配</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合理性（</w:t>
            </w:r>
            <w:r>
              <w:rPr>
                <w:rFonts w:ascii="宋体" w:hAnsi="宋体" w:eastAsia="宋体" w:cs="宋体"/>
                <w:sz w:val="21"/>
              </w:rPr>
              <w:t>3</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预算资金分配是否有测算依据，与补助单位或地方实际是否相适应，用以反映和考核预算支出预算资金分配的科学性、合理性情况。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right="105" w:rightChars="50" w:firstLine="105" w:firstLineChars="50"/>
              <w:rPr>
                <w:rFonts w:ascii="宋体" w:hAnsi="Times New Roman" w:eastAsia="宋体" w:cs="Times New Roman"/>
                <w:sz w:val="21"/>
              </w:rPr>
            </w:pPr>
            <w:r>
              <w:rPr>
                <w:rFonts w:hint="eastAsia" w:ascii="宋体" w:hAnsi="宋体" w:eastAsia="宋体" w:cs="宋体"/>
                <w:sz w:val="21"/>
              </w:rPr>
              <w:t>①预算资金分配依据是否充分；</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noWrap w:val="0"/>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过</w:t>
            </w:r>
          </w:p>
          <w:p>
            <w:pPr>
              <w:spacing w:line="240" w:lineRule="exact"/>
              <w:ind w:firstLine="0" w:firstLineChars="0"/>
              <w:jc w:val="center"/>
              <w:rPr>
                <w:rFonts w:ascii="宋体" w:hAnsi="Times New Roman" w:eastAsia="宋体" w:cs="Times New Roman"/>
                <w:sz w:val="21"/>
              </w:rPr>
            </w:pPr>
          </w:p>
          <w:p>
            <w:pPr>
              <w:spacing w:line="240" w:lineRule="exact"/>
              <w:ind w:firstLine="0" w:firstLineChars="0"/>
              <w:jc w:val="center"/>
              <w:rPr>
                <w:rFonts w:ascii="宋体" w:hAnsi="Times New Roman" w:eastAsia="宋体" w:cs="Times New Roman"/>
                <w:sz w:val="21"/>
              </w:rPr>
            </w:pP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程（</w:t>
            </w:r>
            <w:r>
              <w:rPr>
                <w:rFonts w:ascii="宋体" w:hAnsi="宋体" w:eastAsia="宋体" w:cs="宋体"/>
                <w:sz w:val="21"/>
              </w:rPr>
              <w:t>20</w:t>
            </w:r>
            <w:r>
              <w:rPr>
                <w:rFonts w:hint="eastAsia" w:ascii="宋体" w:hAnsi="宋体" w:eastAsia="宋体" w:cs="宋体"/>
                <w:sz w:val="21"/>
              </w:rPr>
              <w:t>分）</w:t>
            </w:r>
          </w:p>
        </w:tc>
        <w:tc>
          <w:tcPr>
            <w:tcW w:w="247" w:type="pct"/>
            <w:vMerge w:val="restar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资金</w:t>
            </w:r>
            <w:r>
              <w:rPr>
                <w:rFonts w:ascii="宋体" w:hAnsi="Times New Roman" w:eastAsia="宋体" w:cs="Times New Roman"/>
                <w:sz w:val="21"/>
              </w:rPr>
              <w:br w:type="textWrapping"/>
            </w:r>
            <w:r>
              <w:rPr>
                <w:rFonts w:hint="eastAsia" w:ascii="宋体" w:hAnsi="宋体" w:eastAsia="宋体" w:cs="宋体"/>
                <w:sz w:val="21"/>
              </w:rPr>
              <w:t>管理（</w:t>
            </w:r>
            <w:r>
              <w:rPr>
                <w:rFonts w:ascii="宋体" w:hAnsi="宋体" w:eastAsia="宋体" w:cs="宋体"/>
                <w:sz w:val="21"/>
              </w:rPr>
              <w:t>12</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资金</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到位率（</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实际到位资金与预算资金的比率，用以反映和考核资金落实情况对预算支出实施的总体保障程度。</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资金到位率</w:t>
            </w:r>
            <w:r>
              <w:rPr>
                <w:rFonts w:ascii="宋体" w:hAnsi="宋体" w:eastAsia="宋体" w:cs="宋体"/>
                <w:sz w:val="21"/>
              </w:rPr>
              <w:t>=</w:t>
            </w:r>
            <w:r>
              <w:rPr>
                <w:rFonts w:hint="eastAsia" w:ascii="宋体" w:hAnsi="宋体" w:eastAsia="宋体" w:cs="宋体"/>
                <w:sz w:val="21"/>
              </w:rPr>
              <w:t>（实际到位资金</w:t>
            </w:r>
            <w:r>
              <w:rPr>
                <w:rFonts w:ascii="宋体" w:hAnsi="宋体" w:eastAsia="宋体" w:cs="宋体"/>
                <w:sz w:val="21"/>
              </w:rPr>
              <w:t>/</w:t>
            </w:r>
            <w:r>
              <w:rPr>
                <w:rFonts w:hint="eastAsia" w:ascii="宋体" w:hAnsi="宋体" w:eastAsia="宋体" w:cs="宋体"/>
                <w:sz w:val="21"/>
              </w:rPr>
              <w:t>预算资金）×</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实际到位资金：一定时期（本年度或预算支出期）内落实到具体预算支出的资金。</w:t>
            </w:r>
            <w:r>
              <w:rPr>
                <w:rFonts w:ascii="宋体" w:hAnsi="Times New Roman" w:eastAsia="宋体" w:cs="Times New Roman"/>
                <w:sz w:val="21"/>
              </w:rPr>
              <w:br w:type="textWrapping"/>
            </w:r>
            <w:r>
              <w:rPr>
                <w:rFonts w:hint="eastAsia" w:ascii="宋体" w:hAnsi="宋体" w:eastAsia="宋体" w:cs="宋体"/>
                <w:sz w:val="21"/>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noWrap w:val="0"/>
            <w:vAlign w:val="center"/>
          </w:tcPr>
          <w:p>
            <w:pPr>
              <w:spacing w:line="240" w:lineRule="exact"/>
              <w:ind w:firstLine="0" w:firstLineChars="0"/>
              <w:jc w:val="center"/>
              <w:rPr>
                <w:rFonts w:ascii="宋体" w:hAnsi="Times New Roman" w:eastAsia="宋体" w:cs="Times New Roman"/>
                <w:sz w:val="21"/>
              </w:rPr>
            </w:pPr>
          </w:p>
        </w:tc>
        <w:tc>
          <w:tcPr>
            <w:tcW w:w="247" w:type="pct"/>
            <w:vMerge w:val="continue"/>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预算</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执行率（</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预算资金是否按照计划执行，用以反映或考核预算支出预算执行情况。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预算执行率</w:t>
            </w:r>
            <w:r>
              <w:rPr>
                <w:rFonts w:ascii="宋体" w:hAnsi="宋体" w:eastAsia="宋体" w:cs="宋体"/>
                <w:sz w:val="21"/>
              </w:rPr>
              <w:t>=</w:t>
            </w:r>
            <w:r>
              <w:rPr>
                <w:rFonts w:hint="eastAsia" w:ascii="宋体" w:hAnsi="宋体" w:eastAsia="宋体" w:cs="宋体"/>
                <w:sz w:val="21"/>
              </w:rPr>
              <w:t>（实际支出资金</w:t>
            </w:r>
            <w:r>
              <w:rPr>
                <w:rFonts w:ascii="宋体" w:hAnsi="宋体" w:eastAsia="宋体" w:cs="宋体"/>
                <w:sz w:val="21"/>
              </w:rPr>
              <w:t>/</w:t>
            </w:r>
            <w:r>
              <w:rPr>
                <w:rFonts w:hint="eastAsia" w:ascii="宋体" w:hAnsi="宋体" w:eastAsia="宋体" w:cs="宋体"/>
                <w:sz w:val="21"/>
              </w:rPr>
              <w:t>实际到位资金）×</w:t>
            </w:r>
            <w:r>
              <w:rPr>
                <w:rFonts w:ascii="宋体" w:hAnsi="宋体" w:eastAsia="宋体" w:cs="宋体"/>
                <w:sz w:val="21"/>
              </w:rPr>
              <w:t>100%</w:t>
            </w:r>
            <w:r>
              <w:rPr>
                <w:rFonts w:hint="eastAsia" w:ascii="宋体" w:hAnsi="宋体" w:eastAsia="宋体" w:cs="宋体"/>
                <w:sz w:val="21"/>
              </w:rPr>
              <w:t>。</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firstLine="0" w:firstLineChars="0"/>
              <w:jc w:val="center"/>
              <w:rPr>
                <w:rFonts w:ascii="宋体" w:hAnsi="Times New Roman" w:eastAsia="宋体" w:cs="Times New Roman"/>
                <w:sz w:val="21"/>
              </w:rPr>
            </w:pPr>
          </w:p>
        </w:tc>
        <w:tc>
          <w:tcPr>
            <w:tcW w:w="247" w:type="pct"/>
            <w:vMerge w:val="continue"/>
            <w:noWrap w:val="0"/>
            <w:vAlign w:val="center"/>
          </w:tcPr>
          <w:p>
            <w:pPr>
              <w:spacing w:line="240" w:lineRule="exact"/>
              <w:ind w:firstLine="0" w:firstLineChars="0"/>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资金使用</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合规性（</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预算资金使用是否符合相关的财务管理制度规定，用以反映和考核预算资金的规范运行情况。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①是否符合国家财经法规和财务管理制度以及有关专项资金管理办法的规定；</w:t>
            </w:r>
          </w:p>
          <w:p>
            <w:pPr>
              <w:spacing w:line="240" w:lineRule="exact"/>
              <w:ind w:right="105" w:rightChars="50" w:firstLine="105" w:firstLineChars="50"/>
              <w:rPr>
                <w:rFonts w:ascii="宋体" w:hAnsi="Times New Roman" w:eastAsia="宋体" w:cs="Times New Roman"/>
                <w:sz w:val="21"/>
              </w:rPr>
            </w:pPr>
            <w:r>
              <w:rPr>
                <w:rFonts w:hint="eastAsia" w:ascii="宋体" w:hAnsi="宋体" w:eastAsia="宋体" w:cs="宋体"/>
                <w:sz w:val="21"/>
              </w:rPr>
              <w:t>②资金的拨付是否有完整的审批程序和手续；</w:t>
            </w:r>
          </w:p>
          <w:p>
            <w:pPr>
              <w:spacing w:line="240" w:lineRule="exact"/>
              <w:ind w:right="105" w:rightChars="50" w:firstLine="105" w:firstLineChars="50"/>
              <w:rPr>
                <w:rFonts w:ascii="宋体" w:hAnsi="Times New Roman" w:eastAsia="宋体" w:cs="Times New Roman"/>
                <w:sz w:val="21"/>
              </w:rPr>
            </w:pPr>
            <w:r>
              <w:rPr>
                <w:rFonts w:hint="eastAsia" w:ascii="宋体" w:hAnsi="宋体" w:eastAsia="宋体" w:cs="宋体"/>
                <w:sz w:val="21"/>
              </w:rPr>
              <w:t>③是否符合预算支出预算批复或合同规定的用途；</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p>
        </w:tc>
        <w:tc>
          <w:tcPr>
            <w:tcW w:w="247" w:type="pct"/>
            <w:vMerge w:val="restar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组织</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实施（</w:t>
            </w:r>
            <w:r>
              <w:rPr>
                <w:rFonts w:ascii="宋体" w:hAnsi="宋体" w:eastAsia="宋体" w:cs="宋体"/>
                <w:sz w:val="21"/>
              </w:rPr>
              <w:t>8</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管理制度</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健全性（</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预算支出实施单位的财务和业务管理制度是否健全，用以反映和考核财务和业务管理制度对预算支出顺利实施的保障情况。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①是否已制定或具有相应的业务管理制度；</w:t>
            </w:r>
            <w:r>
              <w:rPr>
                <w:rFonts w:ascii="宋体" w:hAnsi="Times New Roman" w:eastAsia="宋体" w:cs="Times New Roman"/>
                <w:sz w:val="21"/>
              </w:rPr>
              <w:br w:type="textWrapping"/>
            </w:r>
            <w:r>
              <w:rPr>
                <w:rFonts w:hint="eastAsia" w:ascii="宋体" w:hAnsi="宋体" w:eastAsia="宋体" w:cs="宋体"/>
                <w:sz w:val="21"/>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firstLine="0" w:firstLineChars="0"/>
              <w:rPr>
                <w:rFonts w:ascii="宋体" w:hAnsi="Times New Roman" w:eastAsia="宋体" w:cs="Times New Roman"/>
                <w:sz w:val="21"/>
              </w:rPr>
            </w:pPr>
          </w:p>
        </w:tc>
        <w:tc>
          <w:tcPr>
            <w:tcW w:w="247" w:type="pct"/>
            <w:vMerge w:val="continue"/>
            <w:noWrap w:val="0"/>
            <w:vAlign w:val="center"/>
          </w:tcPr>
          <w:p>
            <w:pPr>
              <w:spacing w:line="240" w:lineRule="exact"/>
              <w:ind w:firstLine="0" w:firstLineChars="0"/>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制度执行</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有效性（</w:t>
            </w:r>
            <w:r>
              <w:rPr>
                <w:rFonts w:ascii="宋体" w:hAnsi="宋体" w:eastAsia="宋体" w:cs="宋体"/>
                <w:sz w:val="21"/>
              </w:rPr>
              <w:t>4</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预算支出实施是否符合相关业务管理规定，用以反映和考核业务管理制度的有效执行情况。</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①是否遵守相关法律法规和相关管理规定；</w:t>
            </w:r>
            <w:r>
              <w:rPr>
                <w:rFonts w:ascii="宋体" w:hAnsi="Times New Roman" w:eastAsia="宋体" w:cs="Times New Roman"/>
                <w:sz w:val="21"/>
              </w:rPr>
              <w:br w:type="textWrapping"/>
            </w:r>
            <w:r>
              <w:rPr>
                <w:rFonts w:hint="eastAsia" w:ascii="宋体" w:hAnsi="宋体" w:eastAsia="宋体" w:cs="宋体"/>
                <w:sz w:val="21"/>
              </w:rPr>
              <w:t>②预算支出调整及支出调整手续是否完备；</w:t>
            </w:r>
            <w:r>
              <w:rPr>
                <w:rFonts w:ascii="宋体" w:hAnsi="Times New Roman" w:eastAsia="宋体" w:cs="Times New Roman"/>
                <w:sz w:val="21"/>
              </w:rPr>
              <w:br w:type="textWrapping"/>
            </w:r>
            <w:r>
              <w:rPr>
                <w:rFonts w:hint="eastAsia" w:ascii="宋体" w:hAnsi="宋体" w:eastAsia="宋体" w:cs="宋体"/>
                <w:sz w:val="21"/>
              </w:rPr>
              <w:t>③预算支出合同书、验收报告、技术鉴定等资料是否齐全并及时归档；</w:t>
            </w:r>
            <w:r>
              <w:rPr>
                <w:rFonts w:ascii="宋体" w:hAnsi="Times New Roman" w:eastAsia="宋体" w:cs="Times New Roman"/>
                <w:sz w:val="21"/>
              </w:rPr>
              <w:br w:type="textWrapping"/>
            </w:r>
            <w:r>
              <w:rPr>
                <w:rFonts w:hint="eastAsia" w:ascii="宋体" w:hAnsi="宋体" w:eastAsia="宋体" w:cs="宋体"/>
                <w:sz w:val="21"/>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w:t>
            </w:r>
            <w:r>
              <w:rPr>
                <w:rFonts w:ascii="宋体" w:hAnsi="宋体" w:eastAsia="宋体" w:cs="宋体"/>
                <w:sz w:val="21"/>
              </w:rPr>
              <w:t xml:space="preserve">   </w:t>
            </w:r>
            <w:r>
              <w:rPr>
                <w:rFonts w:hint="eastAsia" w:ascii="宋体" w:hAnsi="宋体" w:eastAsia="宋体" w:cs="宋体"/>
                <w:sz w:val="21"/>
              </w:rPr>
              <w:t>出（</w:t>
            </w:r>
            <w:r>
              <w:rPr>
                <w:rFonts w:ascii="宋体" w:hAnsi="宋体" w:eastAsia="宋体" w:cs="宋体"/>
                <w:sz w:val="21"/>
              </w:rPr>
              <w:t>40</w:t>
            </w:r>
            <w:r>
              <w:rPr>
                <w:rFonts w:hint="eastAsia" w:ascii="宋体" w:hAnsi="宋体" w:eastAsia="宋体" w:cs="宋体"/>
                <w:sz w:val="21"/>
              </w:rPr>
              <w:t>分）</w:t>
            </w:r>
          </w:p>
        </w:tc>
        <w:tc>
          <w:tcPr>
            <w:tcW w:w="247"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数量（</w:t>
            </w:r>
            <w:r>
              <w:rPr>
                <w:rFonts w:ascii="宋体" w:hAnsi="宋体" w:eastAsia="宋体" w:cs="宋体"/>
                <w:sz w:val="21"/>
              </w:rPr>
              <w:t>10</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实际</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完成率（</w:t>
            </w:r>
            <w:r>
              <w:rPr>
                <w:rFonts w:ascii="宋体" w:hAnsi="宋体" w:eastAsia="宋体" w:cs="宋体"/>
                <w:sz w:val="21"/>
              </w:rPr>
              <w:t>10</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预算支出实施的实际产出数与计划产出数的比率，用以反映和考核预算支出产出数量目标的实现程度。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实际完成率</w:t>
            </w:r>
            <w:r>
              <w:rPr>
                <w:rFonts w:ascii="宋体" w:hAnsi="宋体" w:eastAsia="宋体" w:cs="宋体"/>
                <w:sz w:val="21"/>
              </w:rPr>
              <w:t>=</w:t>
            </w:r>
            <w:r>
              <w:rPr>
                <w:rFonts w:hint="eastAsia" w:ascii="宋体" w:hAnsi="宋体" w:eastAsia="宋体" w:cs="宋体"/>
                <w:sz w:val="21"/>
              </w:rPr>
              <w:t>（实际产出数</w:t>
            </w:r>
            <w:r>
              <w:rPr>
                <w:rFonts w:ascii="宋体" w:hAnsi="宋体" w:eastAsia="宋体" w:cs="宋体"/>
                <w:sz w:val="21"/>
              </w:rPr>
              <w:t>/</w:t>
            </w:r>
            <w:r>
              <w:rPr>
                <w:rFonts w:hint="eastAsia" w:ascii="宋体" w:hAnsi="宋体" w:eastAsia="宋体" w:cs="宋体"/>
                <w:sz w:val="21"/>
              </w:rPr>
              <w:t>计划产出数）×</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实际产出数：一定时期（本年度或预算支出期）内预算支出实际产出的产品或提供的服务数量。</w:t>
            </w:r>
            <w:r>
              <w:rPr>
                <w:rFonts w:ascii="宋体" w:hAnsi="Times New Roman" w:eastAsia="宋体" w:cs="Times New Roman"/>
                <w:sz w:val="21"/>
              </w:rPr>
              <w:br w:type="textWrapping"/>
            </w:r>
            <w:r>
              <w:rPr>
                <w:rFonts w:hint="eastAsia" w:ascii="宋体" w:hAnsi="宋体" w:eastAsia="宋体" w:cs="宋体"/>
                <w:sz w:val="21"/>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7"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p>
        </w:tc>
        <w:tc>
          <w:tcPr>
            <w:tcW w:w="247" w:type="pc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质量（</w:t>
            </w:r>
            <w:r>
              <w:rPr>
                <w:rFonts w:ascii="宋体" w:hAnsi="宋体" w:eastAsia="宋体" w:cs="宋体"/>
                <w:sz w:val="21"/>
              </w:rPr>
              <w:t>10</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质量</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达标率（</w:t>
            </w:r>
            <w:r>
              <w:rPr>
                <w:rFonts w:ascii="宋体" w:hAnsi="宋体" w:eastAsia="宋体" w:cs="宋体"/>
                <w:sz w:val="21"/>
              </w:rPr>
              <w:t>10</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预算支出完成的质量达标产出数与实际产出数的比率，用以反映和考核预算支出产出质量目标的实现程度。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质量达标率</w:t>
            </w:r>
            <w:r>
              <w:rPr>
                <w:rFonts w:ascii="宋体" w:hAnsi="宋体" w:eastAsia="宋体" w:cs="宋体"/>
                <w:sz w:val="21"/>
              </w:rPr>
              <w:t>=</w:t>
            </w:r>
            <w:r>
              <w:rPr>
                <w:rFonts w:hint="eastAsia" w:ascii="宋体" w:hAnsi="宋体" w:eastAsia="宋体" w:cs="宋体"/>
                <w:sz w:val="21"/>
              </w:rPr>
              <w:t>（质量达标产出数</w:t>
            </w:r>
            <w:r>
              <w:rPr>
                <w:rFonts w:ascii="宋体" w:hAnsi="宋体" w:eastAsia="宋体" w:cs="宋体"/>
                <w:sz w:val="21"/>
              </w:rPr>
              <w:t>/</w:t>
            </w:r>
            <w:r>
              <w:rPr>
                <w:rFonts w:hint="eastAsia" w:ascii="宋体" w:hAnsi="宋体" w:eastAsia="宋体" w:cs="宋体"/>
                <w:sz w:val="21"/>
              </w:rPr>
              <w:t>实际产出数）×</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noWrap w:val="0"/>
            <w:vAlign w:val="center"/>
          </w:tcPr>
          <w:p>
            <w:pPr>
              <w:spacing w:line="240" w:lineRule="exact"/>
              <w:ind w:left="113" w:firstLine="0" w:firstLineChars="0"/>
              <w:rPr>
                <w:rFonts w:ascii="宋体" w:hAnsi="Times New Roman" w:eastAsia="宋体" w:cs="Times New Roman"/>
                <w:sz w:val="21"/>
              </w:rPr>
            </w:pPr>
            <w:r>
              <w:rPr>
                <w:rFonts w:hint="eastAsia" w:ascii="宋体" w:hAnsi="宋体" w:eastAsia="宋体" w:cs="宋体"/>
                <w:sz w:val="21"/>
              </w:rPr>
              <w:t>产</w:t>
            </w:r>
            <w:r>
              <w:rPr>
                <w:rFonts w:ascii="宋体" w:hAnsi="宋体" w:eastAsia="宋体" w:cs="宋体"/>
                <w:sz w:val="21"/>
              </w:rPr>
              <w:t xml:space="preserve">   </w:t>
            </w:r>
            <w:r>
              <w:rPr>
                <w:rFonts w:hint="eastAsia" w:ascii="宋体" w:hAnsi="宋体" w:eastAsia="宋体" w:cs="宋体"/>
                <w:sz w:val="21"/>
              </w:rPr>
              <w:t>出（</w:t>
            </w:r>
            <w:r>
              <w:rPr>
                <w:rFonts w:ascii="宋体" w:hAnsi="宋体" w:eastAsia="宋体" w:cs="宋体"/>
                <w:sz w:val="21"/>
              </w:rPr>
              <w:t>40</w:t>
            </w:r>
            <w:r>
              <w:rPr>
                <w:rFonts w:hint="eastAsia" w:ascii="宋体" w:hAnsi="宋体" w:eastAsia="宋体" w:cs="宋体"/>
                <w:sz w:val="21"/>
              </w:rPr>
              <w:t>分）</w:t>
            </w:r>
          </w:p>
        </w:tc>
        <w:tc>
          <w:tcPr>
            <w:tcW w:w="247" w:type="pct"/>
            <w:noWrap w:val="0"/>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时效（</w:t>
            </w:r>
            <w:r>
              <w:rPr>
                <w:rFonts w:ascii="宋体" w:hAnsi="宋体" w:eastAsia="宋体" w:cs="宋体"/>
                <w:sz w:val="21"/>
              </w:rPr>
              <w:t>10</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完成</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及时性（</w:t>
            </w:r>
            <w:r>
              <w:rPr>
                <w:rFonts w:ascii="宋体" w:hAnsi="宋体" w:eastAsia="宋体" w:cs="宋体"/>
                <w:sz w:val="21"/>
              </w:rPr>
              <w:t>10</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预算支出实际完成时间与计划完成时间的比较，用以反映和考核预算支出产出时效目标的实现程度。</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实际完成时间：预算支出实施单位完成该预算支出实际所耗用的时间。</w:t>
            </w:r>
            <w:r>
              <w:rPr>
                <w:rFonts w:ascii="宋体" w:hAnsi="Times New Roman" w:eastAsia="宋体" w:cs="Times New Roman"/>
                <w:sz w:val="21"/>
              </w:rPr>
              <w:br w:type="textWrapping"/>
            </w:r>
            <w:r>
              <w:rPr>
                <w:rFonts w:hint="eastAsia" w:ascii="宋体" w:hAnsi="宋体" w:eastAsia="宋体" w:cs="宋体"/>
                <w:sz w:val="21"/>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left="113" w:firstLine="0" w:firstLineChars="0"/>
              <w:rPr>
                <w:rFonts w:ascii="宋体" w:hAnsi="Times New Roman" w:eastAsia="宋体" w:cs="Times New Roman"/>
                <w:sz w:val="21"/>
              </w:rPr>
            </w:pPr>
          </w:p>
        </w:tc>
        <w:tc>
          <w:tcPr>
            <w:tcW w:w="247" w:type="pct"/>
            <w:noWrap w:val="0"/>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成本（</w:t>
            </w:r>
            <w:r>
              <w:rPr>
                <w:rFonts w:ascii="宋体" w:hAnsi="宋体" w:eastAsia="宋体" w:cs="宋体"/>
                <w:sz w:val="21"/>
              </w:rPr>
              <w:t>10</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成本</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节约率（</w:t>
            </w:r>
            <w:r>
              <w:rPr>
                <w:rFonts w:ascii="宋体" w:hAnsi="宋体" w:eastAsia="宋体" w:cs="宋体"/>
                <w:sz w:val="21"/>
              </w:rPr>
              <w:t>10</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right="105" w:rightChars="50"/>
              <w:jc w:val="center"/>
              <w:rPr>
                <w:rFonts w:ascii="宋体" w:hAnsi="Times New Roman" w:eastAsia="宋体" w:cs="Times New Roman"/>
                <w:sz w:val="21"/>
              </w:rPr>
            </w:pPr>
          </w:p>
          <w:p>
            <w:pPr>
              <w:spacing w:line="240" w:lineRule="exact"/>
              <w:ind w:left="105" w:leftChars="50" w:right="105" w:rightChars="50" w:firstLine="0" w:firstLineChars="0"/>
              <w:jc w:val="center"/>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9</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完成预算支出计划工作目标的实际节约成本与计划成本的比率，用以反映和考核预算支出的成本节约程度。</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成本节约率</w:t>
            </w:r>
            <w:r>
              <w:rPr>
                <w:rFonts w:ascii="宋体" w:hAnsi="宋体" w:eastAsia="宋体" w:cs="宋体"/>
                <w:sz w:val="21"/>
              </w:rPr>
              <w:t>=[</w:t>
            </w:r>
            <w:r>
              <w:rPr>
                <w:rFonts w:hint="eastAsia" w:ascii="宋体" w:hAnsi="宋体" w:eastAsia="宋体" w:cs="宋体"/>
                <w:sz w:val="21"/>
              </w:rPr>
              <w:t>（计划成本</w:t>
            </w:r>
            <w:r>
              <w:rPr>
                <w:rFonts w:ascii="宋体" w:hAnsi="Times New Roman" w:eastAsia="宋体" w:cs="宋体"/>
                <w:sz w:val="21"/>
              </w:rPr>
              <w:t>-</w:t>
            </w:r>
            <w:r>
              <w:rPr>
                <w:rFonts w:hint="eastAsia" w:ascii="宋体" w:hAnsi="宋体" w:eastAsia="宋体" w:cs="宋体"/>
                <w:sz w:val="21"/>
              </w:rPr>
              <w:t>实际成本）</w:t>
            </w:r>
            <w:r>
              <w:rPr>
                <w:rFonts w:ascii="宋体" w:hAnsi="宋体" w:eastAsia="宋体" w:cs="宋体"/>
                <w:sz w:val="21"/>
              </w:rPr>
              <w:t>/</w:t>
            </w:r>
            <w:r>
              <w:rPr>
                <w:rFonts w:hint="eastAsia" w:ascii="宋体" w:hAnsi="宋体" w:eastAsia="宋体" w:cs="宋体"/>
                <w:sz w:val="21"/>
              </w:rPr>
              <w:t>计划成本</w:t>
            </w:r>
            <w:r>
              <w:rPr>
                <w:rFonts w:ascii="宋体" w:hAnsi="宋体" w:eastAsia="宋体" w:cs="宋体"/>
                <w:sz w:val="21"/>
              </w:rPr>
              <w:t>]</w:t>
            </w:r>
            <w:r>
              <w:rPr>
                <w:rFonts w:hint="eastAsia" w:ascii="宋体" w:hAnsi="宋体" w:eastAsia="宋体" w:cs="宋体"/>
                <w:sz w:val="21"/>
              </w:rPr>
              <w:t>×</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实际成本：预算支出实施单位如期、保质、保量完成既定工作目标实际所耗费的支出。</w:t>
            </w:r>
            <w:r>
              <w:rPr>
                <w:rFonts w:ascii="宋体" w:hAnsi="Times New Roman" w:eastAsia="宋体" w:cs="Times New Roman"/>
                <w:sz w:val="21"/>
              </w:rPr>
              <w:br w:type="textWrapping"/>
            </w:r>
            <w:r>
              <w:rPr>
                <w:rFonts w:hint="eastAsia" w:ascii="宋体" w:hAnsi="宋体" w:eastAsia="宋体" w:cs="宋体"/>
                <w:sz w:val="21"/>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效</w:t>
            </w:r>
            <w:r>
              <w:rPr>
                <w:rFonts w:ascii="宋体" w:hAnsi="宋体" w:eastAsia="宋体" w:cs="宋体"/>
                <w:sz w:val="21"/>
              </w:rPr>
              <w:t xml:space="preserve">   </w:t>
            </w:r>
            <w:r>
              <w:rPr>
                <w:rFonts w:hint="eastAsia" w:ascii="宋体" w:hAnsi="宋体" w:eastAsia="宋体" w:cs="宋体"/>
                <w:sz w:val="21"/>
              </w:rPr>
              <w:t>益（</w:t>
            </w:r>
            <w:r>
              <w:rPr>
                <w:rFonts w:ascii="宋体" w:hAnsi="宋体" w:eastAsia="宋体" w:cs="宋体"/>
                <w:sz w:val="21"/>
              </w:rPr>
              <w:t>20</w:t>
            </w:r>
            <w:r>
              <w:rPr>
                <w:rFonts w:hint="eastAsia" w:ascii="宋体" w:hAnsi="宋体" w:eastAsia="宋体" w:cs="宋体"/>
                <w:sz w:val="21"/>
              </w:rPr>
              <w:t>分）</w:t>
            </w:r>
          </w:p>
        </w:tc>
        <w:tc>
          <w:tcPr>
            <w:tcW w:w="247" w:type="pct"/>
            <w:vMerge w:val="restart"/>
            <w:noWrap w:val="0"/>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预算支出</w:t>
            </w:r>
            <w:r>
              <w:rPr>
                <w:rFonts w:ascii="宋体" w:hAnsi="Times New Roman" w:eastAsia="宋体" w:cs="Times New Roman"/>
                <w:sz w:val="21"/>
              </w:rPr>
              <w:br w:type="textWrapping"/>
            </w:r>
            <w:r>
              <w:rPr>
                <w:rFonts w:hint="eastAsia" w:ascii="宋体" w:hAnsi="宋体" w:eastAsia="宋体" w:cs="宋体"/>
                <w:sz w:val="21"/>
              </w:rPr>
              <w:t>效益（</w:t>
            </w:r>
            <w:r>
              <w:rPr>
                <w:rFonts w:ascii="宋体" w:hAnsi="宋体" w:eastAsia="宋体" w:cs="宋体"/>
                <w:sz w:val="21"/>
              </w:rPr>
              <w:t>20</w:t>
            </w:r>
            <w:r>
              <w:rPr>
                <w:rFonts w:hint="eastAsia" w:ascii="宋体" w:hAnsi="宋体" w:eastAsia="宋体" w:cs="宋体"/>
                <w:sz w:val="21"/>
              </w:rPr>
              <w:t>分）</w:t>
            </w: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实施效益（</w:t>
            </w:r>
            <w:r>
              <w:rPr>
                <w:rFonts w:ascii="宋体" w:hAnsi="宋体" w:eastAsia="宋体" w:cs="宋体"/>
                <w:sz w:val="21"/>
              </w:rPr>
              <w:t>10</w:t>
            </w:r>
            <w:r>
              <w:rPr>
                <w:rFonts w:hint="eastAsia" w:ascii="宋体" w:hAnsi="宋体" w:eastAsia="宋体" w:cs="宋体"/>
                <w:sz w:val="21"/>
              </w:rPr>
              <w:t>分）</w:t>
            </w:r>
          </w:p>
        </w:tc>
        <w:tc>
          <w:tcPr>
            <w:tcW w:w="294" w:type="pct"/>
            <w:noWrap w:val="0"/>
            <w:vAlign w:val="top"/>
          </w:tcPr>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预算支出实施所产生的效益。</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0"/>
            <w:vAlign w:val="center"/>
          </w:tcPr>
          <w:p>
            <w:pPr>
              <w:spacing w:line="240" w:lineRule="exact"/>
              <w:ind w:firstLine="0" w:firstLineChars="0"/>
              <w:rPr>
                <w:rFonts w:ascii="宋体" w:hAnsi="Times New Roman" w:eastAsia="宋体" w:cs="Times New Roman"/>
                <w:sz w:val="21"/>
              </w:rPr>
            </w:pPr>
          </w:p>
        </w:tc>
        <w:tc>
          <w:tcPr>
            <w:tcW w:w="247" w:type="pct"/>
            <w:vMerge w:val="continue"/>
            <w:noWrap w:val="0"/>
            <w:vAlign w:val="center"/>
          </w:tcPr>
          <w:p>
            <w:pPr>
              <w:spacing w:line="240" w:lineRule="exact"/>
              <w:ind w:firstLine="0" w:firstLineChars="0"/>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社会公众</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或服务（</w:t>
            </w:r>
            <w:r>
              <w:rPr>
                <w:rFonts w:ascii="宋体" w:hAnsi="宋体" w:eastAsia="宋体" w:cs="宋体"/>
                <w:sz w:val="21"/>
              </w:rPr>
              <w:t>10</w:t>
            </w:r>
            <w:r>
              <w:rPr>
                <w:rFonts w:hint="eastAsia" w:ascii="宋体" w:hAnsi="宋体" w:eastAsia="宋体" w:cs="宋体"/>
                <w:sz w:val="21"/>
              </w:rPr>
              <w:t>分）对</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象满意度</w:t>
            </w:r>
          </w:p>
        </w:tc>
        <w:tc>
          <w:tcPr>
            <w:tcW w:w="294" w:type="pct"/>
            <w:noWrap w:val="0"/>
            <w:vAlign w:val="top"/>
          </w:tcPr>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ascii="宋体" w:hAnsi="Times New Roman" w:eastAsia="宋体" w:cs="Times New Roman"/>
                <w:sz w:val="21"/>
              </w:rPr>
            </w:pPr>
          </w:p>
          <w:p>
            <w:pPr>
              <w:spacing w:line="240" w:lineRule="exact"/>
              <w:ind w:left="105" w:leftChars="50" w:right="105" w:rightChars="50" w:firstLine="0" w:firstLineChars="0"/>
              <w:jc w:val="center"/>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社会公众或服务对象对预算支出实施效果的满意程度。</w:t>
            </w: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spacing w:line="240" w:lineRule="exact"/>
              <w:ind w:firstLine="0" w:firstLineChars="0"/>
              <w:rPr>
                <w:rFonts w:ascii="宋体" w:hAnsi="Times New Roman" w:eastAsia="宋体" w:cs="Times New Roman"/>
                <w:sz w:val="21"/>
              </w:rPr>
            </w:pPr>
            <w:r>
              <w:rPr>
                <w:rFonts w:hint="eastAsia" w:ascii="宋体" w:hAnsi="宋体" w:eastAsia="宋体" w:cs="宋体"/>
                <w:sz w:val="21"/>
              </w:rPr>
              <w:t>总分</w:t>
            </w:r>
          </w:p>
        </w:tc>
        <w:tc>
          <w:tcPr>
            <w:tcW w:w="247" w:type="pct"/>
            <w:noWrap w:val="0"/>
            <w:vAlign w:val="center"/>
          </w:tcPr>
          <w:p>
            <w:pPr>
              <w:spacing w:line="240" w:lineRule="exact"/>
              <w:ind w:firstLine="0" w:firstLineChars="0"/>
              <w:rPr>
                <w:rFonts w:ascii="宋体" w:hAnsi="Times New Roman" w:eastAsia="宋体" w:cs="Times New Roman"/>
                <w:sz w:val="21"/>
              </w:rPr>
            </w:pPr>
          </w:p>
        </w:tc>
        <w:tc>
          <w:tcPr>
            <w:tcW w:w="454" w:type="pct"/>
            <w:noWrap w:val="0"/>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p>
        </w:tc>
        <w:tc>
          <w:tcPr>
            <w:tcW w:w="294" w:type="pct"/>
            <w:noWrap w:val="0"/>
            <w:vAlign w:val="top"/>
          </w:tcPr>
          <w:p>
            <w:pPr>
              <w:spacing w:line="240" w:lineRule="exact"/>
              <w:ind w:right="105" w:rightChars="50"/>
              <w:jc w:val="center"/>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99</w:t>
            </w:r>
          </w:p>
        </w:tc>
        <w:tc>
          <w:tcPr>
            <w:tcW w:w="1428"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p>
        </w:tc>
        <w:tc>
          <w:tcPr>
            <w:tcW w:w="2282" w:type="pct"/>
            <w:noWrap w:val="0"/>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p>
        </w:tc>
      </w:tr>
    </w:tbl>
    <w:p>
      <w:pPr>
        <w:pStyle w:val="3"/>
        <w:ind w:left="0" w:leftChars="0" w:firstLine="0" w:firstLineChars="0"/>
        <w:rPr>
          <w:rFonts w:hint="eastAsia"/>
          <w:lang w:val="en-US" w:eastAsia="zh-CN"/>
        </w:rPr>
      </w:pPr>
    </w:p>
    <w:p/>
    <w:sectPr>
      <w:pgSz w:w="12240" w:h="15840"/>
      <w:pgMar w:top="1134" w:right="1531" w:bottom="1134" w:left="1531" w:header="720" w:footer="720" w:gutter="0"/>
      <w:pgBorders>
        <w:top w:val="none" w:sz="0" w:space="0"/>
        <w:left w:val="none" w:sz="0" w:space="0"/>
        <w:bottom w:val="none" w:sz="0" w:space="0"/>
        <w:right w:val="none" w:sz="0" w:space="0"/>
      </w:pgBorders>
      <w:lnNumType w:countBy="0" w:distance="36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A24EC"/>
    <w:multiLevelType w:val="singleLevel"/>
    <w:tmpl w:val="8AAA24EC"/>
    <w:lvl w:ilvl="0" w:tentative="0">
      <w:start w:val="1"/>
      <w:numFmt w:val="chineseCounting"/>
      <w:suff w:val="nothing"/>
      <w:lvlText w:val="%1、"/>
      <w:lvlJc w:val="left"/>
      <w:rPr>
        <w:rFonts w:hint="eastAsia"/>
      </w:rPr>
    </w:lvl>
  </w:abstractNum>
  <w:abstractNum w:abstractNumId="1">
    <w:nsid w:val="0264F9DA"/>
    <w:multiLevelType w:val="singleLevel"/>
    <w:tmpl w:val="0264F9DA"/>
    <w:lvl w:ilvl="0" w:tentative="0">
      <w:start w:val="1"/>
      <w:numFmt w:val="chineseCounting"/>
      <w:suff w:val="nothing"/>
      <w:lvlText w:val="（%1）"/>
      <w:lvlJc w:val="left"/>
      <w:rPr>
        <w:rFonts w:hint="eastAsia"/>
      </w:rPr>
    </w:lvl>
  </w:abstractNum>
  <w:abstractNum w:abstractNumId="2">
    <w:nsid w:val="070EDF49"/>
    <w:multiLevelType w:val="singleLevel"/>
    <w:tmpl w:val="070EDF49"/>
    <w:lvl w:ilvl="0" w:tentative="0">
      <w:start w:val="1"/>
      <w:numFmt w:val="decimal"/>
      <w:suff w:val="nothing"/>
      <w:lvlText w:val="（%1）"/>
      <w:lvlJc w:val="left"/>
    </w:lvl>
  </w:abstractNum>
  <w:abstractNum w:abstractNumId="3">
    <w:nsid w:val="40B50CFA"/>
    <w:multiLevelType w:val="singleLevel"/>
    <w:tmpl w:val="40B50CFA"/>
    <w:lvl w:ilvl="0" w:tentative="0">
      <w:start w:val="1"/>
      <w:numFmt w:val="chineseCounting"/>
      <w:suff w:val="nothing"/>
      <w:lvlText w:val="（%1）"/>
      <w:lvlJc w:val="left"/>
      <w:rPr>
        <w:rFonts w:hint="eastAsia"/>
      </w:rPr>
    </w:lvl>
  </w:abstractNum>
  <w:abstractNum w:abstractNumId="4">
    <w:nsid w:val="41BB80D6"/>
    <w:multiLevelType w:val="singleLevel"/>
    <w:tmpl w:val="41BB80D6"/>
    <w:lvl w:ilvl="0" w:tentative="0">
      <w:start w:val="3"/>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957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hint="default" w:ascii="Times New Roman" w:hAnsi="Times New Roman" w:eastAsia="宋体" w:cs="Times New Roman"/>
      <w:kern w:val="2"/>
      <w:sz w:val="21"/>
      <w:szCs w:val="24"/>
    </w:rPr>
  </w:style>
  <w:style w:type="paragraph" w:styleId="4">
    <w:name w:val="heading 1"/>
    <w:basedOn w:val="1"/>
    <w:next w:val="1"/>
    <w:qFormat/>
    <w:uiPriority w:val="0"/>
    <w:pPr>
      <w:keepNext/>
      <w:keepLines/>
      <w:spacing w:line="596" w:lineRule="exact"/>
      <w:outlineLvl w:val="0"/>
    </w:pPr>
    <w:rPr>
      <w:rFonts w:eastAsia="黑体"/>
      <w:b/>
      <w:kern w:val="44"/>
    </w:rPr>
  </w:style>
  <w:style w:type="paragraph" w:styleId="5">
    <w:name w:val="heading 2"/>
    <w:basedOn w:val="1"/>
    <w:next w:val="1"/>
    <w:unhideWhenUsed/>
    <w:qFormat/>
    <w:uiPriority w:val="0"/>
    <w:pPr>
      <w:keepNext/>
      <w:keepLines/>
      <w:spacing w:line="596" w:lineRule="exact"/>
      <w:outlineLvl w:val="1"/>
    </w:pPr>
    <w:rPr>
      <w:rFonts w:ascii="Arial" w:hAnsi="Arial" w:eastAsia="楷体"/>
      <w:b/>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rFonts w:hint="default"/>
      <w:sz w:val="18"/>
      <w:szCs w:val="24"/>
    </w:rPr>
  </w:style>
  <w:style w:type="paragraph" w:styleId="3">
    <w:name w:val="index 5"/>
    <w:basedOn w:val="1"/>
    <w:next w:val="1"/>
    <w:unhideWhenUsed/>
    <w:qFormat/>
    <w:uiPriority w:val="0"/>
    <w:pPr>
      <w:ind w:left="1680"/>
    </w:pPr>
    <w:rPr>
      <w:rFonts w:hint="default"/>
      <w:sz w:val="21"/>
      <w:szCs w:val="24"/>
    </w:rPr>
  </w:style>
  <w:style w:type="paragraph" w:styleId="6">
    <w:name w:val="Normal Indent"/>
    <w:basedOn w:val="1"/>
    <w:qFormat/>
    <w:uiPriority w:val="0"/>
    <w:pPr>
      <w:ind w:firstLine="420"/>
    </w:pPr>
    <w:rPr>
      <w:szCs w:val="21"/>
    </w:rPr>
  </w:style>
  <w:style w:type="paragraph" w:styleId="7">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2023-06-27T07:32:14Z</dcterms:created>
  <dc:creator>admin-3</dc:creator>
  <cp:lastModifiedBy>admin-3</cp:lastModifiedBy>
  <dcterms:modified xsi:type="dcterms:W3CDTF">2023-06-27T07:32:37Z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437F0D03ADF84120982F1DF0CAA79B95_12</vt:lpwstr>
  </property>
</Properties>
</file>