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600" w:lineRule="exact"/>
        <w:ind w:firstLine="0" w:firstLineChars="0"/>
        <w:jc w:val="center"/>
        <w:textAlignment w:val="auto"/>
        <w:rPr>
          <w:rFonts w:hint="eastAsia" w:ascii="黑体" w:hAnsi="黑体" w:eastAsia="黑体" w:cs="黑体"/>
          <w:b w:val="0"/>
          <w:bCs/>
          <w:color w:val="000000"/>
          <w:sz w:val="36"/>
          <w:szCs w:val="36"/>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600" w:lineRule="exact"/>
        <w:ind w:firstLine="0" w:firstLineChars="0"/>
        <w:jc w:val="center"/>
        <w:textAlignment w:val="auto"/>
        <w:rPr>
          <w:rFonts w:hint="eastAsia" w:ascii="黑体" w:hAnsi="黑体" w:eastAsia="黑体" w:cs="黑体"/>
          <w:b w:val="0"/>
          <w:bCs/>
          <w:color w:val="000000"/>
          <w:sz w:val="36"/>
          <w:szCs w:val="36"/>
        </w:rPr>
      </w:pPr>
      <w:bookmarkStart w:id="0" w:name="_GoBack"/>
      <w:bookmarkEnd w:id="0"/>
      <w:r>
        <w:rPr>
          <w:rFonts w:hint="eastAsia" w:ascii="黑体" w:hAnsi="黑体" w:eastAsia="黑体" w:cs="黑体"/>
          <w:b w:val="0"/>
          <w:bCs/>
          <w:color w:val="000000"/>
          <w:sz w:val="36"/>
          <w:szCs w:val="36"/>
          <w:lang w:val="en-US" w:eastAsia="zh-CN"/>
        </w:rPr>
        <w:t>益阳市</w:t>
      </w:r>
      <w:r>
        <w:rPr>
          <w:rFonts w:hint="eastAsia" w:ascii="黑体" w:hAnsi="黑体" w:eastAsia="黑体" w:cs="黑体"/>
          <w:b w:val="0"/>
          <w:bCs/>
          <w:color w:val="000000"/>
          <w:sz w:val="36"/>
          <w:szCs w:val="36"/>
        </w:rPr>
        <w:t>赫山区社会保险服务中心2021年度城乡居民养老</w:t>
      </w:r>
    </w:p>
    <w:p>
      <w:pPr>
        <w:pStyle w:val="2"/>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600" w:lineRule="exact"/>
        <w:ind w:firstLine="0" w:firstLineChars="0"/>
        <w:jc w:val="center"/>
        <w:textAlignment w:val="auto"/>
        <w:rPr>
          <w:rFonts w:hint="eastAsia" w:ascii="黑体" w:hAnsi="黑体" w:eastAsia="黑体" w:cs="黑体"/>
          <w:b w:val="0"/>
          <w:bCs/>
          <w:color w:val="000000"/>
          <w:sz w:val="36"/>
          <w:szCs w:val="36"/>
        </w:rPr>
      </w:pPr>
      <w:r>
        <w:rPr>
          <w:rFonts w:hint="eastAsia" w:ascii="黑体" w:hAnsi="黑体" w:eastAsia="黑体" w:cs="黑体"/>
          <w:b w:val="0"/>
          <w:bCs/>
          <w:color w:val="000000"/>
          <w:sz w:val="36"/>
          <w:szCs w:val="36"/>
        </w:rPr>
        <w:t>保险补助资金项目支出绩效评价报告</w:t>
      </w:r>
    </w:p>
    <w:p>
      <w:pPr>
        <w:pStyle w:val="5"/>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进一步规范财政资金管理，牢固树立预算绩效理念，强化部门支出责任，提高财政资金使用效益，根据《益阳市赫山区财政局关于做好2021年度预算绩效自评工作的通知》（益赫财绩〔2022〕1号）的文件要求，对2021年度项目支出实施了绩效评价，根据评价结果，形成本评价报告。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kern w:val="2"/>
          <w:sz w:val="30"/>
          <w:szCs w:val="30"/>
          <w:lang w:val="en-US" w:eastAsia="zh-CN" w:bidi="ar-SA"/>
        </w:rPr>
        <w:t>一、</w:t>
      </w:r>
      <w:r>
        <w:rPr>
          <w:rFonts w:hint="eastAsia" w:ascii="黑体" w:hAnsi="黑体" w:eastAsia="黑体" w:cs="黑体"/>
          <w:sz w:val="30"/>
          <w:szCs w:val="30"/>
        </w:rPr>
        <w:t>项目单位基本情况</w:t>
      </w:r>
    </w:p>
    <w:p>
      <w:pPr>
        <w:pStyle w:val="5"/>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赫山区社会保险服务中心是区人力资源和社会保障局管理的副科级事业单位，核定全额拨款事业编制30名，现有在岗人员28人，离退休10人。负责全区企业养老保险、城乡居民养老保险、机关事业单位养老保险和职业年金等业务的参保登记、信息修改、待遇审核、基金财务、转移接续、人员认证及检查，指导和监督工作。内设办公室、基金征缴股、个人账户股，财务股，退管股、审计稽核股，各部门之间相符协调、相互配合，做到既有分工又有合作。</w:t>
      </w:r>
    </w:p>
    <w:p>
      <w:pPr>
        <w:pStyle w:val="5"/>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2014年按照《国务院关于建立统一的城乡居民基本养老保险制度的意见》（国发〔2014〕8号）文件的要求，将新农保和城乡居民养老两项制度合并实施，建立统一的城乡居民基本养老保险制度。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二、项目概况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kern w:val="0"/>
          <w:sz w:val="30"/>
          <w:szCs w:val="30"/>
          <w:shd w:val="clear" w:color="auto" w:fill="FFFFFF"/>
        </w:rPr>
        <w:t>（一）评价对象</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kern w:val="0"/>
          <w:sz w:val="30"/>
          <w:szCs w:val="30"/>
          <w:shd w:val="clear" w:color="auto" w:fill="FFFFFF"/>
        </w:rPr>
        <w:t>本次项目绩效评价对象为2021年度城乡居民养老保险补助资金141680400元。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kern w:val="0"/>
          <w:sz w:val="30"/>
          <w:szCs w:val="30"/>
          <w:shd w:val="clear" w:color="auto" w:fill="FFFFFF"/>
        </w:rPr>
      </w:pPr>
      <w:r>
        <w:rPr>
          <w:rFonts w:hint="eastAsia" w:ascii="仿宋" w:hAnsi="仿宋" w:eastAsia="仿宋" w:cs="仿宋"/>
          <w:b/>
          <w:bCs/>
          <w:kern w:val="0"/>
          <w:sz w:val="30"/>
          <w:szCs w:val="30"/>
          <w:shd w:val="clear" w:color="auto" w:fill="FFFFFF"/>
        </w:rPr>
        <w:t>（二）项目基本情况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kern w:val="0"/>
          <w:sz w:val="30"/>
          <w:szCs w:val="30"/>
          <w:shd w:val="clear" w:color="auto" w:fill="FFFFFF"/>
        </w:rPr>
        <w:t>1.该项目立项依据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kern w:val="0"/>
          <w:sz w:val="30"/>
          <w:szCs w:val="30"/>
          <w:shd w:val="clear" w:color="auto" w:fill="FFFFFF"/>
        </w:rPr>
        <w:t>根据</w:t>
      </w:r>
      <w:r>
        <w:rPr>
          <w:rFonts w:hint="eastAsia" w:ascii="仿宋" w:hAnsi="仿宋" w:eastAsia="仿宋" w:cs="仿宋"/>
          <w:sz w:val="30"/>
          <w:szCs w:val="30"/>
        </w:rPr>
        <w:t>《国务院关于建立统一的城乡居民基本养老保险制度的意见》（国发〔2014〕8号）文件、</w:t>
      </w:r>
      <w:r>
        <w:rPr>
          <w:rFonts w:hint="eastAsia" w:ascii="仿宋" w:hAnsi="仿宋" w:eastAsia="仿宋" w:cs="仿宋"/>
          <w:spacing w:val="8"/>
          <w:sz w:val="30"/>
          <w:szCs w:val="30"/>
          <w:shd w:val="clear" w:color="auto" w:fill="FFFFFF"/>
        </w:rPr>
        <w:t>湖南省人民政府关于完善城乡居民基本养老保险制度的实施意见》（湘政发〔2020〕19号）</w:t>
      </w:r>
      <w:r>
        <w:rPr>
          <w:rFonts w:hint="eastAsia" w:ascii="仿宋" w:hAnsi="仿宋" w:eastAsia="仿宋" w:cs="仿宋"/>
          <w:kern w:val="0"/>
          <w:sz w:val="30"/>
          <w:szCs w:val="30"/>
          <w:shd w:val="clear" w:color="auto" w:fill="FFFFFF"/>
        </w:rPr>
        <w:t>等文件精神，切实做好城乡居民养老保险缴费征收和养老金审批发放工作，将城乡居民养老保险补助资金列入财政预算。</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kern w:val="0"/>
          <w:sz w:val="30"/>
          <w:szCs w:val="30"/>
          <w:shd w:val="clear" w:color="auto" w:fill="FFFFFF"/>
        </w:rPr>
        <w:t>2.项目执行情况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kern w:val="0"/>
          <w:sz w:val="30"/>
          <w:szCs w:val="30"/>
          <w:shd w:val="clear" w:color="auto" w:fill="FFFFFF"/>
        </w:rPr>
        <w:t>2021年度</w:t>
      </w:r>
      <w:r>
        <w:rPr>
          <w:rFonts w:hint="eastAsia" w:ascii="仿宋" w:hAnsi="仿宋" w:eastAsia="仿宋" w:cs="仿宋"/>
          <w:sz w:val="30"/>
          <w:szCs w:val="30"/>
        </w:rPr>
        <w:t>城乡居民养老保险参保人数达398226人，完成目标任务391621人的102%，缴费人数187564人,待遇领取人数109910人。</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shd w:val="clear" w:color="auto" w:fill="FFFFFF"/>
        </w:rPr>
        <w:t>2021年财政对城乡居民的补助资金已全部拨付到社会保障基金财政专户，缴费补助已记入相应缴费人员个人账户、基础养老金全部用于发放待遇。</w:t>
      </w:r>
      <w:r>
        <w:rPr>
          <w:rFonts w:hint="eastAsia" w:ascii="仿宋" w:hAnsi="仿宋" w:eastAsia="仿宋" w:cs="仿宋"/>
          <w:sz w:val="30"/>
          <w:szCs w:val="30"/>
        </w:rPr>
        <w:t>2021年发放养老金19809万元，</w:t>
      </w:r>
      <w:r>
        <w:rPr>
          <w:rFonts w:hint="eastAsia" w:ascii="仿宋" w:hAnsi="仿宋" w:eastAsia="仿宋" w:cs="仿宋"/>
          <w:sz w:val="30"/>
          <w:szCs w:val="30"/>
          <w:shd w:val="clear" w:color="auto" w:fill="FFFFFF"/>
        </w:rPr>
        <w:t>养老金发放率达到100%。</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kern w:val="0"/>
          <w:sz w:val="30"/>
          <w:szCs w:val="30"/>
          <w:shd w:val="clear" w:color="auto" w:fill="FFFFFF"/>
        </w:rPr>
        <w:t>3.项目主要内容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kern w:val="0"/>
          <w:sz w:val="30"/>
          <w:szCs w:val="30"/>
          <w:shd w:val="clear" w:color="auto" w:fill="FFFFFF"/>
        </w:rPr>
        <w:t>对区内16-59周岁参保的缴费人员进行缴费补贴，为60周岁及以上退休人员发放养老金。</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kern w:val="0"/>
          <w:sz w:val="30"/>
          <w:szCs w:val="30"/>
          <w:shd w:val="clear" w:color="auto" w:fill="FFFFFF"/>
        </w:rPr>
        <w:t>4.项目总体目标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0"/>
          <w:sz w:val="30"/>
          <w:szCs w:val="30"/>
          <w:shd w:val="clear" w:color="auto" w:fill="FFFFFF"/>
        </w:rPr>
      </w:pPr>
      <w:r>
        <w:rPr>
          <w:rFonts w:hint="eastAsia" w:ascii="仿宋" w:hAnsi="仿宋" w:eastAsia="仿宋" w:cs="仿宋"/>
          <w:kern w:val="0"/>
          <w:sz w:val="30"/>
          <w:szCs w:val="30"/>
          <w:shd w:val="clear" w:color="auto" w:fill="FFFFFF"/>
        </w:rPr>
        <w:t>保障城乡居民基本生活。</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kern w:val="0"/>
          <w:sz w:val="30"/>
          <w:szCs w:val="30"/>
          <w:shd w:val="clear" w:color="auto" w:fill="FFFFFF"/>
        </w:rPr>
      </w:pPr>
      <w:r>
        <w:rPr>
          <w:rFonts w:hint="eastAsia" w:ascii="黑体" w:hAnsi="黑体" w:eastAsia="黑体" w:cs="黑体"/>
          <w:kern w:val="0"/>
          <w:sz w:val="30"/>
          <w:szCs w:val="30"/>
          <w:shd w:val="clear" w:color="auto" w:fill="FFFFFF"/>
        </w:rPr>
        <w:t>三、项目组织实施</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2" w:firstLineChars="200"/>
        <w:jc w:val="both"/>
        <w:textAlignment w:val="auto"/>
        <w:rPr>
          <w:rFonts w:hint="eastAsia" w:ascii="仿宋" w:hAnsi="仿宋" w:eastAsia="仿宋" w:cs="仿宋"/>
          <w:b/>
          <w:bCs w:val="0"/>
          <w:sz w:val="30"/>
          <w:szCs w:val="30"/>
        </w:rPr>
      </w:pPr>
      <w:r>
        <w:rPr>
          <w:rFonts w:hint="eastAsia" w:ascii="仿宋" w:hAnsi="仿宋" w:eastAsia="仿宋" w:cs="仿宋"/>
          <w:b/>
          <w:bCs w:val="0"/>
          <w:sz w:val="30"/>
          <w:szCs w:val="30"/>
          <w:shd w:val="clear" w:color="auto" w:fill="FFFFFF"/>
        </w:rPr>
        <w:t>（一）项目管理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shd w:val="clear" w:color="auto" w:fill="FFFFFF"/>
        </w:rPr>
        <w:t>按照城乡居民养老保险经办规程等制订了《城乡居民养老保险内部控制制度（试行）》、业务经办制度（流程）、财务管理制度、信息系统等制度，对整个业务经办进行了规范。设立了系统管理岗位、征缴岗位、退管岗位、稽核岗位、财务岗位个人账户岗位等，不相容职务人员相互分离，各岗位业务操作权限体现了执行与监督相分离的原则，各岗位人员严格按经办规程、实施方案、实施细则、内控制度等进行业务经办、业务操作，手续完备，相关的证件资料齐全并归档。</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业务经办使用全省统一的信息管理系统和操作规程，按照“谁主管、谁负责”“谁使用、谁负责”的原则，进行电脑和信息系统使用管理，实名设置操作员信息，社保卡登录。基金收缴由税务征收，待遇发放通过银行社会化发放。</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规范城乡居民基本养老保险基金财务行为，加强基金管理，维护参保人员的合法权益，加强监督和检查，按规定建立财政专户、收入户和支出户，每月按照财务管理制度申请和及时拨付资金。规范财务流程，增强内控风险防范能力，确保基金安全、专款专用、发挥实效。</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四、项目绩效评价评价结果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（一）项目投入情况（满分20分，实得20分）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1.项目立项（满分10分，实得10分）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（1）绩效目标合理性（满分6分，实得6分）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为保证城乡居民养老保险目标绩效考核工作有序开展，我中心先后印发了《城乡居民基本养老保险实施办法》和相关文件。</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（2）绩效目标明确性（满分4分，实得4分）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绩效目标具体、清晰、可衡量，绩效目标任务数与年初预算相匹配。</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2.资金落实（满分10分，实得10分）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（3）资金到位率（满分8分，实得8分）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2021年城乡居民养老保险财政补贴到位率100%。</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（4）资金到位及时性（满分2分，实得2分）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中央、省和县级补贴资金下达后，各县区及时将资金拨付到财政专户。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（二）项目过程情况（满分35分，实得35分）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1.项目管理情况（满分25分，实得25分）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1</w:t>
      </w:r>
      <w:r>
        <w:rPr>
          <w:rFonts w:hint="eastAsia" w:ascii="仿宋" w:hAnsi="仿宋" w:eastAsia="仿宋" w:cs="仿宋"/>
          <w:sz w:val="30"/>
          <w:szCs w:val="30"/>
        </w:rPr>
        <w:t>）制度建设及执行有效性（满分3分，实得3分）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认真贯彻国务院（国发〔2014〕8号）文件精神，进一步制定了内控制度、经办机构操作流程。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2</w:t>
      </w:r>
      <w:r>
        <w:rPr>
          <w:rFonts w:hint="eastAsia" w:ascii="仿宋" w:hAnsi="仿宋" w:eastAsia="仿宋" w:cs="仿宋"/>
          <w:sz w:val="30"/>
          <w:szCs w:val="30"/>
        </w:rPr>
        <w:t>）宣传培训（满分5分，实得4.5分）</w:t>
      </w:r>
    </w:p>
    <w:p>
      <w:pPr>
        <w:keepNext w:val="0"/>
        <w:keepLines w:val="0"/>
        <w:pageBreakBefore w:val="0"/>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为使参保单位和个人对社保政策有更深的了解，我区社保中心投入了大量的人力物力，印刷宣传资料8万份，制作横幅100条，全部下发放到各乡镇。4月份，会同区就业中心、招聘单位同时下基层，进行了为期一个月的政策宣传和发动，让参保单位、个人更进一步了解了自己的参保权益，提高了知晓度，收到明显的成效。</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3</w:t>
      </w:r>
      <w:r>
        <w:rPr>
          <w:rFonts w:hint="eastAsia" w:ascii="仿宋" w:hAnsi="仿宋" w:eastAsia="仿宋" w:cs="仿宋"/>
          <w:sz w:val="30"/>
          <w:szCs w:val="30"/>
        </w:rPr>
        <w:t>）服务规范（满分1分，实得1分）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依据国家社会保险有关法律法规和湖南省统一的经办规程开展城乡居保业务。结合实际制定详细的内部控制实施细则，在单位内部公开并严格执行，切实加强内控管理。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4</w:t>
      </w:r>
      <w:r>
        <w:rPr>
          <w:rFonts w:hint="eastAsia" w:ascii="仿宋" w:hAnsi="仿宋" w:eastAsia="仿宋" w:cs="仿宋"/>
          <w:sz w:val="30"/>
          <w:szCs w:val="30"/>
        </w:rPr>
        <w:t>）动态管理（满分1分，实得1分）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按照城乡居保有关政策规定，能够及时为参保人办理参保和待遇领取手续。待遇审批、复核手续完备、资料齐全。待遇支付审批程序健全完善，待遇支付每月实行社会化发放。</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5</w:t>
      </w:r>
      <w:r>
        <w:rPr>
          <w:rFonts w:hint="eastAsia" w:ascii="仿宋" w:hAnsi="仿宋" w:eastAsia="仿宋" w:cs="仿宋"/>
          <w:sz w:val="30"/>
          <w:szCs w:val="30"/>
        </w:rPr>
        <w:t>）待遇核查比对（满分1.5分，实得1.5分）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建立并严格执行信息比对制度，做好跨省重复领取待遇核查比对工作，按照规定核对重复领取数据，对核查结果及时处理；按月将居保享受待遇人员与职工养老保险进行人员信息比对。</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6</w:t>
      </w:r>
      <w:r>
        <w:rPr>
          <w:rFonts w:hint="eastAsia" w:ascii="仿宋" w:hAnsi="仿宋" w:eastAsia="仿宋" w:cs="仿宋"/>
          <w:sz w:val="30"/>
          <w:szCs w:val="30"/>
        </w:rPr>
        <w:t>）资格认证工作（满分2分，实得2分）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2021年，通过与公安、民政大数据比对确定待遇领取人员资格，对行动不便及疑似冒领人员采取上门入户认证，确保基金安全运行。</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7</w:t>
      </w:r>
      <w:r>
        <w:rPr>
          <w:rFonts w:hint="eastAsia" w:ascii="仿宋" w:hAnsi="仿宋" w:eastAsia="仿宋" w:cs="仿宋"/>
          <w:sz w:val="30"/>
          <w:szCs w:val="30"/>
        </w:rPr>
        <w:t>）系统操作管理（满分1.5分，实得1.5分）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按照湖南省统一的城乡居民基本养老保险系统操作流程和管理制度，规范城乡居保业务系统操作管理。明确了业务经办人员、审批人员的职责和权限，全部参保人员通过信息系统进行参保登记、缴费、建立个人账户、支付养老金等。对已调离的经办人员，及时申报系统用户名注销。</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8</w:t>
      </w:r>
      <w:r>
        <w:rPr>
          <w:rFonts w:hint="eastAsia" w:ascii="仿宋" w:hAnsi="仿宋" w:eastAsia="仿宋" w:cs="仿宋"/>
          <w:sz w:val="30"/>
          <w:szCs w:val="30"/>
        </w:rPr>
        <w:t>）社保扶贫工作（满分2分，实得2分）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认真贯彻建档立卡未标注脱贫的贫困人口、低保对象、特困人员。</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9</w:t>
      </w:r>
      <w:r>
        <w:rPr>
          <w:rFonts w:hint="eastAsia" w:ascii="仿宋" w:hAnsi="仿宋" w:eastAsia="仿宋" w:cs="仿宋"/>
          <w:sz w:val="30"/>
          <w:szCs w:val="30"/>
        </w:rPr>
        <w:t>）资料报送情况（满分5分，实得5分）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对于统一要求上报的材料及每月的报表，指定专人负责，认真、细致比对、核算，确保材料齐全、数据真实、准确，经负责人签字后按时上报。</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10</w:t>
      </w:r>
      <w:r>
        <w:rPr>
          <w:rFonts w:hint="eastAsia" w:ascii="仿宋" w:hAnsi="仿宋" w:eastAsia="仿宋" w:cs="仿宋"/>
          <w:sz w:val="30"/>
          <w:szCs w:val="30"/>
        </w:rPr>
        <w:t>）档案管理（满分3分，实得3分）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按照“谁经办，谁收集，谁整理”的原则，坚持平时立卷，对照档案达标考核细则逐项整改，对现有档案进行全面“回头看”，认真梳理档案管理中存在的问题，强化日常管理，确保归档材料真实、完整，确保业务档案管理规范化、科学化。</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财务管理情况（满分10分，实得10分）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1</w:t>
      </w:r>
      <w:r>
        <w:rPr>
          <w:rFonts w:hint="eastAsia" w:ascii="仿宋" w:hAnsi="仿宋" w:eastAsia="仿宋" w:cs="仿宋"/>
          <w:sz w:val="30"/>
          <w:szCs w:val="30"/>
        </w:rPr>
        <w:t>）账户管理（满分4分，实得4分）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严格执行财务收支两条线管理。按照规定开设收入户、支出户和财政专户。基金专款专用，单独记账、核算，财务管理严格。</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2</w:t>
      </w:r>
      <w:r>
        <w:rPr>
          <w:rFonts w:hint="eastAsia" w:ascii="仿宋" w:hAnsi="仿宋" w:eastAsia="仿宋" w:cs="仿宋"/>
          <w:sz w:val="30"/>
          <w:szCs w:val="30"/>
        </w:rPr>
        <w:t>）资金使用规范（满分3分，实得3分）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资金使用严格规范，不存在违规现象。</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3</w:t>
      </w:r>
      <w:r>
        <w:rPr>
          <w:rFonts w:hint="eastAsia" w:ascii="仿宋" w:hAnsi="仿宋" w:eastAsia="仿宋" w:cs="仿宋"/>
          <w:sz w:val="30"/>
          <w:szCs w:val="30"/>
        </w:rPr>
        <w:t>）资金申请和审批程序（满分1分，实得1分）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每月的资金划拨都有完整的申请、审核、审批手续，资金拨付及时，资金申请审批程序符合管理办法规定。</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4</w:t>
      </w:r>
      <w:r>
        <w:rPr>
          <w:rFonts w:hint="eastAsia" w:ascii="仿宋" w:hAnsi="仿宋" w:eastAsia="仿宋" w:cs="仿宋"/>
          <w:sz w:val="30"/>
          <w:szCs w:val="30"/>
        </w:rPr>
        <w:t>）会计核算（满分2分，实得2分）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按照省级基金财务管理文件和相关会计规范操作，建立会计账簿，设置会计科目进行会计核算。按照规定取得和填制原始凭证、记账凭证，更正会计记录有依据，按月核对凭证、账簿、报表，做到账证、账账、账表相符。</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（三）项目产出情况（满分25分，实得25分）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1</w:t>
      </w:r>
      <w:r>
        <w:rPr>
          <w:rFonts w:hint="eastAsia" w:ascii="仿宋" w:hAnsi="仿宋" w:eastAsia="仿宋" w:cs="仿宋"/>
          <w:sz w:val="30"/>
          <w:szCs w:val="30"/>
        </w:rPr>
        <w:t>）当年缴费人数任务完成情况（满分10分，实得10分）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shd w:val="clear" w:color="auto" w:fill="FFFFFF"/>
        </w:rPr>
        <w:t>2021年度</w:t>
      </w:r>
      <w:r>
        <w:rPr>
          <w:rFonts w:hint="eastAsia" w:ascii="仿宋" w:hAnsi="仿宋" w:eastAsia="仿宋" w:cs="仿宋"/>
          <w:sz w:val="30"/>
          <w:szCs w:val="30"/>
        </w:rPr>
        <w:t>城乡居民养老保险参保人数达398226人，完成目标任务391621人的102%，缴费人数187564人,待遇领取人数109910人。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2</w:t>
      </w:r>
      <w:r>
        <w:rPr>
          <w:rFonts w:hint="eastAsia" w:ascii="仿宋" w:hAnsi="仿宋" w:eastAsia="仿宋" w:cs="仿宋"/>
          <w:sz w:val="30"/>
          <w:szCs w:val="30"/>
        </w:rPr>
        <w:t>）上报参保缴费人数（满分5分，实得5分）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每月按时安排专人上报统计报表参保缴费人数。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3</w:t>
      </w:r>
      <w:r>
        <w:rPr>
          <w:rFonts w:hint="eastAsia" w:ascii="仿宋" w:hAnsi="仿宋" w:eastAsia="仿宋" w:cs="仿宋"/>
          <w:sz w:val="30"/>
          <w:szCs w:val="30"/>
        </w:rPr>
        <w:t>）按时发放养老金情况（满分8分，实得8分）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按月生成城乡居民基本养老保险基金支付拨付单，通过银行进行社会化发放，每月养老金发放率为100%。</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4</w:t>
      </w:r>
      <w:r>
        <w:rPr>
          <w:rFonts w:hint="eastAsia" w:ascii="仿宋" w:hAnsi="仿宋" w:eastAsia="仿宋" w:cs="仿宋"/>
          <w:sz w:val="30"/>
          <w:szCs w:val="30"/>
        </w:rPr>
        <w:t>）重复领取养老金情况（满分2分，实得2分）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严格按照经办规程要求，审核待遇发放资格，通过与职工、事业单位退休人员发放数据进行比对，对于不符合城乡居保领取条件的坚决予以取消。</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（四）项目效益情况（满分20分，实得20分）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1</w:t>
      </w:r>
      <w:r>
        <w:rPr>
          <w:rFonts w:hint="eastAsia" w:ascii="仿宋" w:hAnsi="仿宋" w:eastAsia="仿宋" w:cs="仿宋"/>
          <w:sz w:val="30"/>
          <w:szCs w:val="30"/>
        </w:rPr>
        <w:t>）群众对政策满意度（满分5分，实得5分）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2021年我区对城乡居民基本养老保险政策实施以来，多次下乡指导，利用电视、广播宣传政策，通过多种形式的政策宣传，社会反响良好。</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2</w:t>
      </w:r>
      <w:r>
        <w:rPr>
          <w:rFonts w:hint="eastAsia" w:ascii="仿宋" w:hAnsi="仿宋" w:eastAsia="仿宋" w:cs="仿宋"/>
          <w:sz w:val="30"/>
          <w:szCs w:val="30"/>
        </w:rPr>
        <w:t>）群众对工作满意度（满分10分，实得9分）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秉持办事热心、服务贴心、办事细心的工作思路，对待办事群众热情接待，耐心询问，详细解答，使群众满意而归，群众对城乡居保工作的满意度达92%以上。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3</w:t>
      </w:r>
      <w:r>
        <w:rPr>
          <w:rFonts w:hint="eastAsia" w:ascii="仿宋" w:hAnsi="仿宋" w:eastAsia="仿宋" w:cs="仿宋"/>
          <w:sz w:val="30"/>
          <w:szCs w:val="30"/>
        </w:rPr>
        <w:t>）可持续性影响（满分5分，实得5分）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将城乡居民养老保险政府补助资金纳入预算，工作经费纳入预算。</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kern w:val="0"/>
          <w:sz w:val="30"/>
          <w:szCs w:val="30"/>
          <w:shd w:val="clear" w:color="auto" w:fill="FFFFFF"/>
        </w:rPr>
      </w:pPr>
      <w:r>
        <w:rPr>
          <w:rFonts w:hint="eastAsia" w:ascii="仿宋" w:hAnsi="仿宋" w:eastAsia="仿宋" w:cs="仿宋"/>
          <w:sz w:val="30"/>
          <w:szCs w:val="30"/>
          <w:shd w:val="clear" w:color="auto" w:fill="FFFFFF"/>
        </w:rPr>
        <w:t>2021年城乡居民养老保险绩效评价结果为优秀</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shd w:val="clear" w:color="auto" w:fill="FFFFFF"/>
        </w:rPr>
        <w:t>五、存在问题</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shd w:val="clear" w:color="auto" w:fill="FFFFFF"/>
        </w:rPr>
        <w:t>（一）社保基层工作平台建设薄弱，人员配备不足。因社保工作繁琐、业务量大等问题，乡镇、街道社保事务中心工作人员少，需要负责多个业务。</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（二）重复参保问题。部分参保人员缴纳了企业职工养老保险之后会选择停止缴纳城乡居保保费，导致城乡居保缴费人数的减少。</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shd w:val="clear" w:color="auto" w:fill="FFFFFF"/>
        </w:rPr>
        <w:t>（三）落实全民参保计划，实现法定人群养老保险全覆盖难度大。而全民参保计划带有一定强制性，目前城乡居保缴费补贴及待遇水平不高，其参保缴费吸引力不强，16—45周岁人员缺乏参保意识，参保积极性不高，实现全民参保任务非常艰巨。</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黑体" w:hAnsi="黑体" w:eastAsia="黑体" w:cs="黑体"/>
          <w:sz w:val="30"/>
          <w:szCs w:val="30"/>
          <w:shd w:val="clear" w:color="auto" w:fill="FFFFFF"/>
        </w:rPr>
      </w:pPr>
      <w:r>
        <w:rPr>
          <w:rFonts w:hint="eastAsia" w:ascii="黑体" w:hAnsi="黑体" w:eastAsia="黑体" w:cs="黑体"/>
          <w:sz w:val="30"/>
          <w:szCs w:val="30"/>
          <w:shd w:val="clear" w:color="auto" w:fill="FFFFFF"/>
        </w:rPr>
        <w:t>六、下一步计划</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shd w:val="clear" w:color="auto" w:fill="FFFFFF"/>
        </w:rPr>
        <w:t>（一）</w:t>
      </w:r>
      <w:r>
        <w:rPr>
          <w:rFonts w:hint="eastAsia" w:ascii="仿宋" w:hAnsi="仿宋" w:eastAsia="仿宋" w:cs="仿宋"/>
          <w:b/>
          <w:bCs/>
          <w:sz w:val="30"/>
          <w:szCs w:val="30"/>
        </w:rPr>
        <w:t>贯彻落实养老保险政策，做好宣传引导工作</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加大宣传力度，全方位、多层次、多渠道的宣传城乡居保政策。积极组织各乡镇，深入居民家中，分发宣传材料。引导城乡居民选择较高档次标准缴费，提升参保质量，同时争取财政支持，提高政府缴费补贴标准。</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shd w:val="clear" w:color="auto" w:fill="FFFFFF"/>
        </w:rPr>
      </w:pPr>
      <w:r>
        <w:rPr>
          <w:rFonts w:hint="eastAsia" w:ascii="仿宋" w:hAnsi="仿宋" w:eastAsia="仿宋" w:cs="仿宋"/>
          <w:b/>
          <w:bCs/>
          <w:sz w:val="30"/>
          <w:szCs w:val="30"/>
          <w:shd w:val="clear" w:color="auto" w:fill="FFFFFF"/>
        </w:rPr>
        <w:t>（二）加强稽核、稽查工作，确保基金安全</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shd w:val="clear" w:color="auto" w:fill="FFFFFF"/>
        </w:rPr>
        <w:t>进一步加强与计生、公安、民政、银行等部门的协调沟通，建立信息共享机制，以大数据比对来核实每一位待遇领取人员的信息，结合乡镇每月报送的死亡信息最大限度的减少待遇多发冒领现象的发生。</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240" w:afterAutospacing="0" w:line="600" w:lineRule="exact"/>
        <w:ind w:firstLine="600" w:firstLineChars="200"/>
        <w:jc w:val="both"/>
        <w:textAlignment w:val="auto"/>
        <w:rPr>
          <w:rFonts w:hint="default" w:ascii="仿宋" w:hAnsi="仿宋" w:eastAsia="仿宋" w:cs="仿宋"/>
          <w:b/>
          <w:bCs/>
          <w:sz w:val="30"/>
          <w:szCs w:val="30"/>
          <w:lang w:val="en-US" w:eastAsia="zh-CN"/>
        </w:rPr>
      </w:pPr>
      <w:r>
        <w:rPr>
          <w:rFonts w:hint="eastAsia" w:ascii="仿宋" w:hAnsi="仿宋" w:eastAsia="仿宋" w:cs="仿宋"/>
          <w:kern w:val="2"/>
          <w:sz w:val="30"/>
          <w:szCs w:val="30"/>
          <w:shd w:val="clear" w:color="auto" w:fill="FFFFFF"/>
          <w:lang w:val="en-US" w:eastAsia="zh-CN" w:bidi="ar-SA"/>
        </w:rPr>
        <w:t>附件：2021年度项目支出绩效自评指标计分表</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sz w:val="30"/>
          <w:szCs w:val="30"/>
          <w:lang w:eastAsia="zh-CN"/>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sz w:val="30"/>
          <w:szCs w:val="30"/>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sz w:val="30"/>
          <w:szCs w:val="30"/>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sz w:val="30"/>
          <w:szCs w:val="30"/>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sz w:val="30"/>
          <w:szCs w:val="30"/>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sz w:val="30"/>
          <w:szCs w:val="30"/>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jc w:val="both"/>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after="156" w:afterLines="50" w:line="600" w:lineRule="exact"/>
        <w:ind w:firstLine="600" w:firstLineChars="200"/>
        <w:jc w:val="center"/>
        <w:textAlignment w:val="auto"/>
        <w:rPr>
          <w:rFonts w:hint="eastAsia" w:ascii="仿宋" w:hAnsi="仿宋" w:eastAsia="仿宋" w:cs="仿宋"/>
          <w:sz w:val="30"/>
          <w:szCs w:val="30"/>
        </w:rPr>
      </w:pPr>
      <w:r>
        <w:rPr>
          <w:rFonts w:hint="eastAsia" w:ascii="黑体" w:hAnsi="黑体" w:eastAsia="黑体" w:cs="黑体"/>
          <w:sz w:val="30"/>
          <w:szCs w:val="30"/>
        </w:rPr>
        <w:t>2021年度项目支出绩效自评指标计分表</w:t>
      </w:r>
    </w:p>
    <w:tbl>
      <w:tblPr>
        <w:tblStyle w:val="3"/>
        <w:tblW w:w="51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24"/>
        <w:gridCol w:w="496"/>
        <w:gridCol w:w="650"/>
        <w:gridCol w:w="430"/>
        <w:gridCol w:w="2047"/>
        <w:gridCol w:w="3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55" w:type="pct"/>
            <w:tcBorders>
              <w:tl2br w:val="nil"/>
              <w:tr2bl w:val="nil"/>
            </w:tcBorders>
            <w:noWrap w:val="0"/>
            <w:tcMar>
              <w:top w:w="10" w:type="dxa"/>
              <w:left w:w="10" w:type="dxa"/>
              <w:bottom w:w="0" w:type="dxa"/>
              <w:right w:w="10" w:type="dxa"/>
            </w:tcMar>
            <w:vAlign w:val="center"/>
          </w:tcPr>
          <w:p>
            <w:pPr>
              <w:spacing w:line="240" w:lineRule="exact"/>
              <w:jc w:val="center"/>
              <w:rPr>
                <w:rFonts w:ascii="宋体"/>
                <w:b/>
                <w:bCs/>
                <w:szCs w:val="21"/>
              </w:rPr>
            </w:pPr>
            <w:r>
              <w:rPr>
                <w:rFonts w:hint="eastAsia" w:ascii="宋体" w:hAnsi="宋体"/>
                <w:b/>
                <w:bCs/>
              </w:rPr>
              <w:t>一级</w:t>
            </w:r>
            <w:r>
              <w:rPr>
                <w:rFonts w:hint="eastAsia" w:ascii="宋体"/>
                <w:b/>
                <w:bCs/>
              </w:rPr>
              <w:br w:type="textWrapping"/>
            </w:r>
            <w:r>
              <w:rPr>
                <w:rFonts w:hint="eastAsia" w:ascii="宋体" w:hAnsi="宋体"/>
                <w:b/>
                <w:bCs/>
              </w:rPr>
              <w:t>指标</w:t>
            </w:r>
          </w:p>
        </w:tc>
        <w:tc>
          <w:tcPr>
            <w:tcW w:w="286" w:type="pct"/>
            <w:tcBorders>
              <w:tl2br w:val="nil"/>
              <w:tr2bl w:val="nil"/>
            </w:tcBorders>
            <w:noWrap w:val="0"/>
            <w:tcMar>
              <w:top w:w="10" w:type="dxa"/>
              <w:left w:w="10" w:type="dxa"/>
              <w:bottom w:w="0" w:type="dxa"/>
              <w:right w:w="10" w:type="dxa"/>
            </w:tcMar>
            <w:vAlign w:val="center"/>
          </w:tcPr>
          <w:p>
            <w:pPr>
              <w:spacing w:line="240" w:lineRule="exact"/>
              <w:jc w:val="center"/>
              <w:rPr>
                <w:rFonts w:ascii="宋体"/>
                <w:b/>
                <w:bCs/>
                <w:szCs w:val="21"/>
              </w:rPr>
            </w:pPr>
            <w:r>
              <w:rPr>
                <w:rFonts w:hint="eastAsia" w:ascii="宋体" w:hAnsi="宋体"/>
                <w:b/>
                <w:bCs/>
              </w:rPr>
              <w:t>二级</w:t>
            </w:r>
            <w:r>
              <w:rPr>
                <w:rFonts w:hint="eastAsia" w:ascii="宋体"/>
                <w:b/>
                <w:bCs/>
              </w:rPr>
              <w:br w:type="textWrapping"/>
            </w:r>
            <w:r>
              <w:rPr>
                <w:rFonts w:hint="eastAsia" w:ascii="宋体" w:hAnsi="宋体"/>
                <w:b/>
                <w:bCs/>
              </w:rPr>
              <w:t>指标</w:t>
            </w:r>
          </w:p>
        </w:tc>
        <w:tc>
          <w:tcPr>
            <w:tcW w:w="346" w:type="pct"/>
            <w:tcBorders>
              <w:tl2br w:val="nil"/>
              <w:tr2bl w:val="nil"/>
            </w:tcBorders>
            <w:noWrap w:val="0"/>
            <w:tcMar>
              <w:top w:w="10" w:type="dxa"/>
              <w:left w:w="10" w:type="dxa"/>
              <w:bottom w:w="0" w:type="dxa"/>
              <w:right w:w="10" w:type="dxa"/>
            </w:tcMar>
            <w:vAlign w:val="center"/>
          </w:tcPr>
          <w:p>
            <w:pPr>
              <w:spacing w:line="240" w:lineRule="exact"/>
              <w:jc w:val="center"/>
              <w:rPr>
                <w:rFonts w:ascii="宋体"/>
                <w:b/>
                <w:bCs/>
                <w:szCs w:val="21"/>
              </w:rPr>
            </w:pPr>
            <w:r>
              <w:rPr>
                <w:rFonts w:hint="eastAsia" w:ascii="宋体" w:hAnsi="宋体"/>
                <w:b/>
                <w:bCs/>
              </w:rPr>
              <w:t>三级指标</w:t>
            </w:r>
          </w:p>
        </w:tc>
        <w:tc>
          <w:tcPr>
            <w:tcW w:w="176" w:type="pct"/>
            <w:tcBorders>
              <w:tl2br w:val="nil"/>
              <w:tr2bl w:val="nil"/>
            </w:tcBorders>
            <w:noWrap w:val="0"/>
            <w:vAlign w:val="top"/>
          </w:tcPr>
          <w:p>
            <w:pPr>
              <w:spacing w:line="240" w:lineRule="exact"/>
              <w:jc w:val="center"/>
              <w:rPr>
                <w:rFonts w:ascii="宋体"/>
                <w:b/>
                <w:bCs/>
                <w:szCs w:val="21"/>
              </w:rPr>
            </w:pPr>
            <w:r>
              <w:rPr>
                <w:rFonts w:hint="eastAsia" w:ascii="宋体" w:hAnsi="宋体"/>
                <w:b/>
                <w:bCs/>
              </w:rPr>
              <w:t>自评分</w:t>
            </w:r>
          </w:p>
        </w:tc>
        <w:tc>
          <w:tcPr>
            <w:tcW w:w="1130" w:type="pct"/>
            <w:tcBorders>
              <w:tl2br w:val="nil"/>
              <w:tr2bl w:val="nil"/>
            </w:tcBorders>
            <w:noWrap w:val="0"/>
            <w:tcMar>
              <w:top w:w="10" w:type="dxa"/>
              <w:left w:w="10" w:type="dxa"/>
              <w:bottom w:w="0" w:type="dxa"/>
              <w:right w:w="10" w:type="dxa"/>
            </w:tcMar>
            <w:vAlign w:val="center"/>
          </w:tcPr>
          <w:p>
            <w:pPr>
              <w:spacing w:line="240" w:lineRule="exact"/>
              <w:jc w:val="center"/>
              <w:rPr>
                <w:rFonts w:ascii="宋体"/>
                <w:b/>
                <w:bCs/>
                <w:szCs w:val="21"/>
              </w:rPr>
            </w:pPr>
            <w:r>
              <w:rPr>
                <w:rFonts w:hint="eastAsia" w:ascii="宋体" w:hAnsi="宋体"/>
                <w:b/>
                <w:bCs/>
              </w:rPr>
              <w:t>指标解释</w:t>
            </w:r>
          </w:p>
        </w:tc>
        <w:tc>
          <w:tcPr>
            <w:tcW w:w="2108" w:type="pct"/>
            <w:tcBorders>
              <w:tl2br w:val="nil"/>
              <w:tr2bl w:val="nil"/>
            </w:tcBorders>
            <w:noWrap w:val="0"/>
            <w:tcMar>
              <w:top w:w="10" w:type="dxa"/>
              <w:left w:w="10" w:type="dxa"/>
              <w:bottom w:w="0" w:type="dxa"/>
              <w:right w:w="10" w:type="dxa"/>
            </w:tcMar>
            <w:vAlign w:val="center"/>
          </w:tcPr>
          <w:p>
            <w:pPr>
              <w:spacing w:line="240" w:lineRule="exact"/>
              <w:jc w:val="center"/>
              <w:rPr>
                <w:rFonts w:ascii="宋体"/>
                <w:b/>
                <w:bCs/>
                <w:szCs w:val="21"/>
              </w:rPr>
            </w:pPr>
            <w:r>
              <w:rPr>
                <w:rFonts w:hint="eastAsia" w:ascii="宋体" w:hAnsi="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55" w:type="pct"/>
            <w:vMerge w:val="restart"/>
            <w:tcBorders>
              <w:tl2br w:val="nil"/>
              <w:tr2bl w:val="nil"/>
            </w:tcBorders>
            <w:noWrap/>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rPr>
              <w:t>决策（20分）</w:t>
            </w:r>
          </w:p>
        </w:tc>
        <w:tc>
          <w:tcPr>
            <w:tcW w:w="286" w:type="pct"/>
            <w:vMerge w:val="restart"/>
            <w:tcBorders>
              <w:tl2br w:val="nil"/>
              <w:tr2bl w:val="nil"/>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rPr>
              <w:t>预算支出决策</w:t>
            </w:r>
          </w:p>
          <w:p>
            <w:pPr>
              <w:spacing w:line="240" w:lineRule="exact"/>
              <w:jc w:val="center"/>
              <w:rPr>
                <w:rFonts w:ascii="宋体"/>
                <w:szCs w:val="21"/>
              </w:rPr>
            </w:pPr>
            <w:r>
              <w:rPr>
                <w:rFonts w:hint="eastAsia" w:ascii="宋体" w:hAnsi="宋体"/>
              </w:rPr>
              <w:t>（项目立项）（8分）</w:t>
            </w:r>
          </w:p>
        </w:tc>
        <w:tc>
          <w:tcPr>
            <w:tcW w:w="346"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Cs w:val="21"/>
              </w:rPr>
            </w:pPr>
            <w:r>
              <w:rPr>
                <w:rFonts w:hint="eastAsia" w:ascii="宋体" w:hAnsi="宋体"/>
              </w:rPr>
              <w:t>预算支出决策（项目立项）依据</w:t>
            </w:r>
          </w:p>
          <w:p>
            <w:pPr>
              <w:spacing w:line="240" w:lineRule="exact"/>
              <w:ind w:left="105" w:leftChars="50" w:right="105" w:rightChars="50"/>
              <w:jc w:val="center"/>
              <w:rPr>
                <w:rFonts w:ascii="宋体"/>
                <w:szCs w:val="21"/>
              </w:rPr>
            </w:pPr>
            <w:r>
              <w:rPr>
                <w:rFonts w:hint="eastAsia" w:ascii="宋体" w:hAnsi="宋体"/>
              </w:rPr>
              <w:t>充分性（4分）</w:t>
            </w:r>
          </w:p>
        </w:tc>
        <w:tc>
          <w:tcPr>
            <w:tcW w:w="176" w:type="pct"/>
            <w:tcBorders>
              <w:tl2br w:val="nil"/>
              <w:tr2bl w:val="nil"/>
            </w:tcBorders>
            <w:noWrap w:val="0"/>
            <w:vAlign w:val="top"/>
          </w:tcPr>
          <w:p>
            <w:pPr>
              <w:spacing w:line="240" w:lineRule="exact"/>
              <w:ind w:left="105" w:leftChars="50" w:right="105" w:rightChars="50"/>
              <w:rPr>
                <w:rFonts w:hint="eastAsia" w:ascii="宋体"/>
                <w:szCs w:val="21"/>
              </w:rPr>
            </w:pPr>
            <w:r>
              <w:rPr>
                <w:rFonts w:hint="eastAsia" w:ascii="宋体"/>
                <w:szCs w:val="21"/>
              </w:rPr>
              <w:t>4</w:t>
            </w:r>
          </w:p>
        </w:tc>
        <w:tc>
          <w:tcPr>
            <w:tcW w:w="1130"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预算支出决策（项目立项）是否符合法律法规、相关政策、发展规划以及部门职责，用以反映和考核决策（立项）的依据情况。</w:t>
            </w:r>
          </w:p>
        </w:tc>
        <w:tc>
          <w:tcPr>
            <w:tcW w:w="2108"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评价要点：</w:t>
            </w:r>
            <w:r>
              <w:rPr>
                <w:rFonts w:hint="eastAsia" w:ascii="宋体"/>
              </w:rPr>
              <w:br w:type="textWrapping"/>
            </w:r>
            <w:r>
              <w:rPr>
                <w:rFonts w:hint="eastAsia" w:ascii="宋体" w:hAnsi="宋体"/>
              </w:rPr>
              <w:t>①决策（立项）是否符合国家相关法律法规、国民经济发展规划和相关政策；</w:t>
            </w:r>
            <w:r>
              <w:rPr>
                <w:rFonts w:hint="eastAsia" w:ascii="宋体"/>
              </w:rPr>
              <w:br w:type="textWrapping"/>
            </w:r>
            <w:r>
              <w:rPr>
                <w:rFonts w:hint="eastAsia" w:ascii="宋体" w:hAnsi="宋体"/>
              </w:rPr>
              <w:t>②决策（立项）是否符合行业发展规划和政策要求；</w:t>
            </w:r>
            <w:r>
              <w:rPr>
                <w:rFonts w:hint="eastAsia" w:ascii="宋体"/>
              </w:rPr>
              <w:br w:type="textWrapping"/>
            </w:r>
            <w:r>
              <w:rPr>
                <w:rFonts w:hint="eastAsia" w:ascii="宋体" w:hAnsi="宋体"/>
              </w:rPr>
              <w:t>③决策（立项）是否与部门职责范围相符，属于部门履职所需；</w:t>
            </w:r>
            <w:r>
              <w:rPr>
                <w:rFonts w:hint="eastAsia" w:ascii="宋体"/>
              </w:rPr>
              <w:br w:type="textWrapping"/>
            </w:r>
            <w:r>
              <w:rPr>
                <w:rFonts w:hint="eastAsia" w:ascii="宋体" w:hAnsi="宋体"/>
              </w:rPr>
              <w:t>④预算支出是否属于公共财政支持范围，是否符合中央、地方事权支出责任划分原则；</w:t>
            </w:r>
          </w:p>
          <w:p>
            <w:pPr>
              <w:spacing w:line="240" w:lineRule="exact"/>
              <w:ind w:left="105" w:leftChars="50" w:right="105" w:rightChars="50"/>
              <w:rPr>
                <w:rFonts w:ascii="宋体"/>
                <w:szCs w:val="21"/>
              </w:rPr>
            </w:pPr>
            <w:r>
              <w:rPr>
                <w:rFonts w:hint="eastAsia" w:ascii="宋体" w:hAnsi="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0" w:type="auto"/>
            <w:vMerge w:val="continue"/>
            <w:tcBorders>
              <w:tl2br w:val="nil"/>
              <w:tr2bl w:val="nil"/>
            </w:tcBorders>
            <w:noWrap w:val="0"/>
            <w:vAlign w:val="center"/>
          </w:tcPr>
          <w:p>
            <w:pPr>
              <w:widowControl/>
              <w:jc w:val="left"/>
              <w:rPr>
                <w:rFonts w:ascii="宋体"/>
                <w:szCs w:val="21"/>
              </w:rPr>
            </w:pPr>
          </w:p>
        </w:tc>
        <w:tc>
          <w:tcPr>
            <w:tcW w:w="0" w:type="auto"/>
            <w:vMerge w:val="continue"/>
            <w:tcBorders>
              <w:tl2br w:val="nil"/>
              <w:tr2bl w:val="nil"/>
            </w:tcBorders>
            <w:noWrap w:val="0"/>
            <w:vAlign w:val="center"/>
          </w:tcPr>
          <w:p>
            <w:pPr>
              <w:widowControl/>
              <w:jc w:val="left"/>
              <w:rPr>
                <w:rFonts w:ascii="宋体"/>
                <w:szCs w:val="21"/>
              </w:rPr>
            </w:pPr>
          </w:p>
        </w:tc>
        <w:tc>
          <w:tcPr>
            <w:tcW w:w="346"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Cs w:val="21"/>
              </w:rPr>
            </w:pPr>
            <w:r>
              <w:rPr>
                <w:rFonts w:hint="eastAsia" w:ascii="宋体" w:hAnsi="宋体"/>
              </w:rPr>
              <w:t>决策(立项）程序规范性(4分)</w:t>
            </w:r>
          </w:p>
        </w:tc>
        <w:tc>
          <w:tcPr>
            <w:tcW w:w="176" w:type="pct"/>
            <w:tcBorders>
              <w:tl2br w:val="nil"/>
              <w:tr2bl w:val="nil"/>
            </w:tcBorders>
            <w:noWrap w:val="0"/>
            <w:vAlign w:val="top"/>
          </w:tcPr>
          <w:p>
            <w:pPr>
              <w:spacing w:line="240" w:lineRule="exact"/>
              <w:ind w:left="105" w:leftChars="50" w:right="105" w:rightChars="50"/>
              <w:rPr>
                <w:rFonts w:hint="eastAsia" w:ascii="宋体"/>
                <w:szCs w:val="21"/>
              </w:rPr>
            </w:pPr>
            <w:r>
              <w:rPr>
                <w:rFonts w:hint="eastAsia" w:ascii="宋体"/>
                <w:szCs w:val="21"/>
              </w:rPr>
              <w:t>4</w:t>
            </w:r>
          </w:p>
        </w:tc>
        <w:tc>
          <w:tcPr>
            <w:tcW w:w="1130"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预算支出申请、设立过程是否符合相关要求，用以反映和考核决策（立项）的规范情况。</w:t>
            </w:r>
          </w:p>
        </w:tc>
        <w:tc>
          <w:tcPr>
            <w:tcW w:w="2108"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评价要点：</w:t>
            </w:r>
          </w:p>
          <w:p>
            <w:pPr>
              <w:spacing w:line="240" w:lineRule="exact"/>
              <w:ind w:left="105" w:leftChars="50"/>
              <w:rPr>
                <w:rFonts w:hint="eastAsia" w:ascii="宋体"/>
              </w:rPr>
            </w:pPr>
            <w:r>
              <w:rPr>
                <w:rFonts w:hint="eastAsia" w:ascii="宋体" w:hAnsi="宋体"/>
              </w:rPr>
              <w:t>①预算支出是否按照规定的程序申请设立；</w:t>
            </w:r>
          </w:p>
          <w:p>
            <w:pPr>
              <w:spacing w:line="240" w:lineRule="exact"/>
              <w:ind w:left="105" w:leftChars="50"/>
              <w:rPr>
                <w:rFonts w:hint="eastAsia" w:ascii="宋体"/>
              </w:rPr>
            </w:pPr>
            <w:r>
              <w:rPr>
                <w:rFonts w:hint="eastAsia" w:ascii="宋体" w:hAnsi="宋体"/>
              </w:rPr>
              <w:t>②审批文件、材料是否符合相关要求；</w:t>
            </w:r>
          </w:p>
          <w:p>
            <w:pPr>
              <w:spacing w:line="240" w:lineRule="exact"/>
              <w:ind w:left="105" w:leftChars="50"/>
              <w:rPr>
                <w:rFonts w:ascii="宋体"/>
                <w:szCs w:val="21"/>
              </w:rPr>
            </w:pPr>
            <w:r>
              <w:rPr>
                <w:rFonts w:hint="eastAsia" w:ascii="宋体" w:hAnsi="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0" w:type="auto"/>
            <w:vMerge w:val="continue"/>
            <w:tcBorders>
              <w:tl2br w:val="nil"/>
              <w:tr2bl w:val="nil"/>
            </w:tcBorders>
            <w:noWrap w:val="0"/>
            <w:vAlign w:val="center"/>
          </w:tcPr>
          <w:p>
            <w:pPr>
              <w:widowControl/>
              <w:jc w:val="left"/>
              <w:rPr>
                <w:rFonts w:ascii="宋体"/>
                <w:szCs w:val="21"/>
              </w:rPr>
            </w:pPr>
          </w:p>
        </w:tc>
        <w:tc>
          <w:tcPr>
            <w:tcW w:w="286" w:type="pct"/>
            <w:vMerge w:val="restart"/>
            <w:tcBorders>
              <w:tl2br w:val="nil"/>
              <w:tr2bl w:val="nil"/>
            </w:tcBorders>
            <w:noWrap w:val="0"/>
            <w:vAlign w:val="center"/>
          </w:tcPr>
          <w:p>
            <w:pPr>
              <w:spacing w:line="240" w:lineRule="exact"/>
              <w:jc w:val="center"/>
              <w:rPr>
                <w:rFonts w:ascii="宋体"/>
                <w:szCs w:val="21"/>
              </w:rPr>
            </w:pPr>
            <w:r>
              <w:rPr>
                <w:rFonts w:hint="eastAsia" w:ascii="宋体" w:hAnsi="宋体"/>
              </w:rPr>
              <w:t>绩效</w:t>
            </w:r>
          </w:p>
          <w:p>
            <w:pPr>
              <w:spacing w:line="240" w:lineRule="exact"/>
              <w:jc w:val="center"/>
              <w:rPr>
                <w:rFonts w:ascii="宋体"/>
                <w:szCs w:val="21"/>
              </w:rPr>
            </w:pPr>
            <w:r>
              <w:rPr>
                <w:rFonts w:hint="eastAsia" w:ascii="宋体" w:hAnsi="宋体"/>
              </w:rPr>
              <w:t>目标（6分）</w:t>
            </w:r>
          </w:p>
        </w:tc>
        <w:tc>
          <w:tcPr>
            <w:tcW w:w="346"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Cs w:val="21"/>
              </w:rPr>
            </w:pPr>
            <w:r>
              <w:rPr>
                <w:rFonts w:hint="eastAsia" w:ascii="宋体" w:hAnsi="宋体"/>
              </w:rPr>
              <w:t>绩效目标</w:t>
            </w:r>
          </w:p>
          <w:p>
            <w:pPr>
              <w:spacing w:line="240" w:lineRule="exact"/>
              <w:ind w:left="105" w:leftChars="50" w:right="105" w:rightChars="50"/>
              <w:jc w:val="center"/>
              <w:rPr>
                <w:rFonts w:ascii="宋体"/>
                <w:szCs w:val="21"/>
              </w:rPr>
            </w:pPr>
            <w:r>
              <w:rPr>
                <w:rFonts w:hint="eastAsia" w:ascii="宋体" w:hAnsi="宋体"/>
              </w:rPr>
              <w:t>合理性（3分）</w:t>
            </w:r>
          </w:p>
        </w:tc>
        <w:tc>
          <w:tcPr>
            <w:tcW w:w="176" w:type="pct"/>
            <w:tcBorders>
              <w:tl2br w:val="nil"/>
              <w:tr2bl w:val="nil"/>
            </w:tcBorders>
            <w:noWrap w:val="0"/>
            <w:vAlign w:val="top"/>
          </w:tcPr>
          <w:p>
            <w:pPr>
              <w:spacing w:line="240" w:lineRule="exact"/>
              <w:ind w:left="105" w:leftChars="50" w:right="105" w:rightChars="50"/>
              <w:rPr>
                <w:rFonts w:hint="eastAsia" w:ascii="宋体"/>
                <w:szCs w:val="21"/>
              </w:rPr>
            </w:pPr>
            <w:r>
              <w:rPr>
                <w:rFonts w:hint="eastAsia" w:ascii="宋体"/>
                <w:szCs w:val="21"/>
              </w:rPr>
              <w:t>3</w:t>
            </w:r>
          </w:p>
        </w:tc>
        <w:tc>
          <w:tcPr>
            <w:tcW w:w="1130"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预算支出所设定的绩效目标是否依据充分，是否符合客观实际，用以反映和考核预算支出绩效目标与预算支出实施的相符情况。</w:t>
            </w:r>
          </w:p>
        </w:tc>
        <w:tc>
          <w:tcPr>
            <w:tcW w:w="2108"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评价要点：</w:t>
            </w:r>
          </w:p>
          <w:p>
            <w:pPr>
              <w:spacing w:line="240" w:lineRule="exact"/>
              <w:ind w:left="105" w:leftChars="50" w:right="105" w:rightChars="50"/>
              <w:rPr>
                <w:rFonts w:hint="eastAsia" w:ascii="宋体"/>
              </w:rPr>
            </w:pPr>
            <w:r>
              <w:rPr>
                <w:rFonts w:hint="eastAsia" w:ascii="宋体" w:hAnsi="宋体"/>
              </w:rPr>
              <w:t>（如未设定预算绩效目标，也可考核其他工作任务目标）</w:t>
            </w:r>
          </w:p>
          <w:p>
            <w:pPr>
              <w:spacing w:line="240" w:lineRule="exact"/>
              <w:ind w:left="105" w:leftChars="50" w:right="105" w:rightChars="50"/>
              <w:rPr>
                <w:rFonts w:hint="eastAsia" w:ascii="宋体"/>
              </w:rPr>
            </w:pPr>
            <w:r>
              <w:rPr>
                <w:rFonts w:hint="eastAsia" w:ascii="宋体" w:hAnsi="宋体"/>
              </w:rPr>
              <w:t>①预算支出是否有绩效目标；</w:t>
            </w:r>
          </w:p>
          <w:p>
            <w:pPr>
              <w:spacing w:line="240" w:lineRule="exact"/>
              <w:ind w:left="105" w:leftChars="50" w:right="105" w:rightChars="50"/>
              <w:rPr>
                <w:rFonts w:hint="eastAsia" w:ascii="宋体"/>
              </w:rPr>
            </w:pPr>
            <w:r>
              <w:rPr>
                <w:rFonts w:hint="eastAsia" w:ascii="宋体" w:hAnsi="宋体"/>
              </w:rPr>
              <w:t>②预算支出绩效目标与实际工作内容是否具有相关性；</w:t>
            </w:r>
          </w:p>
          <w:p>
            <w:pPr>
              <w:spacing w:line="240" w:lineRule="exact"/>
              <w:ind w:left="105" w:leftChars="50" w:right="105" w:rightChars="50"/>
              <w:rPr>
                <w:rFonts w:ascii="宋体"/>
                <w:szCs w:val="21"/>
              </w:rPr>
            </w:pPr>
            <w:r>
              <w:rPr>
                <w:rFonts w:hint="eastAsia" w:ascii="宋体" w:hAnsi="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0" w:type="auto"/>
            <w:vMerge w:val="continue"/>
            <w:tcBorders>
              <w:tl2br w:val="nil"/>
              <w:tr2bl w:val="nil"/>
            </w:tcBorders>
            <w:noWrap w:val="0"/>
            <w:vAlign w:val="center"/>
          </w:tcPr>
          <w:p>
            <w:pPr>
              <w:widowControl/>
              <w:jc w:val="left"/>
              <w:rPr>
                <w:rFonts w:ascii="宋体"/>
                <w:szCs w:val="21"/>
              </w:rPr>
            </w:pPr>
          </w:p>
        </w:tc>
        <w:tc>
          <w:tcPr>
            <w:tcW w:w="0" w:type="auto"/>
            <w:vMerge w:val="continue"/>
            <w:tcBorders>
              <w:tl2br w:val="nil"/>
              <w:tr2bl w:val="nil"/>
            </w:tcBorders>
            <w:noWrap w:val="0"/>
            <w:vAlign w:val="center"/>
          </w:tcPr>
          <w:p>
            <w:pPr>
              <w:widowControl/>
              <w:jc w:val="left"/>
              <w:rPr>
                <w:rFonts w:ascii="宋体"/>
                <w:szCs w:val="21"/>
              </w:rPr>
            </w:pPr>
          </w:p>
        </w:tc>
        <w:tc>
          <w:tcPr>
            <w:tcW w:w="346"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Cs w:val="21"/>
              </w:rPr>
            </w:pPr>
            <w:r>
              <w:rPr>
                <w:rFonts w:hint="eastAsia" w:ascii="宋体" w:hAnsi="宋体"/>
              </w:rPr>
              <w:t>绩效指标</w:t>
            </w:r>
          </w:p>
          <w:p>
            <w:pPr>
              <w:spacing w:line="240" w:lineRule="exact"/>
              <w:ind w:left="105" w:leftChars="50" w:right="105" w:rightChars="50"/>
              <w:jc w:val="center"/>
              <w:rPr>
                <w:rFonts w:ascii="宋体"/>
                <w:szCs w:val="21"/>
              </w:rPr>
            </w:pPr>
            <w:r>
              <w:rPr>
                <w:rFonts w:hint="eastAsia" w:ascii="宋体" w:hAnsi="宋体"/>
              </w:rPr>
              <w:t>明确性（3分）</w:t>
            </w:r>
          </w:p>
        </w:tc>
        <w:tc>
          <w:tcPr>
            <w:tcW w:w="176" w:type="pct"/>
            <w:tcBorders>
              <w:tl2br w:val="nil"/>
              <w:tr2bl w:val="nil"/>
            </w:tcBorders>
            <w:noWrap w:val="0"/>
            <w:vAlign w:val="top"/>
          </w:tcPr>
          <w:p>
            <w:pPr>
              <w:spacing w:line="240" w:lineRule="exact"/>
              <w:ind w:left="105" w:leftChars="50" w:right="105" w:rightChars="50"/>
              <w:rPr>
                <w:rFonts w:hint="eastAsia" w:ascii="宋体"/>
                <w:szCs w:val="21"/>
              </w:rPr>
            </w:pPr>
            <w:r>
              <w:rPr>
                <w:rFonts w:hint="eastAsia" w:ascii="宋体"/>
                <w:szCs w:val="21"/>
              </w:rPr>
              <w:t>3</w:t>
            </w:r>
          </w:p>
        </w:tc>
        <w:tc>
          <w:tcPr>
            <w:tcW w:w="1130"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依据绩效目标设定的绩效指标是否清晰、细化、可衡量等，用以反映和考核预算支出绩效目标的明细化情况。</w:t>
            </w:r>
          </w:p>
        </w:tc>
        <w:tc>
          <w:tcPr>
            <w:tcW w:w="2108"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评价要点：</w:t>
            </w:r>
            <w:r>
              <w:rPr>
                <w:rFonts w:hint="eastAsia" w:ascii="宋体"/>
              </w:rPr>
              <w:br w:type="textWrapping"/>
            </w:r>
            <w:r>
              <w:rPr>
                <w:rFonts w:hint="eastAsia" w:ascii="宋体" w:hAnsi="宋体"/>
              </w:rPr>
              <w:t>①是否将预算支出绩效目标细化分解为具体的绩效指标；</w:t>
            </w:r>
            <w:r>
              <w:rPr>
                <w:rFonts w:hint="eastAsia" w:ascii="宋体"/>
              </w:rPr>
              <w:br w:type="textWrapping"/>
            </w:r>
            <w:r>
              <w:rPr>
                <w:rFonts w:hint="eastAsia" w:ascii="宋体" w:hAnsi="宋体"/>
              </w:rPr>
              <w:t>②是否通过清晰、可衡量的指标值予以体现；</w:t>
            </w:r>
            <w:r>
              <w:rPr>
                <w:rFonts w:hint="eastAsia" w:ascii="宋体"/>
              </w:rPr>
              <w:br w:type="textWrapping"/>
            </w:r>
            <w:r>
              <w:rPr>
                <w:rFonts w:hint="eastAsia" w:ascii="宋体" w:hAnsi="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0" w:type="auto"/>
            <w:vMerge w:val="continue"/>
            <w:tcBorders>
              <w:tl2br w:val="nil"/>
              <w:tr2bl w:val="nil"/>
            </w:tcBorders>
            <w:noWrap w:val="0"/>
            <w:vAlign w:val="center"/>
          </w:tcPr>
          <w:p>
            <w:pPr>
              <w:widowControl/>
              <w:jc w:val="left"/>
              <w:rPr>
                <w:rFonts w:ascii="宋体"/>
                <w:szCs w:val="21"/>
              </w:rPr>
            </w:pPr>
          </w:p>
        </w:tc>
        <w:tc>
          <w:tcPr>
            <w:tcW w:w="286" w:type="pct"/>
            <w:vMerge w:val="restart"/>
            <w:tcBorders>
              <w:tl2br w:val="nil"/>
              <w:tr2bl w:val="nil"/>
            </w:tcBorders>
            <w:noWrap w:val="0"/>
            <w:vAlign w:val="center"/>
          </w:tcPr>
          <w:p>
            <w:pPr>
              <w:spacing w:line="240" w:lineRule="exact"/>
              <w:jc w:val="center"/>
              <w:rPr>
                <w:rFonts w:ascii="宋体"/>
                <w:szCs w:val="21"/>
              </w:rPr>
            </w:pPr>
            <w:r>
              <w:rPr>
                <w:rFonts w:hint="eastAsia" w:ascii="宋体" w:hAnsi="宋体"/>
              </w:rPr>
              <w:t>资金</w:t>
            </w:r>
          </w:p>
          <w:p>
            <w:pPr>
              <w:spacing w:line="240" w:lineRule="exact"/>
              <w:jc w:val="center"/>
              <w:rPr>
                <w:rFonts w:ascii="宋体"/>
                <w:szCs w:val="21"/>
              </w:rPr>
            </w:pPr>
            <w:r>
              <w:rPr>
                <w:rFonts w:hint="eastAsia" w:ascii="宋体" w:hAnsi="宋体"/>
              </w:rPr>
              <w:t>投入（6分）</w:t>
            </w:r>
          </w:p>
        </w:tc>
        <w:tc>
          <w:tcPr>
            <w:tcW w:w="346"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Cs w:val="21"/>
              </w:rPr>
            </w:pPr>
            <w:r>
              <w:rPr>
                <w:rFonts w:hint="eastAsia" w:ascii="宋体" w:hAnsi="宋体"/>
              </w:rPr>
              <w:t>预算编制</w:t>
            </w:r>
          </w:p>
          <w:p>
            <w:pPr>
              <w:spacing w:line="240" w:lineRule="exact"/>
              <w:ind w:left="105" w:leftChars="50" w:right="105" w:rightChars="50"/>
              <w:jc w:val="center"/>
              <w:rPr>
                <w:rFonts w:ascii="宋体"/>
                <w:szCs w:val="21"/>
              </w:rPr>
            </w:pPr>
            <w:r>
              <w:rPr>
                <w:rFonts w:hint="eastAsia" w:ascii="宋体" w:hAnsi="宋体"/>
              </w:rPr>
              <w:t>科学性（3分）</w:t>
            </w:r>
          </w:p>
        </w:tc>
        <w:tc>
          <w:tcPr>
            <w:tcW w:w="176" w:type="pct"/>
            <w:tcBorders>
              <w:tl2br w:val="nil"/>
              <w:tr2bl w:val="nil"/>
            </w:tcBorders>
            <w:noWrap w:val="0"/>
            <w:vAlign w:val="top"/>
          </w:tcPr>
          <w:p>
            <w:pPr>
              <w:spacing w:line="240" w:lineRule="exact"/>
              <w:ind w:left="105" w:leftChars="50" w:right="105" w:rightChars="50"/>
              <w:rPr>
                <w:rFonts w:hint="eastAsia" w:ascii="宋体"/>
                <w:szCs w:val="21"/>
              </w:rPr>
            </w:pPr>
            <w:r>
              <w:rPr>
                <w:rFonts w:hint="eastAsia" w:ascii="宋体"/>
                <w:szCs w:val="21"/>
              </w:rPr>
              <w:t>3</w:t>
            </w:r>
          </w:p>
        </w:tc>
        <w:tc>
          <w:tcPr>
            <w:tcW w:w="1130"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预算编制是否经过科学论证、有明确标准，资金额度与年度目标是否相适应，用以反映和考核预算支出预算编制的科学性、合理性情况。</w:t>
            </w:r>
          </w:p>
        </w:tc>
        <w:tc>
          <w:tcPr>
            <w:tcW w:w="2108" w:type="pct"/>
            <w:tcBorders>
              <w:tl2br w:val="nil"/>
              <w:tr2bl w:val="nil"/>
            </w:tcBorders>
            <w:noWrap w:val="0"/>
            <w:tcMar>
              <w:top w:w="10" w:type="dxa"/>
              <w:left w:w="10" w:type="dxa"/>
              <w:bottom w:w="0" w:type="dxa"/>
              <w:right w:w="10" w:type="dxa"/>
            </w:tcMar>
            <w:vAlign w:val="center"/>
          </w:tcPr>
          <w:p>
            <w:pPr>
              <w:spacing w:line="220" w:lineRule="exact"/>
              <w:ind w:left="105" w:leftChars="50" w:right="105" w:rightChars="50"/>
              <w:rPr>
                <w:rFonts w:ascii="宋体"/>
                <w:szCs w:val="21"/>
              </w:rPr>
            </w:pPr>
            <w:r>
              <w:rPr>
                <w:rFonts w:hint="eastAsia" w:ascii="宋体" w:hAnsi="宋体"/>
              </w:rPr>
              <w:t>评价要点：</w:t>
            </w:r>
          </w:p>
          <w:p>
            <w:pPr>
              <w:spacing w:line="220" w:lineRule="exact"/>
              <w:ind w:left="105" w:leftChars="50" w:right="105" w:rightChars="50"/>
              <w:rPr>
                <w:rFonts w:hint="eastAsia" w:ascii="宋体"/>
              </w:rPr>
            </w:pPr>
            <w:r>
              <w:rPr>
                <w:rFonts w:hint="eastAsia" w:ascii="宋体" w:hAnsi="宋体"/>
              </w:rPr>
              <w:t>①预算编制是否经过科学论证；</w:t>
            </w:r>
          </w:p>
          <w:p>
            <w:pPr>
              <w:spacing w:line="220" w:lineRule="exact"/>
              <w:ind w:left="105" w:leftChars="50" w:right="105" w:rightChars="50"/>
              <w:rPr>
                <w:rFonts w:hint="eastAsia" w:ascii="宋体"/>
              </w:rPr>
            </w:pPr>
            <w:r>
              <w:rPr>
                <w:rFonts w:hint="eastAsia" w:ascii="宋体" w:hAnsi="宋体"/>
              </w:rPr>
              <w:t>②预算内容与支出内容是否匹配；</w:t>
            </w:r>
          </w:p>
          <w:p>
            <w:pPr>
              <w:spacing w:line="220" w:lineRule="exact"/>
              <w:ind w:left="105" w:leftChars="50" w:right="105" w:rightChars="50"/>
              <w:rPr>
                <w:rFonts w:hint="eastAsia" w:ascii="宋体"/>
              </w:rPr>
            </w:pPr>
            <w:r>
              <w:rPr>
                <w:rFonts w:hint="eastAsia" w:ascii="宋体" w:hAnsi="宋体"/>
              </w:rPr>
              <w:t>③预算额度测算依据是否充分，是否按照标准编制；</w:t>
            </w:r>
          </w:p>
          <w:p>
            <w:pPr>
              <w:spacing w:line="220" w:lineRule="exact"/>
              <w:ind w:left="105" w:leftChars="50" w:right="105" w:rightChars="50"/>
              <w:rPr>
                <w:rFonts w:ascii="宋体"/>
                <w:szCs w:val="21"/>
              </w:rPr>
            </w:pPr>
            <w:r>
              <w:rPr>
                <w:rFonts w:hint="eastAsia" w:ascii="宋体" w:hAnsi="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0" w:type="auto"/>
            <w:vMerge w:val="continue"/>
            <w:tcBorders>
              <w:tl2br w:val="nil"/>
              <w:tr2bl w:val="nil"/>
            </w:tcBorders>
            <w:noWrap w:val="0"/>
            <w:vAlign w:val="center"/>
          </w:tcPr>
          <w:p>
            <w:pPr>
              <w:widowControl/>
              <w:jc w:val="left"/>
              <w:rPr>
                <w:rFonts w:ascii="宋体"/>
                <w:szCs w:val="21"/>
              </w:rPr>
            </w:pPr>
          </w:p>
        </w:tc>
        <w:tc>
          <w:tcPr>
            <w:tcW w:w="0" w:type="auto"/>
            <w:vMerge w:val="continue"/>
            <w:tcBorders>
              <w:tl2br w:val="nil"/>
              <w:tr2bl w:val="nil"/>
            </w:tcBorders>
            <w:noWrap w:val="0"/>
            <w:vAlign w:val="center"/>
          </w:tcPr>
          <w:p>
            <w:pPr>
              <w:widowControl/>
              <w:jc w:val="left"/>
              <w:rPr>
                <w:rFonts w:ascii="宋体"/>
                <w:szCs w:val="21"/>
              </w:rPr>
            </w:pPr>
          </w:p>
        </w:tc>
        <w:tc>
          <w:tcPr>
            <w:tcW w:w="346"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Cs w:val="21"/>
              </w:rPr>
            </w:pPr>
            <w:r>
              <w:rPr>
                <w:rFonts w:hint="eastAsia" w:ascii="宋体" w:hAnsi="宋体"/>
              </w:rPr>
              <w:t>资金分配</w:t>
            </w:r>
          </w:p>
          <w:p>
            <w:pPr>
              <w:spacing w:line="240" w:lineRule="exact"/>
              <w:ind w:left="105" w:leftChars="50" w:right="105" w:rightChars="50"/>
              <w:jc w:val="center"/>
              <w:rPr>
                <w:rFonts w:ascii="宋体"/>
                <w:szCs w:val="21"/>
              </w:rPr>
            </w:pPr>
            <w:r>
              <w:rPr>
                <w:rFonts w:hint="eastAsia" w:ascii="宋体" w:hAnsi="宋体"/>
              </w:rPr>
              <w:t>合理性（3分）</w:t>
            </w:r>
          </w:p>
        </w:tc>
        <w:tc>
          <w:tcPr>
            <w:tcW w:w="176" w:type="pct"/>
            <w:tcBorders>
              <w:tl2br w:val="nil"/>
              <w:tr2bl w:val="nil"/>
            </w:tcBorders>
            <w:noWrap w:val="0"/>
            <w:vAlign w:val="top"/>
          </w:tcPr>
          <w:p>
            <w:pPr>
              <w:spacing w:line="240" w:lineRule="exact"/>
              <w:ind w:left="105" w:leftChars="50" w:right="105" w:rightChars="50"/>
              <w:rPr>
                <w:rFonts w:hint="eastAsia" w:ascii="宋体"/>
                <w:szCs w:val="21"/>
              </w:rPr>
            </w:pPr>
            <w:r>
              <w:rPr>
                <w:rFonts w:hint="eastAsia" w:ascii="宋体"/>
                <w:szCs w:val="21"/>
              </w:rPr>
              <w:t>3</w:t>
            </w:r>
          </w:p>
        </w:tc>
        <w:tc>
          <w:tcPr>
            <w:tcW w:w="1130"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预算资金分配是否有测算依据，与补助单位或地方实际是否相适应，用以反映和考核预算支出预算资金分配的科学性、合理性情况。</w:t>
            </w:r>
          </w:p>
        </w:tc>
        <w:tc>
          <w:tcPr>
            <w:tcW w:w="2108"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评价要点：</w:t>
            </w:r>
          </w:p>
          <w:p>
            <w:pPr>
              <w:spacing w:line="240" w:lineRule="exact"/>
              <w:ind w:right="105" w:rightChars="50" w:firstLine="105" w:firstLineChars="50"/>
              <w:rPr>
                <w:rFonts w:hint="eastAsia" w:ascii="宋体"/>
              </w:rPr>
            </w:pPr>
            <w:r>
              <w:rPr>
                <w:rFonts w:hint="eastAsia" w:ascii="宋体" w:hAnsi="宋体"/>
              </w:rPr>
              <w:t>①预算资金分配依据是否充分；</w:t>
            </w:r>
          </w:p>
          <w:p>
            <w:pPr>
              <w:spacing w:line="240" w:lineRule="exact"/>
              <w:ind w:left="105" w:leftChars="50" w:right="105" w:rightChars="50"/>
              <w:rPr>
                <w:rFonts w:ascii="宋体"/>
                <w:szCs w:val="21"/>
              </w:rPr>
            </w:pPr>
            <w:r>
              <w:rPr>
                <w:rFonts w:hint="eastAsia" w:ascii="宋体" w:hAnsi="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955" w:type="pct"/>
            <w:vMerge w:val="restart"/>
            <w:tcBorders>
              <w:tl2br w:val="nil"/>
              <w:tr2bl w:val="nil"/>
            </w:tcBorders>
            <w:noWrap w:val="0"/>
            <w:vAlign w:val="center"/>
          </w:tcPr>
          <w:p>
            <w:pPr>
              <w:spacing w:line="240" w:lineRule="exact"/>
              <w:jc w:val="center"/>
              <w:rPr>
                <w:rFonts w:ascii="宋体"/>
                <w:szCs w:val="21"/>
              </w:rPr>
            </w:pPr>
            <w:r>
              <w:rPr>
                <w:rFonts w:hint="eastAsia" w:ascii="宋体" w:hAnsi="宋体"/>
              </w:rPr>
              <w:t>过</w:t>
            </w:r>
          </w:p>
          <w:p>
            <w:pPr>
              <w:spacing w:line="240" w:lineRule="exact"/>
              <w:jc w:val="center"/>
              <w:rPr>
                <w:rFonts w:hint="eastAsia" w:ascii="宋体"/>
              </w:rPr>
            </w:pPr>
          </w:p>
          <w:p>
            <w:pPr>
              <w:spacing w:line="240" w:lineRule="exact"/>
              <w:jc w:val="center"/>
              <w:rPr>
                <w:rFonts w:hint="eastAsia" w:ascii="宋体"/>
              </w:rPr>
            </w:pPr>
          </w:p>
          <w:p>
            <w:pPr>
              <w:spacing w:line="240" w:lineRule="exact"/>
              <w:jc w:val="center"/>
              <w:rPr>
                <w:rFonts w:ascii="宋体"/>
                <w:szCs w:val="21"/>
              </w:rPr>
            </w:pPr>
            <w:r>
              <w:rPr>
                <w:rFonts w:hint="eastAsia" w:ascii="宋体" w:hAnsi="宋体"/>
              </w:rPr>
              <w:t>程（20分）</w:t>
            </w:r>
          </w:p>
        </w:tc>
        <w:tc>
          <w:tcPr>
            <w:tcW w:w="286" w:type="pct"/>
            <w:vMerge w:val="restart"/>
            <w:tcBorders>
              <w:tl2br w:val="nil"/>
              <w:tr2bl w:val="nil"/>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rPr>
              <w:t>资金</w:t>
            </w:r>
            <w:r>
              <w:rPr>
                <w:rFonts w:hint="eastAsia" w:ascii="宋体"/>
              </w:rPr>
              <w:br w:type="textWrapping"/>
            </w:r>
            <w:r>
              <w:rPr>
                <w:rFonts w:hint="eastAsia" w:ascii="宋体" w:hAnsi="宋体"/>
              </w:rPr>
              <w:t>管理（12分）</w:t>
            </w:r>
          </w:p>
        </w:tc>
        <w:tc>
          <w:tcPr>
            <w:tcW w:w="346"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Cs w:val="21"/>
              </w:rPr>
            </w:pPr>
            <w:r>
              <w:rPr>
                <w:rFonts w:hint="eastAsia" w:ascii="宋体" w:hAnsi="宋体"/>
              </w:rPr>
              <w:t>资金</w:t>
            </w:r>
          </w:p>
          <w:p>
            <w:pPr>
              <w:spacing w:line="240" w:lineRule="exact"/>
              <w:ind w:left="105" w:leftChars="50" w:right="105" w:rightChars="50"/>
              <w:jc w:val="center"/>
              <w:rPr>
                <w:rFonts w:ascii="宋体"/>
                <w:szCs w:val="21"/>
              </w:rPr>
            </w:pPr>
            <w:r>
              <w:rPr>
                <w:rFonts w:hint="eastAsia" w:ascii="宋体" w:hAnsi="宋体"/>
              </w:rPr>
              <w:t>到位率（4分）</w:t>
            </w:r>
          </w:p>
        </w:tc>
        <w:tc>
          <w:tcPr>
            <w:tcW w:w="176" w:type="pct"/>
            <w:tcBorders>
              <w:tl2br w:val="nil"/>
              <w:tr2bl w:val="nil"/>
            </w:tcBorders>
            <w:noWrap w:val="0"/>
            <w:vAlign w:val="top"/>
          </w:tcPr>
          <w:p>
            <w:pPr>
              <w:spacing w:line="240" w:lineRule="exact"/>
              <w:ind w:left="105" w:leftChars="50" w:right="105" w:rightChars="50"/>
              <w:rPr>
                <w:rFonts w:hint="eastAsia" w:ascii="宋体"/>
                <w:szCs w:val="21"/>
              </w:rPr>
            </w:pPr>
            <w:r>
              <w:rPr>
                <w:rFonts w:hint="eastAsia" w:ascii="宋体"/>
                <w:szCs w:val="21"/>
              </w:rPr>
              <w:t>4</w:t>
            </w:r>
          </w:p>
        </w:tc>
        <w:tc>
          <w:tcPr>
            <w:tcW w:w="1130"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实际到位资金与预算资金的比率，用以反映和考核资金落实情况对预算支出实施的总体保障程度。</w:t>
            </w:r>
          </w:p>
        </w:tc>
        <w:tc>
          <w:tcPr>
            <w:tcW w:w="2108"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资金到位率=（实际到位资金/预算资金）×100%。</w:t>
            </w:r>
            <w:r>
              <w:rPr>
                <w:rFonts w:hint="eastAsia" w:ascii="宋体"/>
              </w:rPr>
              <w:br w:type="textWrapping"/>
            </w:r>
            <w:r>
              <w:rPr>
                <w:rFonts w:hint="eastAsia" w:ascii="宋体" w:hAnsi="宋体"/>
              </w:rPr>
              <w:t>实际到位资金：一定时期（本年度或预算支出期）内落实到具体预算支出的资金。</w:t>
            </w:r>
            <w:r>
              <w:rPr>
                <w:rFonts w:hint="eastAsia" w:ascii="宋体"/>
              </w:rPr>
              <w:br w:type="textWrapping"/>
            </w:r>
            <w:r>
              <w:rPr>
                <w:rFonts w:hint="eastAsia" w:ascii="宋体" w:hAnsi="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0" w:type="auto"/>
            <w:vMerge w:val="continue"/>
            <w:tcBorders>
              <w:tl2br w:val="nil"/>
              <w:tr2bl w:val="nil"/>
            </w:tcBorders>
            <w:noWrap w:val="0"/>
            <w:vAlign w:val="center"/>
          </w:tcPr>
          <w:p>
            <w:pPr>
              <w:widowControl/>
              <w:jc w:val="left"/>
              <w:rPr>
                <w:rFonts w:ascii="宋体"/>
                <w:szCs w:val="21"/>
              </w:rPr>
            </w:pPr>
          </w:p>
        </w:tc>
        <w:tc>
          <w:tcPr>
            <w:tcW w:w="0" w:type="auto"/>
            <w:vMerge w:val="continue"/>
            <w:tcBorders>
              <w:tl2br w:val="nil"/>
              <w:tr2bl w:val="nil"/>
            </w:tcBorders>
            <w:noWrap w:val="0"/>
            <w:vAlign w:val="center"/>
          </w:tcPr>
          <w:p>
            <w:pPr>
              <w:widowControl/>
              <w:jc w:val="left"/>
              <w:rPr>
                <w:rFonts w:ascii="宋体"/>
                <w:szCs w:val="21"/>
              </w:rPr>
            </w:pPr>
          </w:p>
        </w:tc>
        <w:tc>
          <w:tcPr>
            <w:tcW w:w="346"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Cs w:val="21"/>
              </w:rPr>
            </w:pPr>
            <w:r>
              <w:rPr>
                <w:rFonts w:hint="eastAsia" w:ascii="宋体" w:hAnsi="宋体"/>
              </w:rPr>
              <w:t>预算</w:t>
            </w:r>
          </w:p>
          <w:p>
            <w:pPr>
              <w:spacing w:line="240" w:lineRule="exact"/>
              <w:ind w:left="105" w:leftChars="50" w:right="105" w:rightChars="50"/>
              <w:jc w:val="center"/>
              <w:rPr>
                <w:rFonts w:ascii="宋体"/>
                <w:szCs w:val="21"/>
              </w:rPr>
            </w:pPr>
            <w:r>
              <w:rPr>
                <w:rFonts w:hint="eastAsia" w:ascii="宋体" w:hAnsi="宋体"/>
              </w:rPr>
              <w:t>执行率（4分）</w:t>
            </w:r>
          </w:p>
        </w:tc>
        <w:tc>
          <w:tcPr>
            <w:tcW w:w="176" w:type="pct"/>
            <w:tcBorders>
              <w:tl2br w:val="nil"/>
              <w:tr2bl w:val="nil"/>
            </w:tcBorders>
            <w:noWrap w:val="0"/>
            <w:vAlign w:val="top"/>
          </w:tcPr>
          <w:p>
            <w:pPr>
              <w:spacing w:line="240" w:lineRule="exact"/>
              <w:ind w:left="105" w:leftChars="50" w:right="105" w:rightChars="50"/>
              <w:rPr>
                <w:rFonts w:hint="eastAsia" w:ascii="宋体"/>
                <w:szCs w:val="21"/>
              </w:rPr>
            </w:pPr>
            <w:r>
              <w:rPr>
                <w:rFonts w:hint="eastAsia" w:ascii="宋体"/>
                <w:szCs w:val="21"/>
              </w:rPr>
              <w:t>4</w:t>
            </w:r>
          </w:p>
        </w:tc>
        <w:tc>
          <w:tcPr>
            <w:tcW w:w="1130"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预算资金是否按照计划执行，用以反映或考核预算支出预算执行情况。</w:t>
            </w:r>
          </w:p>
        </w:tc>
        <w:tc>
          <w:tcPr>
            <w:tcW w:w="2108"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预算执行率=（实际支出资金/实际到位资金）×100%。</w:t>
            </w:r>
          </w:p>
          <w:p>
            <w:pPr>
              <w:spacing w:line="240" w:lineRule="exact"/>
              <w:ind w:left="105" w:leftChars="50" w:right="105" w:rightChars="50"/>
              <w:rPr>
                <w:rFonts w:ascii="宋体"/>
                <w:szCs w:val="21"/>
              </w:rPr>
            </w:pPr>
            <w:r>
              <w:rPr>
                <w:rFonts w:hint="eastAsia" w:ascii="宋体" w:hAnsi="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0" w:type="auto"/>
            <w:vMerge w:val="continue"/>
            <w:tcBorders>
              <w:tl2br w:val="nil"/>
              <w:tr2bl w:val="nil"/>
            </w:tcBorders>
            <w:noWrap w:val="0"/>
            <w:vAlign w:val="center"/>
          </w:tcPr>
          <w:p>
            <w:pPr>
              <w:widowControl/>
              <w:jc w:val="left"/>
              <w:rPr>
                <w:rFonts w:ascii="宋体"/>
                <w:szCs w:val="21"/>
              </w:rPr>
            </w:pPr>
          </w:p>
        </w:tc>
        <w:tc>
          <w:tcPr>
            <w:tcW w:w="0" w:type="auto"/>
            <w:vMerge w:val="continue"/>
            <w:tcBorders>
              <w:tl2br w:val="nil"/>
              <w:tr2bl w:val="nil"/>
            </w:tcBorders>
            <w:noWrap w:val="0"/>
            <w:vAlign w:val="center"/>
          </w:tcPr>
          <w:p>
            <w:pPr>
              <w:widowControl/>
              <w:jc w:val="left"/>
              <w:rPr>
                <w:rFonts w:ascii="宋体"/>
                <w:szCs w:val="21"/>
              </w:rPr>
            </w:pPr>
          </w:p>
        </w:tc>
        <w:tc>
          <w:tcPr>
            <w:tcW w:w="346"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Cs w:val="21"/>
              </w:rPr>
            </w:pPr>
            <w:r>
              <w:rPr>
                <w:rFonts w:hint="eastAsia" w:ascii="宋体" w:hAnsi="宋体"/>
              </w:rPr>
              <w:t>资金使用</w:t>
            </w:r>
          </w:p>
          <w:p>
            <w:pPr>
              <w:spacing w:line="240" w:lineRule="exact"/>
              <w:ind w:left="105" w:leftChars="50" w:right="105" w:rightChars="50"/>
              <w:jc w:val="center"/>
              <w:rPr>
                <w:rFonts w:ascii="宋体"/>
                <w:szCs w:val="21"/>
              </w:rPr>
            </w:pPr>
            <w:r>
              <w:rPr>
                <w:rFonts w:hint="eastAsia" w:ascii="宋体" w:hAnsi="宋体"/>
              </w:rPr>
              <w:t>合规性（4分）</w:t>
            </w:r>
          </w:p>
        </w:tc>
        <w:tc>
          <w:tcPr>
            <w:tcW w:w="176" w:type="pct"/>
            <w:tcBorders>
              <w:tl2br w:val="nil"/>
              <w:tr2bl w:val="nil"/>
            </w:tcBorders>
            <w:noWrap w:val="0"/>
            <w:vAlign w:val="top"/>
          </w:tcPr>
          <w:p>
            <w:pPr>
              <w:spacing w:line="240" w:lineRule="exact"/>
              <w:ind w:left="105" w:leftChars="50" w:right="105" w:rightChars="50"/>
              <w:rPr>
                <w:rFonts w:hint="eastAsia" w:ascii="宋体"/>
                <w:szCs w:val="21"/>
              </w:rPr>
            </w:pPr>
            <w:r>
              <w:rPr>
                <w:rFonts w:hint="eastAsia" w:ascii="宋体"/>
                <w:szCs w:val="21"/>
              </w:rPr>
              <w:t>4</w:t>
            </w:r>
          </w:p>
        </w:tc>
        <w:tc>
          <w:tcPr>
            <w:tcW w:w="1130"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预算资金使用是否符合相关的财务管理制度规定，用以反映和考核预算资金的规范运行情况。</w:t>
            </w:r>
          </w:p>
        </w:tc>
        <w:tc>
          <w:tcPr>
            <w:tcW w:w="2108"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评价要点：</w:t>
            </w:r>
          </w:p>
          <w:p>
            <w:pPr>
              <w:spacing w:line="240" w:lineRule="exact"/>
              <w:ind w:left="105" w:leftChars="50" w:right="105" w:rightChars="50"/>
              <w:rPr>
                <w:rFonts w:hint="eastAsia" w:ascii="宋体"/>
              </w:rPr>
            </w:pPr>
            <w:r>
              <w:rPr>
                <w:rFonts w:hint="eastAsia" w:ascii="宋体" w:hAnsi="宋体"/>
              </w:rPr>
              <w:t>①是否符合国家财经法规和财务管理制度以及有关专项资金管理办法的规定；</w:t>
            </w:r>
          </w:p>
          <w:p>
            <w:pPr>
              <w:spacing w:line="240" w:lineRule="exact"/>
              <w:ind w:right="105" w:rightChars="50" w:firstLine="105" w:firstLineChars="50"/>
              <w:rPr>
                <w:rFonts w:hint="eastAsia" w:ascii="宋体"/>
              </w:rPr>
            </w:pPr>
            <w:r>
              <w:rPr>
                <w:rFonts w:hint="eastAsia" w:ascii="宋体" w:hAnsi="宋体"/>
              </w:rPr>
              <w:t>②资金的拨付是否有完整的审批程序和手续；</w:t>
            </w:r>
          </w:p>
          <w:p>
            <w:pPr>
              <w:spacing w:line="240" w:lineRule="exact"/>
              <w:ind w:right="105" w:rightChars="50" w:firstLine="105" w:firstLineChars="50"/>
              <w:rPr>
                <w:rFonts w:hint="eastAsia" w:ascii="宋体"/>
              </w:rPr>
            </w:pPr>
            <w:r>
              <w:rPr>
                <w:rFonts w:hint="eastAsia" w:ascii="宋体" w:hAnsi="宋体"/>
              </w:rPr>
              <w:t>③是否符合预算支出预算批复或合同规定的用途；</w:t>
            </w:r>
          </w:p>
          <w:p>
            <w:pPr>
              <w:spacing w:line="240" w:lineRule="exact"/>
              <w:ind w:left="105" w:leftChars="50" w:right="105" w:rightChars="50"/>
              <w:rPr>
                <w:rFonts w:ascii="宋体"/>
                <w:szCs w:val="21"/>
              </w:rPr>
            </w:pPr>
            <w:r>
              <w:rPr>
                <w:rFonts w:hint="eastAsia" w:ascii="宋体" w:hAnsi="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0" w:type="auto"/>
            <w:vMerge w:val="continue"/>
            <w:tcBorders>
              <w:tl2br w:val="nil"/>
              <w:tr2bl w:val="nil"/>
            </w:tcBorders>
            <w:noWrap w:val="0"/>
            <w:vAlign w:val="center"/>
          </w:tcPr>
          <w:p>
            <w:pPr>
              <w:widowControl/>
              <w:jc w:val="left"/>
              <w:rPr>
                <w:rFonts w:ascii="宋体"/>
                <w:szCs w:val="21"/>
              </w:rPr>
            </w:pPr>
          </w:p>
        </w:tc>
        <w:tc>
          <w:tcPr>
            <w:tcW w:w="286" w:type="pct"/>
            <w:vMerge w:val="restart"/>
            <w:tcBorders>
              <w:tl2br w:val="nil"/>
              <w:tr2bl w:val="nil"/>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rPr>
              <w:t>组织</w:t>
            </w:r>
          </w:p>
          <w:p>
            <w:pPr>
              <w:spacing w:line="240" w:lineRule="exact"/>
              <w:jc w:val="center"/>
              <w:rPr>
                <w:rFonts w:ascii="宋体"/>
                <w:szCs w:val="21"/>
              </w:rPr>
            </w:pPr>
            <w:r>
              <w:rPr>
                <w:rFonts w:hint="eastAsia" w:ascii="宋体" w:hAnsi="宋体"/>
              </w:rPr>
              <w:t>实施（8分）</w:t>
            </w:r>
          </w:p>
        </w:tc>
        <w:tc>
          <w:tcPr>
            <w:tcW w:w="346"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Cs w:val="21"/>
              </w:rPr>
            </w:pPr>
            <w:r>
              <w:rPr>
                <w:rFonts w:hint="eastAsia" w:ascii="宋体" w:hAnsi="宋体"/>
              </w:rPr>
              <w:t>管理制度</w:t>
            </w:r>
          </w:p>
          <w:p>
            <w:pPr>
              <w:spacing w:line="240" w:lineRule="exact"/>
              <w:ind w:left="105" w:leftChars="50" w:right="105" w:rightChars="50"/>
              <w:jc w:val="center"/>
              <w:rPr>
                <w:rFonts w:ascii="宋体"/>
                <w:szCs w:val="21"/>
              </w:rPr>
            </w:pPr>
            <w:r>
              <w:rPr>
                <w:rFonts w:hint="eastAsia" w:ascii="宋体" w:hAnsi="宋体"/>
              </w:rPr>
              <w:t>健全性（4分）</w:t>
            </w:r>
          </w:p>
        </w:tc>
        <w:tc>
          <w:tcPr>
            <w:tcW w:w="176" w:type="pct"/>
            <w:tcBorders>
              <w:tl2br w:val="nil"/>
              <w:tr2bl w:val="nil"/>
            </w:tcBorders>
            <w:noWrap w:val="0"/>
            <w:vAlign w:val="top"/>
          </w:tcPr>
          <w:p>
            <w:pPr>
              <w:spacing w:line="240" w:lineRule="exact"/>
              <w:ind w:left="105" w:leftChars="50" w:right="105" w:rightChars="50"/>
              <w:rPr>
                <w:rFonts w:hint="eastAsia" w:ascii="宋体"/>
                <w:szCs w:val="21"/>
              </w:rPr>
            </w:pPr>
            <w:r>
              <w:rPr>
                <w:rFonts w:hint="eastAsia" w:ascii="宋体"/>
                <w:szCs w:val="21"/>
              </w:rPr>
              <w:t>4</w:t>
            </w:r>
          </w:p>
        </w:tc>
        <w:tc>
          <w:tcPr>
            <w:tcW w:w="1130"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预算支出实施单位的财务和业务管理制度是否健全，用以反映和考核财务和业务管理制度对预算支出顺利实施的保障情况。</w:t>
            </w:r>
          </w:p>
        </w:tc>
        <w:tc>
          <w:tcPr>
            <w:tcW w:w="2108"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评价要点：</w:t>
            </w:r>
            <w:r>
              <w:rPr>
                <w:rFonts w:hint="eastAsia" w:ascii="宋体"/>
              </w:rPr>
              <w:br w:type="textWrapping"/>
            </w:r>
            <w:r>
              <w:rPr>
                <w:rFonts w:hint="eastAsia" w:ascii="宋体" w:hAnsi="宋体"/>
              </w:rPr>
              <w:t>①是否已制定或具有相应的业务管理制度；</w:t>
            </w:r>
            <w:r>
              <w:rPr>
                <w:rFonts w:hint="eastAsia" w:ascii="宋体"/>
              </w:rPr>
              <w:br w:type="textWrapping"/>
            </w:r>
            <w:r>
              <w:rPr>
                <w:rFonts w:hint="eastAsia" w:ascii="宋体" w:hAnsi="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0" w:type="auto"/>
            <w:vMerge w:val="continue"/>
            <w:tcBorders>
              <w:tl2br w:val="nil"/>
              <w:tr2bl w:val="nil"/>
            </w:tcBorders>
            <w:noWrap w:val="0"/>
            <w:vAlign w:val="center"/>
          </w:tcPr>
          <w:p>
            <w:pPr>
              <w:widowControl/>
              <w:jc w:val="left"/>
              <w:rPr>
                <w:rFonts w:ascii="宋体"/>
                <w:szCs w:val="21"/>
              </w:rPr>
            </w:pPr>
          </w:p>
        </w:tc>
        <w:tc>
          <w:tcPr>
            <w:tcW w:w="0" w:type="auto"/>
            <w:vMerge w:val="continue"/>
            <w:tcBorders>
              <w:tl2br w:val="nil"/>
              <w:tr2bl w:val="nil"/>
            </w:tcBorders>
            <w:noWrap w:val="0"/>
            <w:vAlign w:val="center"/>
          </w:tcPr>
          <w:p>
            <w:pPr>
              <w:widowControl/>
              <w:jc w:val="left"/>
              <w:rPr>
                <w:rFonts w:ascii="宋体"/>
                <w:szCs w:val="21"/>
              </w:rPr>
            </w:pPr>
          </w:p>
        </w:tc>
        <w:tc>
          <w:tcPr>
            <w:tcW w:w="346"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Cs w:val="21"/>
              </w:rPr>
            </w:pPr>
            <w:r>
              <w:rPr>
                <w:rFonts w:hint="eastAsia" w:ascii="宋体" w:hAnsi="宋体"/>
              </w:rPr>
              <w:t>制度执行</w:t>
            </w:r>
          </w:p>
          <w:p>
            <w:pPr>
              <w:spacing w:line="240" w:lineRule="exact"/>
              <w:ind w:left="105" w:leftChars="50" w:right="105" w:rightChars="50"/>
              <w:jc w:val="center"/>
              <w:rPr>
                <w:rFonts w:ascii="宋体"/>
                <w:szCs w:val="21"/>
              </w:rPr>
            </w:pPr>
            <w:r>
              <w:rPr>
                <w:rFonts w:hint="eastAsia" w:ascii="宋体" w:hAnsi="宋体"/>
              </w:rPr>
              <w:t>有效性（4分）</w:t>
            </w:r>
          </w:p>
        </w:tc>
        <w:tc>
          <w:tcPr>
            <w:tcW w:w="176" w:type="pct"/>
            <w:tcBorders>
              <w:tl2br w:val="nil"/>
              <w:tr2bl w:val="nil"/>
            </w:tcBorders>
            <w:noWrap w:val="0"/>
            <w:vAlign w:val="top"/>
          </w:tcPr>
          <w:p>
            <w:pPr>
              <w:spacing w:line="240" w:lineRule="exact"/>
              <w:ind w:left="105" w:leftChars="50" w:right="105" w:rightChars="50"/>
              <w:rPr>
                <w:rFonts w:hint="eastAsia" w:ascii="宋体"/>
                <w:szCs w:val="21"/>
              </w:rPr>
            </w:pPr>
            <w:r>
              <w:rPr>
                <w:rFonts w:hint="eastAsia" w:ascii="宋体"/>
                <w:szCs w:val="21"/>
              </w:rPr>
              <w:t>4</w:t>
            </w:r>
          </w:p>
        </w:tc>
        <w:tc>
          <w:tcPr>
            <w:tcW w:w="1130"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预算支出实施是否符合相关业务管理规定，用以反映和考核业务管理制度的有效执行情况。</w:t>
            </w:r>
          </w:p>
        </w:tc>
        <w:tc>
          <w:tcPr>
            <w:tcW w:w="2108"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评价要点：</w:t>
            </w:r>
            <w:r>
              <w:rPr>
                <w:rFonts w:hint="eastAsia" w:ascii="宋体"/>
              </w:rPr>
              <w:br w:type="textWrapping"/>
            </w:r>
            <w:r>
              <w:rPr>
                <w:rFonts w:hint="eastAsia" w:ascii="宋体" w:hAnsi="宋体"/>
              </w:rPr>
              <w:t>①是否遵守相关法律法规和相关管理规定；</w:t>
            </w:r>
            <w:r>
              <w:rPr>
                <w:rFonts w:hint="eastAsia" w:ascii="宋体"/>
              </w:rPr>
              <w:br w:type="textWrapping"/>
            </w:r>
            <w:r>
              <w:rPr>
                <w:rFonts w:hint="eastAsia" w:ascii="宋体" w:hAnsi="宋体"/>
              </w:rPr>
              <w:t>②预算支出调整及支出调整手续是否完备；</w:t>
            </w:r>
            <w:r>
              <w:rPr>
                <w:rFonts w:hint="eastAsia" w:ascii="宋体"/>
              </w:rPr>
              <w:br w:type="textWrapping"/>
            </w:r>
            <w:r>
              <w:rPr>
                <w:rFonts w:hint="eastAsia" w:ascii="宋体" w:hAnsi="宋体"/>
              </w:rPr>
              <w:t>③预算支出合同书、验收报告、技术鉴定等资料是否齐全并及时归档；</w:t>
            </w:r>
            <w:r>
              <w:rPr>
                <w:rFonts w:hint="eastAsia" w:ascii="宋体"/>
              </w:rPr>
              <w:br w:type="textWrapping"/>
            </w:r>
            <w:r>
              <w:rPr>
                <w:rFonts w:hint="eastAsia" w:ascii="宋体" w:hAnsi="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955" w:type="pct"/>
            <w:vMerge w:val="restart"/>
            <w:tcBorders>
              <w:tl2br w:val="nil"/>
              <w:tr2bl w:val="nil"/>
            </w:tcBorders>
            <w:noWrap/>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rPr>
              <w:t>产出（40分）</w:t>
            </w:r>
          </w:p>
        </w:tc>
        <w:tc>
          <w:tcPr>
            <w:tcW w:w="286" w:type="pct"/>
            <w:tcBorders>
              <w:tl2br w:val="nil"/>
              <w:tr2bl w:val="nil"/>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rPr>
              <w:t>产出</w:t>
            </w:r>
          </w:p>
          <w:p>
            <w:pPr>
              <w:spacing w:line="240" w:lineRule="exact"/>
              <w:jc w:val="center"/>
              <w:rPr>
                <w:rFonts w:ascii="宋体"/>
                <w:szCs w:val="21"/>
              </w:rPr>
            </w:pPr>
            <w:r>
              <w:rPr>
                <w:rFonts w:hint="eastAsia" w:ascii="宋体" w:hAnsi="宋体"/>
              </w:rPr>
              <w:t>数量（10分）</w:t>
            </w:r>
          </w:p>
        </w:tc>
        <w:tc>
          <w:tcPr>
            <w:tcW w:w="346"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Cs w:val="21"/>
              </w:rPr>
            </w:pPr>
            <w:r>
              <w:rPr>
                <w:rFonts w:hint="eastAsia" w:ascii="宋体" w:hAnsi="宋体"/>
              </w:rPr>
              <w:t>实际</w:t>
            </w:r>
          </w:p>
          <w:p>
            <w:pPr>
              <w:spacing w:line="240" w:lineRule="exact"/>
              <w:ind w:left="105" w:leftChars="50" w:right="105" w:rightChars="50"/>
              <w:jc w:val="center"/>
              <w:rPr>
                <w:rFonts w:ascii="宋体"/>
                <w:szCs w:val="21"/>
              </w:rPr>
            </w:pPr>
            <w:r>
              <w:rPr>
                <w:rFonts w:hint="eastAsia" w:ascii="宋体" w:hAnsi="宋体"/>
              </w:rPr>
              <w:t>完成率（10分）</w:t>
            </w:r>
          </w:p>
        </w:tc>
        <w:tc>
          <w:tcPr>
            <w:tcW w:w="176" w:type="pct"/>
            <w:tcBorders>
              <w:tl2br w:val="nil"/>
              <w:tr2bl w:val="nil"/>
            </w:tcBorders>
            <w:noWrap w:val="0"/>
            <w:vAlign w:val="top"/>
          </w:tcPr>
          <w:p>
            <w:pPr>
              <w:spacing w:line="240" w:lineRule="exact"/>
              <w:ind w:left="105" w:leftChars="50" w:right="105" w:rightChars="50"/>
              <w:rPr>
                <w:rFonts w:hint="eastAsia" w:ascii="宋体"/>
                <w:szCs w:val="21"/>
              </w:rPr>
            </w:pPr>
            <w:r>
              <w:rPr>
                <w:rFonts w:hint="eastAsia" w:ascii="宋体"/>
                <w:szCs w:val="21"/>
              </w:rPr>
              <w:t>10</w:t>
            </w:r>
          </w:p>
        </w:tc>
        <w:tc>
          <w:tcPr>
            <w:tcW w:w="1130"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预算支出实施的实际产出数与计划产出数的比率，用以反映和考核预算支出产出数量目标的实现程度。</w:t>
            </w:r>
          </w:p>
        </w:tc>
        <w:tc>
          <w:tcPr>
            <w:tcW w:w="2108"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实际完成率=（实际产出数/计划产出数）×100%。</w:t>
            </w:r>
            <w:r>
              <w:rPr>
                <w:rFonts w:hint="eastAsia" w:ascii="宋体"/>
              </w:rPr>
              <w:br w:type="textWrapping"/>
            </w:r>
            <w:r>
              <w:rPr>
                <w:rFonts w:hint="eastAsia" w:ascii="宋体" w:hAnsi="宋体"/>
              </w:rPr>
              <w:t>实际产出数：一定时期（本年度或预算支出期）内预算支出实际产出的产品或提供的服务数量。</w:t>
            </w:r>
            <w:r>
              <w:rPr>
                <w:rFonts w:hint="eastAsia" w:ascii="宋体"/>
              </w:rPr>
              <w:br w:type="textWrapping"/>
            </w:r>
            <w:r>
              <w:rPr>
                <w:rFonts w:hint="eastAsia" w:ascii="宋体" w:hAnsi="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0" w:type="auto"/>
            <w:vMerge w:val="continue"/>
            <w:tcBorders>
              <w:tl2br w:val="nil"/>
              <w:tr2bl w:val="nil"/>
            </w:tcBorders>
            <w:noWrap w:val="0"/>
            <w:vAlign w:val="center"/>
          </w:tcPr>
          <w:p>
            <w:pPr>
              <w:widowControl/>
              <w:jc w:val="left"/>
              <w:rPr>
                <w:rFonts w:ascii="宋体"/>
                <w:szCs w:val="21"/>
              </w:rPr>
            </w:pPr>
          </w:p>
        </w:tc>
        <w:tc>
          <w:tcPr>
            <w:tcW w:w="286" w:type="pct"/>
            <w:tcBorders>
              <w:tl2br w:val="nil"/>
              <w:tr2bl w:val="nil"/>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rPr>
              <w:t>产出</w:t>
            </w:r>
          </w:p>
          <w:p>
            <w:pPr>
              <w:spacing w:line="240" w:lineRule="exact"/>
              <w:jc w:val="center"/>
              <w:rPr>
                <w:rFonts w:ascii="宋体"/>
                <w:szCs w:val="21"/>
              </w:rPr>
            </w:pPr>
            <w:r>
              <w:rPr>
                <w:rFonts w:hint="eastAsia" w:ascii="宋体" w:hAnsi="宋体"/>
              </w:rPr>
              <w:t>质量（10分）</w:t>
            </w:r>
          </w:p>
        </w:tc>
        <w:tc>
          <w:tcPr>
            <w:tcW w:w="346"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Cs w:val="21"/>
              </w:rPr>
            </w:pPr>
            <w:r>
              <w:rPr>
                <w:rFonts w:hint="eastAsia" w:ascii="宋体" w:hAnsi="宋体"/>
              </w:rPr>
              <w:t>质量</w:t>
            </w:r>
          </w:p>
          <w:p>
            <w:pPr>
              <w:spacing w:line="240" w:lineRule="exact"/>
              <w:ind w:left="105" w:leftChars="50" w:right="105" w:rightChars="50"/>
              <w:jc w:val="center"/>
              <w:rPr>
                <w:rFonts w:ascii="宋体"/>
                <w:szCs w:val="21"/>
              </w:rPr>
            </w:pPr>
            <w:r>
              <w:rPr>
                <w:rFonts w:hint="eastAsia" w:ascii="宋体" w:hAnsi="宋体"/>
              </w:rPr>
              <w:t>达标率（10分）</w:t>
            </w:r>
          </w:p>
        </w:tc>
        <w:tc>
          <w:tcPr>
            <w:tcW w:w="176" w:type="pct"/>
            <w:tcBorders>
              <w:tl2br w:val="nil"/>
              <w:tr2bl w:val="nil"/>
            </w:tcBorders>
            <w:noWrap w:val="0"/>
            <w:vAlign w:val="top"/>
          </w:tcPr>
          <w:p>
            <w:pPr>
              <w:spacing w:line="240" w:lineRule="exact"/>
              <w:ind w:left="105" w:leftChars="50" w:right="105" w:rightChars="50"/>
              <w:rPr>
                <w:rFonts w:hint="eastAsia" w:ascii="宋体"/>
                <w:szCs w:val="21"/>
              </w:rPr>
            </w:pPr>
            <w:r>
              <w:rPr>
                <w:rFonts w:hint="eastAsia" w:ascii="宋体"/>
                <w:szCs w:val="21"/>
              </w:rPr>
              <w:t>9</w:t>
            </w:r>
          </w:p>
        </w:tc>
        <w:tc>
          <w:tcPr>
            <w:tcW w:w="1130"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预算支出完成的质量达标产出数与实际产出数的比率，用以反映和考核预算支出产出质量目标的实现程度。</w:t>
            </w:r>
          </w:p>
        </w:tc>
        <w:tc>
          <w:tcPr>
            <w:tcW w:w="2108"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质量达标率=（质量达标产出数/实际产出数）×100%。</w:t>
            </w:r>
            <w:r>
              <w:rPr>
                <w:rFonts w:hint="eastAsia" w:ascii="宋体"/>
              </w:rPr>
              <w:br w:type="textWrapping"/>
            </w:r>
            <w:r>
              <w:rPr>
                <w:rFonts w:hint="eastAsia" w:ascii="宋体" w:hAnsi="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955" w:type="pct"/>
            <w:vMerge w:val="restart"/>
            <w:tcBorders>
              <w:tl2br w:val="nil"/>
              <w:tr2bl w:val="nil"/>
            </w:tcBorders>
            <w:noWrap w:val="0"/>
            <w:vAlign w:val="center"/>
          </w:tcPr>
          <w:p>
            <w:pPr>
              <w:spacing w:line="240" w:lineRule="exact"/>
              <w:ind w:left="113"/>
              <w:rPr>
                <w:rFonts w:ascii="宋体"/>
                <w:szCs w:val="21"/>
              </w:rPr>
            </w:pPr>
            <w:r>
              <w:rPr>
                <w:rFonts w:hint="eastAsia" w:ascii="宋体" w:hAnsi="宋体"/>
              </w:rPr>
              <w:t>产出（40分）</w:t>
            </w:r>
          </w:p>
        </w:tc>
        <w:tc>
          <w:tcPr>
            <w:tcW w:w="286" w:type="pct"/>
            <w:tcBorders>
              <w:tl2br w:val="nil"/>
              <w:tr2bl w:val="nil"/>
            </w:tcBorders>
            <w:noWrap w:val="0"/>
            <w:vAlign w:val="center"/>
          </w:tcPr>
          <w:p>
            <w:pPr>
              <w:spacing w:line="240" w:lineRule="exact"/>
              <w:jc w:val="center"/>
              <w:rPr>
                <w:rFonts w:ascii="宋体"/>
                <w:szCs w:val="21"/>
              </w:rPr>
            </w:pPr>
            <w:r>
              <w:rPr>
                <w:rFonts w:hint="eastAsia" w:ascii="宋体" w:hAnsi="宋体"/>
              </w:rPr>
              <w:t>产出</w:t>
            </w:r>
          </w:p>
          <w:p>
            <w:pPr>
              <w:spacing w:line="240" w:lineRule="exact"/>
              <w:jc w:val="center"/>
              <w:rPr>
                <w:rFonts w:ascii="宋体"/>
                <w:szCs w:val="21"/>
              </w:rPr>
            </w:pPr>
            <w:r>
              <w:rPr>
                <w:rFonts w:hint="eastAsia" w:ascii="宋体" w:hAnsi="宋体"/>
              </w:rPr>
              <w:t>时效（10分）</w:t>
            </w:r>
          </w:p>
        </w:tc>
        <w:tc>
          <w:tcPr>
            <w:tcW w:w="346"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Cs w:val="21"/>
              </w:rPr>
            </w:pPr>
            <w:r>
              <w:rPr>
                <w:rFonts w:hint="eastAsia" w:ascii="宋体" w:hAnsi="宋体"/>
              </w:rPr>
              <w:t>完成</w:t>
            </w:r>
          </w:p>
          <w:p>
            <w:pPr>
              <w:spacing w:line="240" w:lineRule="exact"/>
              <w:ind w:left="105" w:leftChars="50" w:right="105" w:rightChars="50"/>
              <w:jc w:val="center"/>
              <w:rPr>
                <w:rFonts w:ascii="宋体"/>
                <w:szCs w:val="21"/>
              </w:rPr>
            </w:pPr>
            <w:r>
              <w:rPr>
                <w:rFonts w:hint="eastAsia" w:ascii="宋体" w:hAnsi="宋体"/>
              </w:rPr>
              <w:t>及时性（10分）</w:t>
            </w:r>
          </w:p>
        </w:tc>
        <w:tc>
          <w:tcPr>
            <w:tcW w:w="176" w:type="pct"/>
            <w:tcBorders>
              <w:tl2br w:val="nil"/>
              <w:tr2bl w:val="nil"/>
            </w:tcBorders>
            <w:noWrap w:val="0"/>
            <w:vAlign w:val="top"/>
          </w:tcPr>
          <w:p>
            <w:pPr>
              <w:spacing w:line="240" w:lineRule="exact"/>
              <w:ind w:left="105" w:leftChars="50" w:right="105" w:rightChars="50"/>
              <w:rPr>
                <w:rFonts w:hint="eastAsia" w:ascii="宋体"/>
                <w:szCs w:val="21"/>
              </w:rPr>
            </w:pPr>
            <w:r>
              <w:rPr>
                <w:rFonts w:hint="eastAsia" w:ascii="宋体"/>
                <w:szCs w:val="21"/>
              </w:rPr>
              <w:t>10</w:t>
            </w:r>
          </w:p>
        </w:tc>
        <w:tc>
          <w:tcPr>
            <w:tcW w:w="1130"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预算支出实际完成时间与计划完成时间的比较，用以反映和考核预算支出产出时效目标的实现程度。</w:t>
            </w:r>
          </w:p>
        </w:tc>
        <w:tc>
          <w:tcPr>
            <w:tcW w:w="2108"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实际完成时间：预算支出实施单位完成该预算支出实际所耗用的时间。</w:t>
            </w:r>
            <w:r>
              <w:rPr>
                <w:rFonts w:hint="eastAsia" w:ascii="宋体"/>
              </w:rPr>
              <w:br w:type="textWrapping"/>
            </w:r>
            <w:r>
              <w:rPr>
                <w:rFonts w:hint="eastAsia" w:ascii="宋体" w:hAnsi="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0" w:type="auto"/>
            <w:vMerge w:val="continue"/>
            <w:tcBorders>
              <w:tl2br w:val="nil"/>
              <w:tr2bl w:val="nil"/>
            </w:tcBorders>
            <w:noWrap w:val="0"/>
            <w:vAlign w:val="center"/>
          </w:tcPr>
          <w:p>
            <w:pPr>
              <w:widowControl/>
              <w:jc w:val="left"/>
              <w:rPr>
                <w:rFonts w:ascii="宋体"/>
                <w:szCs w:val="21"/>
              </w:rPr>
            </w:pPr>
          </w:p>
        </w:tc>
        <w:tc>
          <w:tcPr>
            <w:tcW w:w="286" w:type="pct"/>
            <w:tcBorders>
              <w:tl2br w:val="nil"/>
              <w:tr2bl w:val="nil"/>
            </w:tcBorders>
            <w:noWrap w:val="0"/>
            <w:vAlign w:val="center"/>
          </w:tcPr>
          <w:p>
            <w:pPr>
              <w:spacing w:line="240" w:lineRule="exact"/>
              <w:jc w:val="center"/>
              <w:rPr>
                <w:rFonts w:ascii="宋体"/>
                <w:szCs w:val="21"/>
              </w:rPr>
            </w:pPr>
            <w:r>
              <w:rPr>
                <w:rFonts w:hint="eastAsia" w:ascii="宋体" w:hAnsi="宋体"/>
              </w:rPr>
              <w:t>产出</w:t>
            </w:r>
          </w:p>
          <w:p>
            <w:pPr>
              <w:spacing w:line="240" w:lineRule="exact"/>
              <w:jc w:val="center"/>
              <w:rPr>
                <w:rFonts w:ascii="宋体"/>
                <w:szCs w:val="21"/>
              </w:rPr>
            </w:pPr>
            <w:r>
              <w:rPr>
                <w:rFonts w:hint="eastAsia" w:ascii="宋体" w:hAnsi="宋体"/>
              </w:rPr>
              <w:t>成本（10分）</w:t>
            </w:r>
          </w:p>
        </w:tc>
        <w:tc>
          <w:tcPr>
            <w:tcW w:w="346"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Cs w:val="21"/>
              </w:rPr>
            </w:pPr>
            <w:r>
              <w:rPr>
                <w:rFonts w:hint="eastAsia" w:ascii="宋体" w:hAnsi="宋体"/>
              </w:rPr>
              <w:t>成本</w:t>
            </w:r>
          </w:p>
          <w:p>
            <w:pPr>
              <w:spacing w:line="240" w:lineRule="exact"/>
              <w:ind w:left="105" w:leftChars="50" w:right="105" w:rightChars="50"/>
              <w:jc w:val="center"/>
              <w:rPr>
                <w:rFonts w:ascii="宋体"/>
                <w:szCs w:val="21"/>
              </w:rPr>
            </w:pPr>
            <w:r>
              <w:rPr>
                <w:rFonts w:hint="eastAsia" w:ascii="宋体" w:hAnsi="宋体"/>
              </w:rPr>
              <w:t>节约率（10分）</w:t>
            </w:r>
          </w:p>
        </w:tc>
        <w:tc>
          <w:tcPr>
            <w:tcW w:w="176" w:type="pct"/>
            <w:tcBorders>
              <w:tl2br w:val="nil"/>
              <w:tr2bl w:val="nil"/>
            </w:tcBorders>
            <w:noWrap w:val="0"/>
            <w:vAlign w:val="top"/>
          </w:tcPr>
          <w:p>
            <w:pPr>
              <w:spacing w:line="240" w:lineRule="exact"/>
              <w:ind w:left="105" w:leftChars="50" w:right="105" w:rightChars="50"/>
              <w:rPr>
                <w:rFonts w:hint="eastAsia" w:ascii="宋体"/>
                <w:szCs w:val="21"/>
              </w:rPr>
            </w:pPr>
            <w:r>
              <w:rPr>
                <w:rFonts w:hint="eastAsia" w:ascii="宋体"/>
                <w:szCs w:val="21"/>
              </w:rPr>
              <w:t>10</w:t>
            </w:r>
          </w:p>
        </w:tc>
        <w:tc>
          <w:tcPr>
            <w:tcW w:w="1130"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完成预算支出计划工作目标的实际节约成本与计划成本的比率，用以反映和考核预算支出的成本节约程度。</w:t>
            </w:r>
          </w:p>
        </w:tc>
        <w:tc>
          <w:tcPr>
            <w:tcW w:w="2108"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成本节约率=[（计划成本</w:t>
            </w:r>
            <w:r>
              <w:rPr>
                <w:rFonts w:hint="eastAsia" w:ascii="宋体"/>
              </w:rPr>
              <w:t>-</w:t>
            </w:r>
            <w:r>
              <w:rPr>
                <w:rFonts w:hint="eastAsia" w:ascii="宋体" w:hAnsi="宋体"/>
              </w:rPr>
              <w:t>实际成本）/计划成本]×100%。</w:t>
            </w:r>
            <w:r>
              <w:rPr>
                <w:rFonts w:hint="eastAsia" w:ascii="宋体"/>
              </w:rPr>
              <w:br w:type="textWrapping"/>
            </w:r>
            <w:r>
              <w:rPr>
                <w:rFonts w:hint="eastAsia" w:ascii="宋体" w:hAnsi="宋体"/>
              </w:rPr>
              <w:t>实际成本：预算支出实施单位如期、保质、保量完成既定工作目标实际所耗费的支出。</w:t>
            </w:r>
            <w:r>
              <w:rPr>
                <w:rFonts w:hint="eastAsia" w:ascii="宋体"/>
              </w:rPr>
              <w:br w:type="textWrapping"/>
            </w:r>
            <w:r>
              <w:rPr>
                <w:rFonts w:hint="eastAsia" w:ascii="宋体" w:hAnsi="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55" w:type="pct"/>
            <w:vMerge w:val="restart"/>
            <w:tcBorders>
              <w:tl2br w:val="nil"/>
              <w:tr2bl w:val="nil"/>
            </w:tcBorders>
            <w:noWrap/>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rPr>
              <w:t>效益（20分）</w:t>
            </w:r>
          </w:p>
        </w:tc>
        <w:tc>
          <w:tcPr>
            <w:tcW w:w="286" w:type="pct"/>
            <w:vMerge w:val="restart"/>
            <w:tcBorders>
              <w:tl2br w:val="nil"/>
              <w:tr2bl w:val="nil"/>
            </w:tcBorders>
            <w:noWrap w:val="0"/>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rPr>
              <w:t>预算支出</w:t>
            </w:r>
            <w:r>
              <w:rPr>
                <w:rFonts w:hint="eastAsia" w:ascii="宋体"/>
              </w:rPr>
              <w:br w:type="textWrapping"/>
            </w:r>
            <w:r>
              <w:rPr>
                <w:rFonts w:hint="eastAsia" w:ascii="宋体" w:hAnsi="宋体"/>
              </w:rPr>
              <w:t>效益（20分）</w:t>
            </w:r>
          </w:p>
        </w:tc>
        <w:tc>
          <w:tcPr>
            <w:tcW w:w="346"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Cs w:val="21"/>
              </w:rPr>
            </w:pPr>
            <w:r>
              <w:rPr>
                <w:rFonts w:hint="eastAsia" w:ascii="宋体" w:hAnsi="宋体"/>
              </w:rPr>
              <w:t>实施效益（10分）</w:t>
            </w:r>
          </w:p>
        </w:tc>
        <w:tc>
          <w:tcPr>
            <w:tcW w:w="176" w:type="pct"/>
            <w:tcBorders>
              <w:tl2br w:val="nil"/>
              <w:tr2bl w:val="nil"/>
            </w:tcBorders>
            <w:noWrap w:val="0"/>
            <w:vAlign w:val="top"/>
          </w:tcPr>
          <w:p>
            <w:pPr>
              <w:spacing w:line="240" w:lineRule="exact"/>
              <w:ind w:left="105" w:leftChars="50" w:right="105" w:rightChars="50"/>
              <w:rPr>
                <w:rFonts w:hint="eastAsia" w:ascii="宋体"/>
                <w:szCs w:val="21"/>
              </w:rPr>
            </w:pPr>
            <w:r>
              <w:rPr>
                <w:rFonts w:hint="eastAsia" w:ascii="宋体"/>
                <w:szCs w:val="21"/>
              </w:rPr>
              <w:t>9</w:t>
            </w:r>
          </w:p>
        </w:tc>
        <w:tc>
          <w:tcPr>
            <w:tcW w:w="1130"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预算支出实施所产生的效益。</w:t>
            </w:r>
          </w:p>
        </w:tc>
        <w:tc>
          <w:tcPr>
            <w:tcW w:w="2108"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0" w:type="auto"/>
            <w:vMerge w:val="continue"/>
            <w:tcBorders>
              <w:tl2br w:val="nil"/>
              <w:tr2bl w:val="nil"/>
            </w:tcBorders>
            <w:noWrap w:val="0"/>
            <w:vAlign w:val="center"/>
          </w:tcPr>
          <w:p>
            <w:pPr>
              <w:widowControl/>
              <w:jc w:val="left"/>
              <w:rPr>
                <w:rFonts w:ascii="宋体"/>
                <w:szCs w:val="21"/>
              </w:rPr>
            </w:pPr>
          </w:p>
        </w:tc>
        <w:tc>
          <w:tcPr>
            <w:tcW w:w="0" w:type="auto"/>
            <w:vMerge w:val="continue"/>
            <w:tcBorders>
              <w:tl2br w:val="nil"/>
              <w:tr2bl w:val="nil"/>
            </w:tcBorders>
            <w:noWrap w:val="0"/>
            <w:vAlign w:val="center"/>
          </w:tcPr>
          <w:p>
            <w:pPr>
              <w:widowControl/>
              <w:jc w:val="left"/>
              <w:rPr>
                <w:rFonts w:ascii="宋体"/>
                <w:szCs w:val="21"/>
              </w:rPr>
            </w:pPr>
          </w:p>
        </w:tc>
        <w:tc>
          <w:tcPr>
            <w:tcW w:w="346"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Cs w:val="21"/>
              </w:rPr>
            </w:pPr>
            <w:r>
              <w:rPr>
                <w:rFonts w:hint="eastAsia" w:ascii="宋体" w:hAnsi="宋体"/>
              </w:rPr>
              <w:t>社会公众</w:t>
            </w:r>
          </w:p>
          <w:p>
            <w:pPr>
              <w:spacing w:line="240" w:lineRule="exact"/>
              <w:ind w:left="105" w:leftChars="50" w:right="105" w:rightChars="50"/>
              <w:jc w:val="center"/>
              <w:rPr>
                <w:rFonts w:hint="eastAsia" w:ascii="宋体"/>
              </w:rPr>
            </w:pPr>
            <w:r>
              <w:rPr>
                <w:rFonts w:hint="eastAsia" w:ascii="宋体" w:hAnsi="宋体"/>
              </w:rPr>
              <w:t>或服务（10分）对</w:t>
            </w:r>
          </w:p>
          <w:p>
            <w:pPr>
              <w:spacing w:line="240" w:lineRule="exact"/>
              <w:ind w:left="105" w:leftChars="50" w:right="105" w:rightChars="50"/>
              <w:jc w:val="center"/>
              <w:rPr>
                <w:rFonts w:ascii="宋体"/>
                <w:szCs w:val="21"/>
              </w:rPr>
            </w:pPr>
            <w:r>
              <w:rPr>
                <w:rFonts w:hint="eastAsia" w:ascii="宋体" w:hAnsi="宋体"/>
              </w:rPr>
              <w:t>象满意度</w:t>
            </w:r>
          </w:p>
        </w:tc>
        <w:tc>
          <w:tcPr>
            <w:tcW w:w="176" w:type="pct"/>
            <w:tcBorders>
              <w:tl2br w:val="nil"/>
              <w:tr2bl w:val="nil"/>
            </w:tcBorders>
            <w:noWrap w:val="0"/>
            <w:vAlign w:val="top"/>
          </w:tcPr>
          <w:p>
            <w:pPr>
              <w:spacing w:line="240" w:lineRule="exact"/>
              <w:ind w:left="105" w:leftChars="50" w:right="105" w:rightChars="50"/>
              <w:rPr>
                <w:rFonts w:hint="eastAsia" w:ascii="宋体"/>
                <w:szCs w:val="21"/>
              </w:rPr>
            </w:pPr>
            <w:r>
              <w:rPr>
                <w:rFonts w:hint="eastAsia" w:ascii="宋体"/>
                <w:szCs w:val="21"/>
              </w:rPr>
              <w:t>10</w:t>
            </w:r>
          </w:p>
        </w:tc>
        <w:tc>
          <w:tcPr>
            <w:tcW w:w="1130"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社会公众或服务对象对预算支出实施效果的满意程度。</w:t>
            </w:r>
          </w:p>
        </w:tc>
        <w:tc>
          <w:tcPr>
            <w:tcW w:w="2108"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r>
              <w:rPr>
                <w:rFonts w:hint="eastAsia" w:ascii="宋体" w:hAnsi="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55" w:type="pct"/>
            <w:tcBorders>
              <w:tl2br w:val="nil"/>
              <w:tr2bl w:val="nil"/>
            </w:tcBorders>
            <w:noWrap w:val="0"/>
            <w:vAlign w:val="center"/>
          </w:tcPr>
          <w:p>
            <w:pPr>
              <w:spacing w:line="240" w:lineRule="exact"/>
              <w:rPr>
                <w:rFonts w:ascii="宋体"/>
                <w:szCs w:val="21"/>
              </w:rPr>
            </w:pPr>
            <w:r>
              <w:rPr>
                <w:rFonts w:hint="eastAsia" w:ascii="宋体" w:hAnsi="宋体"/>
              </w:rPr>
              <w:t>总分</w:t>
            </w:r>
          </w:p>
        </w:tc>
        <w:tc>
          <w:tcPr>
            <w:tcW w:w="286" w:type="pct"/>
            <w:tcBorders>
              <w:tl2br w:val="nil"/>
              <w:tr2bl w:val="nil"/>
            </w:tcBorders>
            <w:noWrap w:val="0"/>
            <w:vAlign w:val="center"/>
          </w:tcPr>
          <w:p>
            <w:pPr>
              <w:spacing w:line="240" w:lineRule="exact"/>
              <w:rPr>
                <w:rFonts w:ascii="宋体"/>
                <w:szCs w:val="21"/>
              </w:rPr>
            </w:pPr>
          </w:p>
        </w:tc>
        <w:tc>
          <w:tcPr>
            <w:tcW w:w="346"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Cs w:val="21"/>
              </w:rPr>
            </w:pPr>
          </w:p>
        </w:tc>
        <w:tc>
          <w:tcPr>
            <w:tcW w:w="176" w:type="pct"/>
            <w:tcBorders>
              <w:tl2br w:val="nil"/>
              <w:tr2bl w:val="nil"/>
            </w:tcBorders>
            <w:noWrap w:val="0"/>
            <w:vAlign w:val="top"/>
          </w:tcPr>
          <w:p>
            <w:pPr>
              <w:spacing w:line="240" w:lineRule="exact"/>
              <w:ind w:left="105" w:leftChars="50" w:right="105" w:rightChars="50"/>
              <w:rPr>
                <w:rFonts w:hint="eastAsia" w:ascii="宋体"/>
                <w:szCs w:val="21"/>
              </w:rPr>
            </w:pPr>
            <w:r>
              <w:rPr>
                <w:rFonts w:hint="eastAsia" w:ascii="宋体"/>
                <w:szCs w:val="21"/>
              </w:rPr>
              <w:t>98</w:t>
            </w:r>
          </w:p>
        </w:tc>
        <w:tc>
          <w:tcPr>
            <w:tcW w:w="1130"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p>
        </w:tc>
        <w:tc>
          <w:tcPr>
            <w:tcW w:w="2108" w:type="pct"/>
            <w:tcBorders>
              <w:tl2br w:val="nil"/>
              <w:tr2bl w:val="nil"/>
            </w:tcBorders>
            <w:noWrap w:val="0"/>
            <w:tcMar>
              <w:top w:w="10" w:type="dxa"/>
              <w:left w:w="10" w:type="dxa"/>
              <w:bottom w:w="0" w:type="dxa"/>
              <w:right w:w="10" w:type="dxa"/>
            </w:tcMar>
            <w:vAlign w:val="center"/>
          </w:tcPr>
          <w:p>
            <w:pPr>
              <w:spacing w:line="240" w:lineRule="exact"/>
              <w:ind w:left="105" w:leftChars="50" w:right="105" w:rightChars="50"/>
              <w:rPr>
                <w:rFonts w:ascii="宋体"/>
                <w:szCs w:val="21"/>
              </w:rPr>
            </w:pPr>
          </w:p>
        </w:tc>
      </w:tr>
    </w:tbl>
    <w:p>
      <w:pPr>
        <w:ind w:right="320"/>
        <w:jc w:val="left"/>
        <w:rPr>
          <w:rFonts w:hint="default" w:ascii="仿宋" w:hAnsi="仿宋" w:eastAsia="仿宋"/>
          <w:sz w:val="30"/>
          <w:szCs w:val="30"/>
          <w:lang w:val="en-US" w:eastAsia="zh-CN"/>
        </w:rPr>
      </w:pPr>
    </w:p>
    <w:p/>
    <w:sectPr>
      <w:pgSz w:w="11906" w:h="16838"/>
      <w:pgMar w:top="1134" w:right="1531" w:bottom="1134" w:left="1531" w:header="851" w:footer="992" w:gutter="0"/>
      <w:pgBorders>
        <w:top w:val="none" w:sz="0" w:space="0"/>
        <w:left w:val="none" w:sz="0" w:space="0"/>
        <w:bottom w:val="none" w:sz="0" w:space="0"/>
        <w:right w:val="none" w:sz="0" w:space="0"/>
      </w:pgBorder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2EC65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5">
    <w:name w:val="Normal"/>
    <w:basedOn w:val="1"/>
    <w:uiPriority w:val="0"/>
    <w:pPr>
      <w:widowControl/>
    </w:pPr>
    <w:rPr>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2023-06-27T07:42:39Z</dcterms:created>
  <dc:creator>admin-3</dc:creator>
  <cp:lastModifiedBy>admin-3</cp:lastModifiedBy>
  <dcterms:modified xsi:type="dcterms:W3CDTF">2023-06-27T07:43:00Z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0C25762FDF824980A698E72E01798E79_12</vt:lpwstr>
  </property>
</Properties>
</file>