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right="0"/>
        <w:jc w:val="center"/>
        <w:rPr>
          <w:rFonts w:hint="eastAsia" w:ascii="黑体" w:hAnsi="黑体" w:eastAsia="黑体" w:cs="黑体"/>
          <w:b w:val="0"/>
          <w:bCs w:val="0"/>
          <w:i w:val="0"/>
          <w:iCs w:val="0"/>
          <w:caps w:val="0"/>
          <w:color w:val="333333"/>
          <w:spacing w:val="0"/>
          <w:sz w:val="36"/>
          <w:szCs w:val="36"/>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right="0"/>
        <w:jc w:val="center"/>
        <w:rPr>
          <w:rFonts w:hint="eastAsia" w:ascii="黑体" w:hAnsi="黑体" w:eastAsia="黑体" w:cs="黑体"/>
          <w:b w:val="0"/>
          <w:bCs w:val="0"/>
          <w:i w:val="0"/>
          <w:iCs w:val="0"/>
          <w:caps w:val="0"/>
          <w:color w:val="333333"/>
          <w:spacing w:val="0"/>
          <w:sz w:val="36"/>
          <w:szCs w:val="36"/>
          <w:shd w:val="clear" w:fill="FFFFFF"/>
        </w:rPr>
      </w:pPr>
      <w:r>
        <w:rPr>
          <w:rFonts w:hint="eastAsia" w:ascii="黑体" w:hAnsi="黑体" w:eastAsia="黑体" w:cs="黑体"/>
          <w:b w:val="0"/>
          <w:bCs w:val="0"/>
          <w:i w:val="0"/>
          <w:iCs w:val="0"/>
          <w:caps w:val="0"/>
          <w:color w:val="333333"/>
          <w:spacing w:val="0"/>
          <w:sz w:val="36"/>
          <w:szCs w:val="36"/>
          <w:shd w:val="clear" w:fill="FFFFFF"/>
        </w:rPr>
        <w:t>益阳市赫山区城市管理和综合执法局202</w:t>
      </w:r>
      <w:r>
        <w:rPr>
          <w:rFonts w:hint="eastAsia" w:ascii="黑体" w:hAnsi="黑体" w:eastAsia="黑体" w:cs="黑体"/>
          <w:b w:val="0"/>
          <w:bCs w:val="0"/>
          <w:i w:val="0"/>
          <w:iCs w:val="0"/>
          <w:caps w:val="0"/>
          <w:color w:val="333333"/>
          <w:spacing w:val="0"/>
          <w:sz w:val="36"/>
          <w:szCs w:val="36"/>
          <w:shd w:val="clear" w:fill="FFFFFF"/>
          <w:lang w:val="en-US" w:eastAsia="zh-CN"/>
        </w:rPr>
        <w:t>1</w:t>
      </w:r>
      <w:r>
        <w:rPr>
          <w:rFonts w:hint="eastAsia" w:ascii="黑体" w:hAnsi="黑体" w:eastAsia="黑体" w:cs="黑体"/>
          <w:b w:val="0"/>
          <w:bCs w:val="0"/>
          <w:i w:val="0"/>
          <w:iCs w:val="0"/>
          <w:caps w:val="0"/>
          <w:color w:val="333333"/>
          <w:spacing w:val="0"/>
          <w:sz w:val="36"/>
          <w:szCs w:val="36"/>
          <w:shd w:val="clear" w:fill="FFFFFF"/>
        </w:rPr>
        <w:t>年</w:t>
      </w:r>
      <w:r>
        <w:rPr>
          <w:rFonts w:hint="eastAsia" w:ascii="黑体" w:hAnsi="黑体" w:eastAsia="黑体" w:cs="黑体"/>
          <w:b w:val="0"/>
          <w:bCs w:val="0"/>
          <w:i w:val="0"/>
          <w:iCs w:val="0"/>
          <w:caps w:val="0"/>
          <w:color w:val="333333"/>
          <w:spacing w:val="0"/>
          <w:sz w:val="36"/>
          <w:szCs w:val="36"/>
          <w:shd w:val="clear" w:fill="FFFFFF"/>
          <w:lang w:val="en-US" w:eastAsia="zh-CN"/>
        </w:rPr>
        <w:t>度</w:t>
      </w:r>
      <w:r>
        <w:rPr>
          <w:rFonts w:hint="eastAsia" w:ascii="黑体" w:hAnsi="黑体" w:eastAsia="黑体" w:cs="黑体"/>
          <w:b w:val="0"/>
          <w:bCs w:val="0"/>
          <w:i w:val="0"/>
          <w:iCs w:val="0"/>
          <w:caps w:val="0"/>
          <w:color w:val="333333"/>
          <w:spacing w:val="0"/>
          <w:sz w:val="36"/>
          <w:szCs w:val="36"/>
          <w:shd w:val="clear" w:fill="FFFFFF"/>
        </w:rPr>
        <w:t>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right="0"/>
        <w:jc w:val="center"/>
        <w:rPr>
          <w:rFonts w:hint="eastAsia" w:ascii="宋体" w:hAnsi="宋体" w:eastAsia="宋体" w:cs="宋体"/>
          <w:i w:val="0"/>
          <w:iCs w:val="0"/>
          <w:caps w:val="0"/>
          <w:color w:val="333333"/>
          <w:spacing w:val="0"/>
          <w:sz w:val="24"/>
          <w:szCs w:val="24"/>
        </w:rPr>
      </w:pPr>
      <w:r>
        <w:rPr>
          <w:rFonts w:hint="eastAsia" w:ascii="黑体" w:hAnsi="黑体" w:eastAsia="黑体" w:cs="黑体"/>
          <w:b w:val="0"/>
          <w:bCs w:val="0"/>
          <w:i w:val="0"/>
          <w:iCs w:val="0"/>
          <w:caps w:val="0"/>
          <w:color w:val="333333"/>
          <w:spacing w:val="0"/>
          <w:sz w:val="36"/>
          <w:szCs w:val="36"/>
          <w:shd w:val="clear" w:fill="FFFFFF"/>
        </w:rPr>
        <w:t>整体支出绩效评价报告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根据《</w:t>
      </w:r>
      <w:r>
        <w:rPr>
          <w:rFonts w:hint="eastAsia" w:ascii="仿宋" w:hAnsi="仿宋" w:eastAsia="仿宋" w:cs="仿宋"/>
          <w:i w:val="0"/>
          <w:iCs w:val="0"/>
          <w:caps w:val="0"/>
          <w:color w:val="333333"/>
          <w:spacing w:val="0"/>
          <w:sz w:val="30"/>
          <w:szCs w:val="30"/>
          <w:shd w:val="clear" w:fill="FFFFFF"/>
          <w:lang w:val="en-US" w:eastAsia="zh-CN"/>
        </w:rPr>
        <w:t>财政部关于印发</w:t>
      </w:r>
      <w:r>
        <w:rPr>
          <w:rFonts w:hint="eastAsia" w:ascii="仿宋" w:hAnsi="仿宋" w:eastAsia="仿宋" w:cs="仿宋"/>
          <w:i w:val="0"/>
          <w:iCs w:val="0"/>
          <w:caps w:val="0"/>
          <w:color w:val="333333"/>
          <w:spacing w:val="0"/>
          <w:sz w:val="30"/>
          <w:szCs w:val="30"/>
          <w:shd w:val="clear" w:fill="FFFFFF"/>
        </w:rPr>
        <w:t>〈</w:t>
      </w:r>
      <w:r>
        <w:rPr>
          <w:rFonts w:hint="eastAsia" w:ascii="仿宋" w:hAnsi="仿宋" w:eastAsia="仿宋" w:cs="仿宋"/>
          <w:i w:val="0"/>
          <w:iCs w:val="0"/>
          <w:caps w:val="0"/>
          <w:color w:val="333333"/>
          <w:spacing w:val="0"/>
          <w:sz w:val="30"/>
          <w:szCs w:val="30"/>
          <w:shd w:val="clear" w:fill="FFFFFF"/>
          <w:lang w:val="en-US" w:eastAsia="zh-CN"/>
        </w:rPr>
        <w:t>财政支出绩效评价</w:t>
      </w:r>
      <w:r>
        <w:rPr>
          <w:rFonts w:hint="eastAsia" w:ascii="仿宋" w:hAnsi="仿宋" w:eastAsia="仿宋" w:cs="仿宋"/>
          <w:i w:val="0"/>
          <w:iCs w:val="0"/>
          <w:caps w:val="0"/>
          <w:color w:val="333333"/>
          <w:spacing w:val="0"/>
          <w:sz w:val="30"/>
          <w:szCs w:val="30"/>
          <w:shd w:val="clear" w:fill="FFFFFF"/>
        </w:rPr>
        <w:t>管理办法〉的通知》（</w:t>
      </w:r>
      <w:r>
        <w:rPr>
          <w:rFonts w:hint="eastAsia" w:ascii="仿宋" w:hAnsi="仿宋" w:eastAsia="仿宋" w:cs="仿宋"/>
          <w:i w:val="0"/>
          <w:iCs w:val="0"/>
          <w:caps w:val="0"/>
          <w:color w:val="333333"/>
          <w:spacing w:val="0"/>
          <w:sz w:val="30"/>
          <w:szCs w:val="30"/>
          <w:shd w:val="clear" w:fill="FFFFFF"/>
          <w:lang w:val="en-US" w:eastAsia="zh-CN"/>
        </w:rPr>
        <w:t>财预</w:t>
      </w:r>
      <w:r>
        <w:rPr>
          <w:rFonts w:hint="eastAsia" w:ascii="仿宋" w:hAnsi="仿宋" w:eastAsia="仿宋" w:cs="仿宋"/>
          <w:i w:val="0"/>
          <w:iCs w:val="0"/>
          <w:caps w:val="0"/>
          <w:color w:val="333333"/>
          <w:spacing w:val="0"/>
          <w:sz w:val="30"/>
          <w:szCs w:val="30"/>
          <w:shd w:val="clear" w:fill="FFFFFF"/>
        </w:rPr>
        <w:t>〔20</w:t>
      </w:r>
      <w:r>
        <w:rPr>
          <w:rFonts w:hint="eastAsia" w:ascii="仿宋" w:hAnsi="仿宋" w:eastAsia="仿宋" w:cs="仿宋"/>
          <w:i w:val="0"/>
          <w:iCs w:val="0"/>
          <w:caps w:val="0"/>
          <w:color w:val="333333"/>
          <w:spacing w:val="0"/>
          <w:sz w:val="30"/>
          <w:szCs w:val="30"/>
          <w:shd w:val="clear" w:fill="FFFFFF"/>
          <w:lang w:val="en-US" w:eastAsia="zh-CN"/>
        </w:rPr>
        <w:t>20</w:t>
      </w:r>
      <w:r>
        <w:rPr>
          <w:rFonts w:hint="eastAsia" w:ascii="仿宋" w:hAnsi="仿宋" w:eastAsia="仿宋" w:cs="仿宋"/>
          <w:i w:val="0"/>
          <w:iCs w:val="0"/>
          <w:caps w:val="0"/>
          <w:color w:val="333333"/>
          <w:spacing w:val="0"/>
          <w:sz w:val="30"/>
          <w:szCs w:val="30"/>
          <w:shd w:val="clear" w:fill="FFFFFF"/>
        </w:rPr>
        <w:t>〕1</w:t>
      </w:r>
      <w:r>
        <w:rPr>
          <w:rFonts w:hint="eastAsia" w:ascii="仿宋" w:hAnsi="仿宋" w:eastAsia="仿宋" w:cs="仿宋"/>
          <w:i w:val="0"/>
          <w:iCs w:val="0"/>
          <w:caps w:val="0"/>
          <w:color w:val="333333"/>
          <w:spacing w:val="0"/>
          <w:sz w:val="30"/>
          <w:szCs w:val="30"/>
          <w:shd w:val="clear" w:fill="FFFFFF"/>
          <w:lang w:val="en-US" w:eastAsia="zh-CN"/>
        </w:rPr>
        <w:t>0</w:t>
      </w:r>
      <w:r>
        <w:rPr>
          <w:rFonts w:hint="eastAsia" w:ascii="仿宋" w:hAnsi="仿宋" w:eastAsia="仿宋" w:cs="仿宋"/>
          <w:i w:val="0"/>
          <w:iCs w:val="0"/>
          <w:caps w:val="0"/>
          <w:color w:val="333333"/>
          <w:spacing w:val="0"/>
          <w:sz w:val="30"/>
          <w:szCs w:val="30"/>
          <w:shd w:val="clear" w:fill="FFFFFF"/>
        </w:rPr>
        <w:t>号）</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《湖南省财政厅关于印发〈湖南省预算支出绩效评价管理办法〉的通知》（湘财绩〔2020〕7号）</w:t>
      </w:r>
      <w:r>
        <w:rPr>
          <w:rFonts w:hint="eastAsia" w:ascii="仿宋" w:hAnsi="仿宋" w:eastAsia="仿宋" w:cs="仿宋"/>
          <w:i w:val="0"/>
          <w:iCs w:val="0"/>
          <w:caps w:val="0"/>
          <w:color w:val="333333"/>
          <w:spacing w:val="0"/>
          <w:sz w:val="30"/>
          <w:szCs w:val="30"/>
          <w:shd w:val="clear" w:fill="FFFFFF"/>
          <w:lang w:val="en-US" w:eastAsia="zh-CN"/>
        </w:rPr>
        <w:t>及其他有关法律、法规和规章制度，</w:t>
      </w:r>
      <w:r>
        <w:rPr>
          <w:rFonts w:hint="eastAsia" w:ascii="仿宋" w:hAnsi="仿宋" w:eastAsia="仿宋" w:cs="仿宋"/>
          <w:i w:val="0"/>
          <w:iCs w:val="0"/>
          <w:caps w:val="0"/>
          <w:color w:val="000000"/>
          <w:spacing w:val="0"/>
          <w:sz w:val="30"/>
          <w:szCs w:val="30"/>
          <w:shd w:val="clear" w:fill="FFFFFF"/>
        </w:rPr>
        <w:t>本着对预算支出的经济性、效率性和效益性进行客观、公正的评价的原则，按照绩效评价要求，我局积极组织，对202</w:t>
      </w:r>
      <w:r>
        <w:rPr>
          <w:rFonts w:hint="eastAsia" w:ascii="仿宋" w:hAnsi="仿宋" w:eastAsia="仿宋" w:cs="仿宋"/>
          <w:i w:val="0"/>
          <w:iCs w:val="0"/>
          <w:caps w:val="0"/>
          <w:color w:val="000000"/>
          <w:spacing w:val="0"/>
          <w:sz w:val="30"/>
          <w:szCs w:val="30"/>
          <w:shd w:val="clear" w:fill="FFFFFF"/>
          <w:lang w:val="en-US" w:eastAsia="zh-CN"/>
        </w:rPr>
        <w:t>1</w:t>
      </w:r>
      <w:r>
        <w:rPr>
          <w:rFonts w:hint="eastAsia" w:ascii="仿宋" w:hAnsi="仿宋" w:eastAsia="仿宋" w:cs="仿宋"/>
          <w:i w:val="0"/>
          <w:iCs w:val="0"/>
          <w:caps w:val="0"/>
          <w:color w:val="000000"/>
          <w:spacing w:val="0"/>
          <w:sz w:val="30"/>
          <w:szCs w:val="30"/>
          <w:shd w:val="clear" w:fill="FFFFFF"/>
        </w:rPr>
        <w:t>年度本单位整体支出进行了绩效自评，现将具体绩效评价情况报告如下：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黑体" w:hAnsi="黑体" w:eastAsia="黑体" w:cs="黑体"/>
          <w:b w:val="0"/>
          <w:bCs w:val="0"/>
          <w:i w:val="0"/>
          <w:iCs w:val="0"/>
          <w:caps w:val="0"/>
          <w:color w:val="333333"/>
          <w:spacing w:val="0"/>
          <w:sz w:val="30"/>
          <w:szCs w:val="30"/>
        </w:rPr>
      </w:pPr>
      <w:r>
        <w:rPr>
          <w:rFonts w:hint="eastAsia" w:ascii="黑体" w:hAnsi="黑体" w:eastAsia="黑体" w:cs="黑体"/>
          <w:b w:val="0"/>
          <w:bCs w:val="0"/>
          <w:i w:val="0"/>
          <w:iCs w:val="0"/>
          <w:caps w:val="0"/>
          <w:color w:val="333333"/>
          <w:spacing w:val="0"/>
          <w:sz w:val="30"/>
          <w:szCs w:val="30"/>
          <w:shd w:val="clear" w:fill="FFFFFF"/>
        </w:rPr>
        <w:t>一、</w:t>
      </w:r>
      <w:r>
        <w:rPr>
          <w:rFonts w:hint="eastAsia" w:ascii="黑体" w:hAnsi="黑体" w:eastAsia="黑体" w:cs="黑体"/>
          <w:b w:val="0"/>
          <w:bCs w:val="0"/>
          <w:i w:val="0"/>
          <w:iCs w:val="0"/>
          <w:caps w:val="0"/>
          <w:color w:val="333333"/>
          <w:spacing w:val="0"/>
          <w:sz w:val="30"/>
          <w:szCs w:val="30"/>
          <w:shd w:val="clear" w:fill="FFFFFF"/>
          <w:lang w:val="en-US" w:eastAsia="zh-CN"/>
        </w:rPr>
        <w:t>部门、</w:t>
      </w:r>
      <w:r>
        <w:rPr>
          <w:rFonts w:hint="eastAsia" w:ascii="黑体" w:hAnsi="黑体" w:eastAsia="黑体" w:cs="黑体"/>
          <w:b w:val="0"/>
          <w:bCs w:val="0"/>
          <w:i w:val="0"/>
          <w:iCs w:val="0"/>
          <w:caps w:val="0"/>
          <w:color w:val="333333"/>
          <w:spacing w:val="0"/>
          <w:sz w:val="30"/>
          <w:szCs w:val="30"/>
          <w:shd w:val="clear" w:fill="FFFFFF"/>
        </w:rPr>
        <w:t>单位基本情况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2" w:firstLineChars="200"/>
        <w:jc w:val="both"/>
        <w:textAlignment w:val="auto"/>
        <w:rPr>
          <w:rFonts w:hint="eastAsia" w:ascii="仿宋" w:hAnsi="仿宋" w:eastAsia="仿宋" w:cs="仿宋"/>
          <w:b/>
          <w:bCs/>
          <w:i w:val="0"/>
          <w:iCs w:val="0"/>
          <w:caps w:val="0"/>
          <w:color w:val="333333"/>
          <w:spacing w:val="0"/>
          <w:sz w:val="30"/>
          <w:szCs w:val="30"/>
          <w:shd w:val="clear" w:fill="FFFFFF"/>
          <w:lang w:eastAsia="zh-CN"/>
        </w:rPr>
      </w:pPr>
      <w:r>
        <w:rPr>
          <w:rFonts w:hint="eastAsia" w:ascii="仿宋" w:hAnsi="仿宋" w:eastAsia="仿宋" w:cs="仿宋"/>
          <w:b/>
          <w:bCs/>
          <w:i w:val="0"/>
          <w:iCs w:val="0"/>
          <w:caps w:val="0"/>
          <w:color w:val="333333"/>
          <w:spacing w:val="0"/>
          <w:sz w:val="30"/>
          <w:szCs w:val="30"/>
          <w:shd w:val="clear" w:fill="FFFFFF"/>
        </w:rPr>
        <w:t>（一）机构设置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right="0" w:firstLine="600" w:firstLineChars="200"/>
        <w:jc w:val="both"/>
        <w:rPr>
          <w:rFonts w:hint="eastAsia" w:ascii="仿宋" w:hAnsi="仿宋" w:eastAsia="仿宋" w:cs="仿宋"/>
          <w:i w:val="0"/>
          <w:iCs w:val="0"/>
          <w:caps w:val="0"/>
          <w:color w:val="333333"/>
          <w:spacing w:val="0"/>
          <w:sz w:val="30"/>
          <w:szCs w:val="30"/>
          <w:shd w:val="clear" w:fill="FFFFFF"/>
          <w:lang w:eastAsia="zh-CN"/>
        </w:rPr>
      </w:pPr>
      <w:r>
        <w:rPr>
          <w:rFonts w:hint="eastAsia" w:ascii="仿宋" w:hAnsi="仿宋" w:eastAsia="仿宋" w:cs="仿宋"/>
          <w:i w:val="0"/>
          <w:iCs w:val="0"/>
          <w:caps w:val="0"/>
          <w:color w:val="333333"/>
          <w:spacing w:val="0"/>
          <w:sz w:val="30"/>
          <w:szCs w:val="30"/>
          <w:shd w:val="clear" w:fill="FFFFFF"/>
          <w:lang w:val="en-US" w:eastAsia="zh-CN"/>
        </w:rPr>
        <w:t>1.</w:t>
      </w:r>
      <w:r>
        <w:rPr>
          <w:rFonts w:hint="eastAsia" w:ascii="仿宋" w:hAnsi="仿宋" w:eastAsia="仿宋" w:cs="仿宋"/>
          <w:i w:val="0"/>
          <w:iCs w:val="0"/>
          <w:caps w:val="0"/>
          <w:color w:val="333333"/>
          <w:spacing w:val="0"/>
          <w:sz w:val="30"/>
          <w:szCs w:val="30"/>
          <w:shd w:val="clear" w:fill="FFFFFF"/>
        </w:rPr>
        <w:t>局机关内设股室</w:t>
      </w:r>
      <w:r>
        <w:rPr>
          <w:rFonts w:hint="eastAsia" w:ascii="仿宋" w:hAnsi="仿宋" w:eastAsia="仿宋" w:cs="仿宋"/>
          <w:i w:val="0"/>
          <w:iCs w:val="0"/>
          <w:caps w:val="0"/>
          <w:color w:val="333333"/>
          <w:spacing w:val="0"/>
          <w:sz w:val="30"/>
          <w:szCs w:val="30"/>
          <w:shd w:val="clear" w:fill="FFFFFF"/>
          <w:lang w:val="en-US" w:eastAsia="zh-CN"/>
        </w:rPr>
        <w:t>4</w:t>
      </w:r>
      <w:r>
        <w:rPr>
          <w:rFonts w:hint="eastAsia" w:ascii="仿宋" w:hAnsi="仿宋" w:eastAsia="仿宋" w:cs="仿宋"/>
          <w:i w:val="0"/>
          <w:iCs w:val="0"/>
          <w:caps w:val="0"/>
          <w:color w:val="333333"/>
          <w:spacing w:val="0"/>
          <w:sz w:val="30"/>
          <w:szCs w:val="30"/>
          <w:shd w:val="clear" w:fill="FFFFFF"/>
        </w:rPr>
        <w:t>个：</w:t>
      </w:r>
      <w:r>
        <w:rPr>
          <w:rFonts w:hint="eastAsia" w:ascii="仿宋" w:hAnsi="仿宋" w:eastAsia="仿宋" w:cs="仿宋"/>
          <w:i w:val="0"/>
          <w:iCs w:val="0"/>
          <w:caps w:val="0"/>
          <w:color w:val="333333"/>
          <w:spacing w:val="0"/>
          <w:sz w:val="30"/>
          <w:szCs w:val="30"/>
          <w:shd w:val="clear" w:fill="FFFFFF"/>
          <w:lang w:val="en-US" w:eastAsia="zh-CN"/>
        </w:rPr>
        <w:t>综合</w:t>
      </w:r>
      <w:r>
        <w:rPr>
          <w:rFonts w:hint="eastAsia" w:ascii="仿宋" w:hAnsi="仿宋" w:eastAsia="仿宋" w:cs="仿宋"/>
          <w:i w:val="0"/>
          <w:iCs w:val="0"/>
          <w:caps w:val="0"/>
          <w:color w:val="333333"/>
          <w:spacing w:val="0"/>
          <w:sz w:val="30"/>
          <w:szCs w:val="30"/>
          <w:shd w:val="clear" w:fill="FFFFFF"/>
        </w:rPr>
        <w:t>办公室、督查考核股、法制股、</w:t>
      </w:r>
      <w:r>
        <w:rPr>
          <w:rFonts w:hint="eastAsia" w:ascii="仿宋" w:hAnsi="仿宋" w:eastAsia="仿宋" w:cs="仿宋"/>
          <w:i w:val="0"/>
          <w:iCs w:val="0"/>
          <w:caps w:val="0"/>
          <w:color w:val="333333"/>
          <w:spacing w:val="0"/>
          <w:sz w:val="30"/>
          <w:szCs w:val="30"/>
          <w:shd w:val="clear" w:fill="FFFFFF"/>
          <w:lang w:val="en-US" w:eastAsia="zh-CN"/>
        </w:rPr>
        <w:t>城市管理股</w:t>
      </w:r>
      <w:r>
        <w:rPr>
          <w:rFonts w:hint="eastAsia" w:ascii="仿宋" w:hAnsi="仿宋" w:eastAsia="仿宋" w:cs="仿宋"/>
          <w:i w:val="0"/>
          <w:iCs w:val="0"/>
          <w:caps w:val="0"/>
          <w:color w:val="333333"/>
          <w:spacing w:val="0"/>
          <w:sz w:val="30"/>
          <w:szCs w:val="3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right="0" w:firstLine="600" w:firstLineChars="200"/>
        <w:jc w:val="both"/>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2.</w:t>
      </w:r>
      <w:r>
        <w:rPr>
          <w:rFonts w:hint="eastAsia" w:ascii="仿宋" w:hAnsi="仿宋" w:eastAsia="仿宋" w:cs="仿宋"/>
          <w:i w:val="0"/>
          <w:iCs w:val="0"/>
          <w:caps w:val="0"/>
          <w:color w:val="333333"/>
          <w:spacing w:val="0"/>
          <w:sz w:val="30"/>
          <w:szCs w:val="30"/>
          <w:shd w:val="clear" w:fill="FFFFFF"/>
        </w:rPr>
        <w:t>局下辖</w:t>
      </w:r>
      <w:r>
        <w:rPr>
          <w:rFonts w:hint="eastAsia" w:ascii="仿宋" w:hAnsi="仿宋" w:eastAsia="仿宋" w:cs="仿宋"/>
          <w:i w:val="0"/>
          <w:iCs w:val="0"/>
          <w:caps w:val="0"/>
          <w:color w:val="333333"/>
          <w:spacing w:val="0"/>
          <w:sz w:val="30"/>
          <w:szCs w:val="30"/>
          <w:shd w:val="clear" w:fill="FFFFFF"/>
          <w:lang w:val="en-US" w:eastAsia="zh-CN"/>
        </w:rPr>
        <w:t>5</w:t>
      </w:r>
      <w:r>
        <w:rPr>
          <w:rFonts w:hint="eastAsia" w:ascii="仿宋" w:hAnsi="仿宋" w:eastAsia="仿宋" w:cs="仿宋"/>
          <w:i w:val="0"/>
          <w:iCs w:val="0"/>
          <w:caps w:val="0"/>
          <w:color w:val="333333"/>
          <w:spacing w:val="0"/>
          <w:sz w:val="30"/>
          <w:szCs w:val="30"/>
          <w:shd w:val="clear" w:fill="FFFFFF"/>
        </w:rPr>
        <w:t>个大队</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lang w:val="en-US" w:eastAsia="zh-CN"/>
        </w:rPr>
        <w:t>赫山区规划执法大队、赫山区城管执法大队、赫山区应急大队、赫山区龙岭城管执法大队、渣土执法大队；1个独立核算管理中心：赫山区环境卫生服务中心。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right="0" w:firstLine="600" w:firstLineChars="200"/>
        <w:jc w:val="both"/>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3.</w:t>
      </w:r>
      <w:r>
        <w:rPr>
          <w:rFonts w:hint="eastAsia" w:ascii="仿宋" w:hAnsi="仿宋" w:eastAsia="仿宋" w:cs="仿宋"/>
          <w:i w:val="0"/>
          <w:iCs w:val="0"/>
          <w:caps w:val="0"/>
          <w:color w:val="333333"/>
          <w:spacing w:val="0"/>
          <w:sz w:val="30"/>
          <w:szCs w:val="30"/>
          <w:shd w:val="clear" w:fill="FFFFFF"/>
        </w:rPr>
        <w:t>区级办公室2个</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区城市管理委员会办公室、区查违办</w:t>
      </w:r>
      <w:r>
        <w:rPr>
          <w:rFonts w:hint="eastAsia" w:ascii="仿宋" w:hAnsi="仿宋" w:eastAsia="仿宋" w:cs="仿宋"/>
          <w:i w:val="0"/>
          <w:iCs w:val="0"/>
          <w:caps w:val="0"/>
          <w:color w:val="333333"/>
          <w:spacing w:val="0"/>
          <w:sz w:val="30"/>
          <w:szCs w:val="30"/>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2" w:firstLineChars="200"/>
        <w:jc w:val="both"/>
        <w:textAlignment w:val="auto"/>
        <w:rPr>
          <w:rFonts w:hint="eastAsia" w:ascii="仿宋" w:hAnsi="仿宋" w:eastAsia="仿宋" w:cs="仿宋"/>
          <w:b/>
          <w:bCs/>
          <w:i w:val="0"/>
          <w:iCs w:val="0"/>
          <w:caps w:val="0"/>
          <w:color w:val="333333"/>
          <w:spacing w:val="0"/>
          <w:sz w:val="30"/>
          <w:szCs w:val="30"/>
          <w:shd w:val="clear" w:fill="FFFFFF"/>
        </w:rPr>
      </w:pPr>
      <w:r>
        <w:rPr>
          <w:rFonts w:hint="eastAsia" w:ascii="仿宋" w:hAnsi="仿宋" w:eastAsia="仿宋" w:cs="仿宋"/>
          <w:b/>
          <w:bCs/>
          <w:i w:val="0"/>
          <w:iCs w:val="0"/>
          <w:caps w:val="0"/>
          <w:color w:val="333333"/>
          <w:spacing w:val="0"/>
          <w:sz w:val="30"/>
          <w:szCs w:val="30"/>
          <w:shd w:val="clear" w:fill="FFFFFF"/>
        </w:rPr>
        <w:t>（二）人员编制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right="0" w:firstLine="600" w:firstLineChars="200"/>
        <w:jc w:val="both"/>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区城管执法局现有人员178人（在职在编130人、退休人员8人、协管员40人）。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2" w:firstLineChars="200"/>
        <w:jc w:val="both"/>
        <w:textAlignment w:val="auto"/>
        <w:rPr>
          <w:rFonts w:hint="eastAsia" w:ascii="仿宋" w:hAnsi="仿宋" w:eastAsia="仿宋" w:cs="仿宋"/>
          <w:b/>
          <w:bCs/>
          <w:i w:val="0"/>
          <w:iCs w:val="0"/>
          <w:caps w:val="0"/>
          <w:color w:val="333333"/>
          <w:spacing w:val="0"/>
          <w:sz w:val="30"/>
          <w:szCs w:val="30"/>
          <w:shd w:val="clear" w:fill="FFFFFF"/>
          <w:lang w:eastAsia="zh-CN"/>
        </w:rPr>
      </w:pPr>
      <w:r>
        <w:rPr>
          <w:rFonts w:hint="eastAsia" w:ascii="仿宋" w:hAnsi="仿宋" w:eastAsia="仿宋" w:cs="仿宋"/>
          <w:b/>
          <w:bCs/>
          <w:i w:val="0"/>
          <w:iCs w:val="0"/>
          <w:caps w:val="0"/>
          <w:color w:val="333333"/>
          <w:spacing w:val="0"/>
          <w:sz w:val="30"/>
          <w:szCs w:val="30"/>
          <w:shd w:val="clear" w:fill="FFFFFF"/>
        </w:rPr>
        <w:t>（三）职责职能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1.贯彻执行城市管理和综合执法工作的方针政策和法律法规。深化城市管理综合行政执法体制改革，加强城市管理行政执法体系建设。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2.负责指导、协调、监督和考核全区城市管理和综合执法工作。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3.负责职责范围内市政公用设施（不含城区供水、供气）监管、城市园林绿化设施建设维护管理工作。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4.负责职责范围内门店招牌、侵占城市道路、城市公共空间等市容秩序的管理。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5.负责城市环境卫生的管理。承担城区环境卫生清扫保洁，城市环境卫生基础设施建设维护管理，生活垃圾、餐厨垃圾和建筑垃圾的处理。推进垃圾分类工作。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6.负责中心城区村（居）民违法违规建设行为的查处。负责区级规划控制区、乡镇规划控制区的查违控违拆违工作。参与联合巡查管理，参与全区查违控违拆违综合管理、监督、检查和考核工作。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7.负责全区禁限区域燃放烟花爆竹污染的监督管理和考核。负责城区焚烧垃圾、秸杆、落叶、沥青塑料等产生烟尘污染和经营性餐饮业油烟污染的监督管理；负责社会生活噪声污染、建筑施工噪声污染、建筑施工扬尘污染、渣土扬尘污染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8.负责职责范围内交通管理方面的城市公共停车场、城市道路停车泊位收费管理。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9.负责职责范围内设置在城市公园与广场的应急避难场所管理，城区路面与广场排渍排涝、城市道路与桥梁、园林绿化照明等应急保障处理。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10.负责中心城区黑臭水体整治后维护管理的业务指导、监督和考核。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11.负责职责范围内路灯的建设维护管理，以及中心城区路灯电费的管理。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12.负责职责范围内“门前三包”责任制的监督和考核工作。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13.负责区级智慧城市管理平台建设维护管理工作。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14.协助乡镇开展镇区秩序整治、空间治理、供水供气监管，负责农村生活垃圾转运。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15.负责职责范围内渣土管理。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黑体" w:hAnsi="黑体" w:eastAsia="黑体" w:cs="黑体"/>
          <w:b w:val="0"/>
          <w:bCs w:val="0"/>
          <w:i w:val="0"/>
          <w:iCs w:val="0"/>
          <w:caps w:val="0"/>
          <w:color w:val="333333"/>
          <w:spacing w:val="0"/>
          <w:sz w:val="30"/>
          <w:szCs w:val="30"/>
          <w:shd w:val="clear" w:fill="FFFFFF"/>
          <w:lang w:val="en-US" w:eastAsia="zh-CN"/>
        </w:rPr>
      </w:pPr>
      <w:r>
        <w:rPr>
          <w:rFonts w:hint="eastAsia" w:ascii="黑体" w:hAnsi="黑体" w:eastAsia="黑体" w:cs="黑体"/>
          <w:b w:val="0"/>
          <w:bCs w:val="0"/>
          <w:i w:val="0"/>
          <w:iCs w:val="0"/>
          <w:caps w:val="0"/>
          <w:color w:val="333333"/>
          <w:spacing w:val="0"/>
          <w:sz w:val="30"/>
          <w:szCs w:val="30"/>
          <w:shd w:val="clear" w:fill="FFFFFF"/>
          <w:lang w:val="en-US" w:eastAsia="zh-CN"/>
        </w:rPr>
        <w:t>二、一般公共预算支出情况</w:t>
      </w:r>
    </w:p>
    <w:p>
      <w:pPr>
        <w:pageBreakBefore w:val="0"/>
        <w:kinsoku/>
        <w:overflowPunct/>
        <w:topLinePunct w:val="0"/>
        <w:bidi w:val="0"/>
        <w:snapToGrid/>
        <w:spacing w:line="600" w:lineRule="exact"/>
        <w:ind w:firstLine="602" w:firstLineChars="200"/>
        <w:rPr>
          <w:rFonts w:hint="eastAsia" w:ascii="仿宋" w:hAnsi="仿宋" w:eastAsia="仿宋" w:cs="仿宋"/>
          <w:b w:val="0"/>
          <w:bCs w:val="0"/>
          <w:color w:val="000000"/>
          <w:sz w:val="30"/>
          <w:szCs w:val="30"/>
          <w:shd w:val="clear" w:fill="FFFFFF"/>
          <w:lang w:val="en-US" w:eastAsia="zh-CN"/>
        </w:rPr>
      </w:pPr>
      <w:r>
        <w:rPr>
          <w:rFonts w:hint="eastAsia" w:ascii="仿宋" w:hAnsi="仿宋" w:eastAsia="仿宋" w:cs="仿宋"/>
          <w:b/>
          <w:bCs/>
          <w:color w:val="000000"/>
          <w:sz w:val="30"/>
          <w:szCs w:val="30"/>
          <w:shd w:val="clear" w:fill="FFFFFF"/>
          <w:lang w:val="en-US" w:eastAsia="zh-CN"/>
        </w:rPr>
        <w:t xml:space="preserve"> </w:t>
      </w:r>
      <w:commentRangeStart w:id="0"/>
      <w:r>
        <w:rPr>
          <w:rFonts w:hint="eastAsia" w:ascii="仿宋" w:hAnsi="仿宋" w:eastAsia="仿宋" w:cs="仿宋"/>
          <w:b w:val="0"/>
          <w:bCs w:val="0"/>
          <w:color w:val="000000"/>
          <w:sz w:val="30"/>
          <w:szCs w:val="30"/>
          <w:shd w:val="clear" w:fill="FFFFFF"/>
          <w:lang w:val="en-US" w:eastAsia="zh-CN"/>
        </w:rPr>
        <w:t>2021年度一般公共预算支出总计4190.48万元，其中其他财政事务支出4万元，机关事业单位基本养老保险缴费支出203.54万元，行政事业单位医疗支出0.21万元，自然生态环保支出50万元，城乡社区支出3795.72万元，其他城乡社区支出2229.88万元，住房公积金支出137.01万元。增加了2019年度三微工程项目未支付的工程款和</w:t>
      </w:r>
      <w:r>
        <w:rPr>
          <w:rFonts w:hint="eastAsia" w:ascii="仿宋" w:hAnsi="仿宋" w:eastAsia="仿宋" w:cs="仿宋"/>
          <w:color w:val="333333"/>
          <w:sz w:val="30"/>
          <w:szCs w:val="30"/>
          <w:shd w:val="clear" w:fill="FFFFFF"/>
        </w:rPr>
        <w:t>对其他城市基础设施配套费安排的投入</w:t>
      </w:r>
      <w:r>
        <w:rPr>
          <w:rFonts w:hint="eastAsia" w:ascii="仿宋" w:hAnsi="仿宋" w:eastAsia="仿宋" w:cs="仿宋"/>
          <w:b w:val="0"/>
          <w:bCs w:val="0"/>
          <w:color w:val="000000"/>
          <w:sz w:val="30"/>
          <w:szCs w:val="30"/>
          <w:shd w:val="clear" w:fill="FFFFFF"/>
          <w:lang w:val="en-US" w:eastAsia="zh-CN"/>
        </w:rPr>
        <w:t>。</w:t>
      </w:r>
      <w:commentRangeEnd w:id="0"/>
      <w:r>
        <w:commentReference w:id="0"/>
      </w:r>
    </w:p>
    <w:p>
      <w:pPr>
        <w:pStyle w:val="2"/>
        <w:keepNext w:val="0"/>
        <w:keepLines w:val="0"/>
        <w:pageBreakBefore w:val="0"/>
        <w:widowControl/>
        <w:numPr>
          <w:ilvl w:val="0"/>
          <w:numId w:val="1"/>
        </w:numPr>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b/>
          <w:bCs/>
          <w:color w:val="000000"/>
          <w:sz w:val="30"/>
          <w:szCs w:val="30"/>
          <w:shd w:val="clear" w:fill="FFFFFF"/>
          <w:lang w:val="en-US" w:eastAsia="zh-CN"/>
        </w:rPr>
      </w:pPr>
      <w:r>
        <w:rPr>
          <w:rFonts w:hint="eastAsia" w:ascii="仿宋" w:hAnsi="仿宋" w:eastAsia="仿宋" w:cs="仿宋"/>
          <w:b/>
          <w:bCs/>
          <w:color w:val="000000"/>
          <w:sz w:val="30"/>
          <w:szCs w:val="30"/>
          <w:shd w:val="clear" w:fill="FFFFFF"/>
          <w:lang w:val="en-US" w:eastAsia="zh-CN"/>
        </w:rPr>
        <w:t>基本支出情况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 xml:space="preserve">       </w:t>
      </w:r>
      <w:r>
        <w:rPr>
          <w:rFonts w:hint="eastAsia" w:ascii="仿宋" w:hAnsi="仿宋" w:eastAsia="仿宋" w:cs="仿宋"/>
          <w:b w:val="0"/>
          <w:bCs w:val="0"/>
          <w:color w:val="000000"/>
          <w:sz w:val="30"/>
          <w:szCs w:val="30"/>
          <w:shd w:val="clear" w:fill="FFFFFF"/>
          <w:lang w:val="en-US" w:eastAsia="zh-CN"/>
        </w:rPr>
        <w:t>2021年度基本支出总计1960.59万元，与上年度相比减少1134.40万元，减少36.65万元，减少的主要原因是二级机构环境卫生服务中心的人居环境整治支出由财政局直接拨付，未经过我局。</w:t>
      </w:r>
    </w:p>
    <w:p>
      <w:pPr>
        <w:pStyle w:val="2"/>
        <w:pageBreakBefore w:val="0"/>
        <w:numPr>
          <w:ilvl w:val="0"/>
          <w:numId w:val="0"/>
        </w:numPr>
        <w:kinsoku/>
        <w:overflowPunct/>
        <w:topLinePunct w:val="0"/>
        <w:bidi w:val="0"/>
        <w:snapToGrid/>
        <w:spacing w:line="600" w:lineRule="exact"/>
        <w:ind w:firstLine="602" w:firstLineChars="200"/>
        <w:rPr>
          <w:rFonts w:hint="eastAsia" w:ascii="仿宋" w:hAnsi="仿宋" w:eastAsia="仿宋" w:cs="仿宋"/>
          <w:b/>
          <w:bCs/>
          <w:color w:val="000000"/>
          <w:sz w:val="30"/>
          <w:szCs w:val="30"/>
          <w:shd w:val="clear" w:fill="FFFFFF"/>
          <w:lang w:val="en-US" w:eastAsia="zh-CN"/>
        </w:rPr>
      </w:pPr>
      <w:r>
        <w:rPr>
          <w:rFonts w:hint="eastAsia" w:ascii="仿宋" w:hAnsi="仿宋" w:eastAsia="仿宋" w:cs="仿宋"/>
          <w:b/>
          <w:bCs/>
          <w:color w:val="000000"/>
          <w:sz w:val="30"/>
          <w:szCs w:val="30"/>
          <w:shd w:val="clear" w:fill="FFFFFF"/>
          <w:lang w:val="en-US" w:eastAsia="zh-CN"/>
        </w:rPr>
        <w:t>（二）项目支出情况</w:t>
      </w:r>
    </w:p>
    <w:p>
      <w:pPr>
        <w:pageBreakBefore w:val="0"/>
        <w:numPr>
          <w:ilvl w:val="0"/>
          <w:numId w:val="0"/>
        </w:numPr>
        <w:kinsoku/>
        <w:overflowPunct/>
        <w:topLinePunct w:val="0"/>
        <w:bidi w:val="0"/>
        <w:snapToGrid/>
        <w:spacing w:line="600" w:lineRule="exact"/>
        <w:ind w:firstLine="600" w:firstLineChars="200"/>
        <w:rPr>
          <w:rFonts w:hint="eastAsia" w:ascii="仿宋" w:hAnsi="仿宋" w:eastAsia="宋体" w:cs="仿宋"/>
          <w:sz w:val="30"/>
          <w:szCs w:val="30"/>
          <w:lang w:val="en-US" w:eastAsia="zh-CN"/>
        </w:rPr>
      </w:pPr>
      <w:commentRangeStart w:id="1"/>
      <w:r>
        <w:rPr>
          <w:rFonts w:hint="eastAsia" w:ascii="仿宋" w:hAnsi="仿宋" w:eastAsia="仿宋" w:cs="仿宋"/>
          <w:sz w:val="30"/>
          <w:szCs w:val="30"/>
          <w:lang w:val="en-US" w:eastAsia="zh-CN"/>
        </w:rPr>
        <w:t>2021年度专项资金项目支出2229.88万元，</w:t>
      </w:r>
      <w:r>
        <w:rPr>
          <w:rFonts w:hint="eastAsia" w:ascii="仿宋" w:hAnsi="仿宋" w:eastAsia="仿宋" w:cs="仿宋"/>
          <w:b w:val="0"/>
          <w:bCs w:val="0"/>
          <w:color w:val="000000"/>
          <w:sz w:val="30"/>
          <w:szCs w:val="30"/>
          <w:shd w:val="clear" w:fill="FFFFFF"/>
          <w:lang w:val="en-US" w:eastAsia="zh-CN"/>
        </w:rPr>
        <w:t>与上年度相比增加1358.3万元，增加155.84%，增加的主要原因是</w:t>
      </w:r>
      <w:r>
        <w:rPr>
          <w:rFonts w:hint="eastAsia" w:ascii="仿宋" w:hAnsi="仿宋" w:eastAsia="仿宋" w:cs="仿宋"/>
          <w:sz w:val="30"/>
          <w:szCs w:val="30"/>
          <w:lang w:val="en-US" w:eastAsia="zh-CN"/>
        </w:rPr>
        <w:t>增加了2019年度三微工程项目审计后的尾款支出</w:t>
      </w:r>
      <w:commentRangeEnd w:id="1"/>
      <w:r>
        <w:commentReference w:id="1"/>
      </w:r>
      <w:r>
        <w:rPr>
          <w:rFonts w:hint="eastAsia" w:ascii="仿宋" w:hAnsi="仿宋" w:eastAsia="仿宋" w:cs="仿宋"/>
          <w:sz w:val="30"/>
          <w:szCs w:val="30"/>
          <w:lang w:val="en-US" w:eastAsia="zh-CN"/>
        </w:rPr>
        <w:t>。</w:t>
      </w:r>
    </w:p>
    <w:p>
      <w:pPr>
        <w:pStyle w:val="2"/>
        <w:pageBreakBefore w:val="0"/>
        <w:numPr>
          <w:ilvl w:val="0"/>
          <w:numId w:val="0"/>
        </w:numPr>
        <w:kinsoku/>
        <w:overflowPunct/>
        <w:topLinePunct w:val="0"/>
        <w:bidi w:val="0"/>
        <w:snapToGrid/>
        <w:spacing w:line="600" w:lineRule="exact"/>
        <w:ind w:firstLine="600" w:firstLineChars="200"/>
        <w:rPr>
          <w:rFonts w:hint="eastAsia" w:ascii="黑体" w:hAnsi="黑体" w:eastAsia="黑体" w:cs="黑体"/>
          <w:b w:val="0"/>
          <w:bCs w:val="0"/>
          <w:color w:val="000000"/>
          <w:sz w:val="30"/>
          <w:szCs w:val="30"/>
          <w:shd w:val="clear" w:fill="FFFFFF"/>
          <w:lang w:val="en-US" w:eastAsia="zh-CN"/>
        </w:rPr>
      </w:pPr>
      <w:r>
        <w:rPr>
          <w:rFonts w:hint="eastAsia" w:ascii="黑体" w:hAnsi="黑体" w:eastAsia="黑体" w:cs="黑体"/>
          <w:b w:val="0"/>
          <w:bCs w:val="0"/>
          <w:color w:val="000000"/>
          <w:kern w:val="2"/>
          <w:sz w:val="30"/>
          <w:szCs w:val="30"/>
          <w:shd w:val="clear" w:fill="FFFFFF"/>
          <w:lang w:val="en-US" w:eastAsia="zh-CN"/>
        </w:rPr>
        <w:t>三、</w:t>
      </w:r>
      <w:r>
        <w:rPr>
          <w:rFonts w:hint="eastAsia" w:ascii="黑体" w:hAnsi="黑体" w:eastAsia="黑体" w:cs="黑体"/>
          <w:b w:val="0"/>
          <w:bCs w:val="0"/>
          <w:color w:val="000000"/>
          <w:sz w:val="30"/>
          <w:szCs w:val="30"/>
          <w:shd w:val="clear" w:fill="FFFFFF"/>
          <w:lang w:val="en-US" w:eastAsia="zh-CN"/>
        </w:rPr>
        <w:t>政府性基金预算支出情况</w:t>
      </w:r>
    </w:p>
    <w:p>
      <w:pPr>
        <w:pageBreakBefore w:val="0"/>
        <w:numPr>
          <w:ilvl w:val="0"/>
          <w:numId w:val="0"/>
        </w:numPr>
        <w:kinsoku/>
        <w:overflowPunct/>
        <w:topLinePunct w:val="0"/>
        <w:bidi w:val="0"/>
        <w:snapToGrid/>
        <w:spacing w:line="6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2021年度政府性基金预算支出1263.41万元，主要是增加了城市基础设施提质改造的投入。</w:t>
      </w:r>
      <w:r>
        <w:commentReference w:id="2"/>
      </w:r>
    </w:p>
    <w:p>
      <w:pPr>
        <w:pStyle w:val="2"/>
        <w:pageBreakBefore w:val="0"/>
        <w:numPr>
          <w:ilvl w:val="0"/>
          <w:numId w:val="0"/>
        </w:numPr>
        <w:kinsoku/>
        <w:overflowPunct/>
        <w:topLinePunct w:val="0"/>
        <w:bidi w:val="0"/>
        <w:snapToGrid/>
        <w:spacing w:line="600" w:lineRule="exact"/>
        <w:ind w:firstLine="600" w:firstLineChars="200"/>
        <w:rPr>
          <w:rFonts w:hint="eastAsia" w:ascii="黑体" w:hAnsi="黑体" w:eastAsia="黑体" w:cs="黑体"/>
          <w:b w:val="0"/>
          <w:bCs w:val="0"/>
          <w:color w:val="000000"/>
          <w:kern w:val="2"/>
          <w:sz w:val="30"/>
          <w:szCs w:val="30"/>
          <w:shd w:val="clear" w:fill="FFFFFF"/>
          <w:lang w:val="en-US" w:eastAsia="zh-CN"/>
        </w:rPr>
      </w:pPr>
      <w:r>
        <w:rPr>
          <w:rFonts w:hint="eastAsia" w:ascii="黑体" w:hAnsi="黑体" w:eastAsia="黑体" w:cs="黑体"/>
          <w:b w:val="0"/>
          <w:bCs w:val="0"/>
          <w:color w:val="000000"/>
          <w:kern w:val="2"/>
          <w:sz w:val="30"/>
          <w:szCs w:val="30"/>
          <w:shd w:val="clear" w:fill="FFFFFF"/>
          <w:lang w:val="en-US" w:eastAsia="zh-CN"/>
        </w:rPr>
        <w:t>四、国有资本经营预算支出情况</w:t>
      </w:r>
    </w:p>
    <w:p>
      <w:pPr>
        <w:pageBreakBefore w:val="0"/>
        <w:kinsoku/>
        <w:overflowPunct/>
        <w:topLinePunct w:val="0"/>
        <w:bidi w:val="0"/>
        <w:snapToGrid/>
        <w:spacing w:line="6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2021年度没有国有资本经营预算收入和支出情况。</w:t>
      </w:r>
    </w:p>
    <w:p>
      <w:pPr>
        <w:pStyle w:val="2"/>
        <w:pageBreakBefore w:val="0"/>
        <w:numPr>
          <w:ilvl w:val="0"/>
          <w:numId w:val="0"/>
        </w:numPr>
        <w:kinsoku/>
        <w:overflowPunct/>
        <w:topLinePunct w:val="0"/>
        <w:bidi w:val="0"/>
        <w:snapToGrid/>
        <w:spacing w:line="600" w:lineRule="exact"/>
        <w:ind w:firstLine="600" w:firstLineChars="200"/>
        <w:rPr>
          <w:rFonts w:hint="eastAsia" w:ascii="黑体" w:hAnsi="黑体" w:eastAsia="黑体" w:cs="黑体"/>
          <w:b w:val="0"/>
          <w:bCs w:val="0"/>
          <w:color w:val="000000"/>
          <w:kern w:val="2"/>
          <w:sz w:val="30"/>
          <w:szCs w:val="30"/>
          <w:shd w:val="clear" w:fill="FFFFFF"/>
          <w:lang w:val="en-US" w:eastAsia="zh-CN"/>
        </w:rPr>
      </w:pPr>
      <w:r>
        <w:rPr>
          <w:rFonts w:hint="eastAsia" w:ascii="黑体" w:hAnsi="黑体" w:eastAsia="黑体" w:cs="黑体"/>
          <w:b w:val="0"/>
          <w:bCs w:val="0"/>
          <w:color w:val="000000"/>
          <w:kern w:val="2"/>
          <w:sz w:val="30"/>
          <w:szCs w:val="30"/>
          <w:shd w:val="clear" w:fill="FFFFFF"/>
          <w:lang w:val="en-US" w:eastAsia="zh-CN"/>
        </w:rPr>
        <w:t>五、社会保险基金预算支出情况</w:t>
      </w:r>
    </w:p>
    <w:p>
      <w:pPr>
        <w:pStyle w:val="2"/>
        <w:pageBreakBefore w:val="0"/>
        <w:kinsoku/>
        <w:overflowPunct/>
        <w:topLinePunct w:val="0"/>
        <w:bidi w:val="0"/>
        <w:snapToGrid/>
        <w:spacing w:line="6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2021年度没有社会保险基金预算收入和支出情况。</w:t>
      </w:r>
    </w:p>
    <w:p>
      <w:pPr>
        <w:pStyle w:val="2"/>
        <w:pageBreakBefore w:val="0"/>
        <w:numPr>
          <w:ilvl w:val="0"/>
          <w:numId w:val="0"/>
        </w:numPr>
        <w:kinsoku/>
        <w:overflowPunct/>
        <w:topLinePunct w:val="0"/>
        <w:bidi w:val="0"/>
        <w:snapToGrid/>
        <w:spacing w:line="600" w:lineRule="exact"/>
        <w:ind w:firstLine="600" w:firstLineChars="200"/>
        <w:rPr>
          <w:rFonts w:hint="eastAsia" w:ascii="黑体" w:hAnsi="黑体" w:eastAsia="黑体" w:cs="黑体"/>
          <w:b w:val="0"/>
          <w:bCs w:val="0"/>
          <w:color w:val="000000"/>
          <w:kern w:val="2"/>
          <w:sz w:val="30"/>
          <w:szCs w:val="30"/>
          <w:shd w:val="clear" w:fill="FFFFFF"/>
          <w:lang w:val="en-US" w:eastAsia="zh-CN"/>
        </w:rPr>
      </w:pPr>
      <w:r>
        <w:rPr>
          <w:rFonts w:hint="eastAsia" w:ascii="黑体" w:hAnsi="黑体" w:eastAsia="黑体" w:cs="黑体"/>
          <w:b w:val="0"/>
          <w:bCs w:val="0"/>
          <w:color w:val="000000"/>
          <w:kern w:val="2"/>
          <w:sz w:val="30"/>
          <w:szCs w:val="30"/>
          <w:shd w:val="clear" w:fill="FFFFFF"/>
          <w:lang w:val="en-US" w:eastAsia="zh-CN"/>
        </w:rPr>
        <w:t>六、部门整体支出绩效情况</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shd w:val="clear" w:fill="FFFFFF"/>
        </w:rPr>
        <w:t>（一）绩效管理工作开展情况</w:t>
      </w:r>
    </w:p>
    <w:p>
      <w:pPr>
        <w:pStyle w:val="4"/>
        <w:keepNext w:val="0"/>
        <w:keepLines w:val="0"/>
        <w:pageBreakBefore w:val="0"/>
        <w:widowControl/>
        <w:suppressLineNumbers w:val="0"/>
        <w:kinsoku/>
        <w:wordWrap w:val="0"/>
        <w:overflowPunct/>
        <w:topLinePunct w:val="0"/>
        <w:bidi w:val="0"/>
        <w:snapToGrid/>
        <w:spacing w:before="0" w:beforeAutospacing="0" w:after="0" w:afterAutospacing="0" w:line="600" w:lineRule="exact"/>
        <w:ind w:left="0" w:right="0" w:firstLine="600" w:firstLineChars="200"/>
        <w:jc w:val="left"/>
        <w:rPr>
          <w:rFonts w:hint="eastAsia" w:ascii="仿宋" w:hAnsi="仿宋" w:eastAsia="仿宋" w:cs="仿宋"/>
          <w:sz w:val="30"/>
          <w:szCs w:val="30"/>
        </w:rPr>
      </w:pPr>
      <w:r>
        <w:rPr>
          <w:rFonts w:hint="eastAsia" w:ascii="仿宋" w:hAnsi="仿宋" w:eastAsia="仿宋" w:cs="仿宋"/>
          <w:sz w:val="30"/>
          <w:szCs w:val="30"/>
          <w:shd w:val="clear" w:fill="FFFFFF"/>
        </w:rPr>
        <w:t>202</w:t>
      </w:r>
      <w:r>
        <w:rPr>
          <w:rFonts w:hint="eastAsia" w:ascii="仿宋" w:hAnsi="仿宋" w:eastAsia="仿宋" w:cs="仿宋"/>
          <w:sz w:val="30"/>
          <w:szCs w:val="30"/>
          <w:shd w:val="clear" w:fill="FFFFFF"/>
          <w:lang w:val="en-US" w:eastAsia="zh-CN"/>
        </w:rPr>
        <w:t>1</w:t>
      </w:r>
      <w:r>
        <w:rPr>
          <w:rFonts w:hint="eastAsia" w:ascii="仿宋" w:hAnsi="仿宋" w:eastAsia="仿宋" w:cs="仿宋"/>
          <w:sz w:val="30"/>
          <w:szCs w:val="30"/>
          <w:shd w:val="clear" w:fill="FFFFFF"/>
        </w:rPr>
        <w:t>年，区城管局根据年初工作计划，积极履职，强化管理，很好的完成了年度工作目标。通过加强预算收支管理，不断建立健全内部管理制度，部门整体支出管理水平得到提升。    </w:t>
      </w:r>
    </w:p>
    <w:p>
      <w:pPr>
        <w:pStyle w:val="4"/>
        <w:keepNext w:val="0"/>
        <w:keepLines w:val="0"/>
        <w:pageBreakBefore w:val="0"/>
        <w:widowControl/>
        <w:suppressLineNumbers w:val="0"/>
        <w:kinsoku/>
        <w:wordWrap w:val="0"/>
        <w:overflowPunct/>
        <w:topLinePunct w:val="0"/>
        <w:bidi w:val="0"/>
        <w:snapToGrid/>
        <w:spacing w:before="0" w:beforeAutospacing="0" w:after="0" w:afterAutospacing="0" w:line="600" w:lineRule="exact"/>
        <w:ind w:left="0" w:right="0" w:firstLine="600" w:firstLineChars="200"/>
        <w:jc w:val="left"/>
        <w:rPr>
          <w:rFonts w:hint="eastAsia" w:ascii="仿宋" w:hAnsi="仿宋" w:eastAsia="仿宋" w:cs="仿宋"/>
          <w:sz w:val="30"/>
          <w:szCs w:val="30"/>
        </w:rPr>
      </w:pPr>
      <w:r>
        <w:rPr>
          <w:rFonts w:hint="eastAsia" w:ascii="仿宋" w:hAnsi="仿宋" w:eastAsia="仿宋" w:cs="仿宋"/>
          <w:sz w:val="30"/>
          <w:szCs w:val="30"/>
          <w:shd w:val="clear" w:fill="FFFFFF"/>
        </w:rPr>
        <w:t>1</w:t>
      </w:r>
      <w:r>
        <w:rPr>
          <w:rFonts w:hint="eastAsia" w:ascii="仿宋" w:hAnsi="仿宋" w:eastAsia="仿宋" w:cs="仿宋"/>
          <w:sz w:val="30"/>
          <w:szCs w:val="30"/>
          <w:shd w:val="clear" w:fill="FFFFFF"/>
          <w:lang w:val="en-US" w:eastAsia="zh-CN"/>
        </w:rPr>
        <w:t>.</w:t>
      </w:r>
      <w:r>
        <w:rPr>
          <w:rFonts w:hint="eastAsia" w:ascii="仿宋" w:hAnsi="仿宋" w:eastAsia="仿宋" w:cs="仿宋"/>
          <w:sz w:val="30"/>
          <w:szCs w:val="30"/>
          <w:shd w:val="clear" w:fill="FFFFFF"/>
        </w:rPr>
        <w:t>预算配置控制较好。财政供养人员控制在预算编制以内；“三公”经费严格控制在预算范围内。</w:t>
      </w:r>
    </w:p>
    <w:p>
      <w:pPr>
        <w:pStyle w:val="4"/>
        <w:keepNext w:val="0"/>
        <w:keepLines w:val="0"/>
        <w:pageBreakBefore w:val="0"/>
        <w:widowControl/>
        <w:suppressLineNumbers w:val="0"/>
        <w:kinsoku/>
        <w:wordWrap w:val="0"/>
        <w:overflowPunct/>
        <w:topLinePunct w:val="0"/>
        <w:bidi w:val="0"/>
        <w:snapToGrid/>
        <w:spacing w:before="0" w:beforeAutospacing="0" w:after="0" w:afterAutospacing="0" w:line="600" w:lineRule="exact"/>
        <w:ind w:left="0" w:right="0" w:firstLine="600" w:firstLineChars="200"/>
        <w:jc w:val="left"/>
        <w:rPr>
          <w:rFonts w:hint="eastAsia" w:ascii="仿宋" w:hAnsi="仿宋" w:eastAsia="仿宋" w:cs="仿宋"/>
          <w:sz w:val="30"/>
          <w:szCs w:val="30"/>
        </w:rPr>
      </w:pPr>
      <w:r>
        <w:rPr>
          <w:rFonts w:hint="eastAsia" w:ascii="仿宋" w:hAnsi="仿宋" w:eastAsia="仿宋" w:cs="仿宋"/>
          <w:sz w:val="30"/>
          <w:szCs w:val="30"/>
          <w:shd w:val="clear" w:fill="FFFFFF"/>
        </w:rPr>
        <w:t>2</w:t>
      </w:r>
      <w:r>
        <w:rPr>
          <w:rFonts w:hint="eastAsia" w:ascii="仿宋" w:hAnsi="仿宋" w:eastAsia="仿宋" w:cs="仿宋"/>
          <w:sz w:val="30"/>
          <w:szCs w:val="30"/>
          <w:shd w:val="clear" w:fill="FFFFFF"/>
          <w:lang w:eastAsia="zh-CN"/>
        </w:rPr>
        <w:t>.</w:t>
      </w:r>
      <w:r>
        <w:rPr>
          <w:rFonts w:hint="eastAsia" w:ascii="仿宋" w:hAnsi="仿宋" w:eastAsia="仿宋" w:cs="仿宋"/>
          <w:sz w:val="30"/>
          <w:szCs w:val="30"/>
          <w:shd w:val="clear" w:fill="FFFFFF"/>
        </w:rPr>
        <w:t>预算执行比较到位。支出总额控制在预算总额以内，预算完成率达到100%。  </w:t>
      </w:r>
    </w:p>
    <w:p>
      <w:pPr>
        <w:pStyle w:val="4"/>
        <w:keepNext w:val="0"/>
        <w:keepLines w:val="0"/>
        <w:pageBreakBefore w:val="0"/>
        <w:widowControl/>
        <w:suppressLineNumbers w:val="0"/>
        <w:kinsoku/>
        <w:wordWrap w:val="0"/>
        <w:overflowPunct/>
        <w:topLinePunct w:val="0"/>
        <w:bidi w:val="0"/>
        <w:snapToGrid/>
        <w:spacing w:before="0" w:beforeAutospacing="0" w:after="0" w:afterAutospacing="0" w:line="600" w:lineRule="exact"/>
        <w:ind w:left="0" w:right="0" w:firstLine="600" w:firstLineChars="200"/>
        <w:jc w:val="left"/>
        <w:rPr>
          <w:rFonts w:hint="eastAsia" w:ascii="仿宋" w:hAnsi="仿宋" w:eastAsia="仿宋" w:cs="仿宋"/>
          <w:sz w:val="30"/>
          <w:szCs w:val="30"/>
        </w:rPr>
      </w:pPr>
      <w:r>
        <w:rPr>
          <w:rFonts w:hint="eastAsia" w:ascii="仿宋" w:hAnsi="仿宋" w:eastAsia="仿宋" w:cs="仿宋"/>
          <w:sz w:val="30"/>
          <w:szCs w:val="30"/>
          <w:shd w:val="clear" w:fill="FFFFFF"/>
        </w:rPr>
        <w:t>3</w:t>
      </w:r>
      <w:r>
        <w:rPr>
          <w:rFonts w:hint="eastAsia" w:ascii="仿宋" w:hAnsi="仿宋" w:eastAsia="仿宋" w:cs="仿宋"/>
          <w:sz w:val="30"/>
          <w:szCs w:val="30"/>
          <w:shd w:val="clear" w:fill="FFFFFF"/>
          <w:lang w:eastAsia="zh-CN"/>
        </w:rPr>
        <w:t>.</w:t>
      </w:r>
      <w:r>
        <w:rPr>
          <w:rFonts w:hint="eastAsia" w:ascii="仿宋" w:hAnsi="仿宋" w:eastAsia="仿宋" w:cs="仿宋"/>
          <w:sz w:val="30"/>
          <w:szCs w:val="30"/>
          <w:shd w:val="clear" w:fill="FFFFFF"/>
        </w:rPr>
        <w:t>管理制度健全。我们严格预算管理，坚持执行财经和财务制度，修改完善了《机关财务管理规定》、《公务接待管理规定》、《差旅费、会议费、培训费管理规定》、《公务车辆管理办法》等工作制度，进一步明确了预算资金审批手续和拨付程序、机关行政经费审批手续和报销程序，加强了财务管理，规范了收支行为，保证了财务管理工作规范有序进行。</w:t>
      </w:r>
    </w:p>
    <w:p>
      <w:pPr>
        <w:pStyle w:val="4"/>
        <w:keepNext w:val="0"/>
        <w:keepLines w:val="0"/>
        <w:pageBreakBefore w:val="0"/>
        <w:widowControl/>
        <w:suppressLineNumbers w:val="0"/>
        <w:kinsoku/>
        <w:wordWrap w:val="0"/>
        <w:overflowPunct/>
        <w:topLinePunct w:val="0"/>
        <w:bidi w:val="0"/>
        <w:snapToGrid/>
        <w:spacing w:before="0" w:beforeAutospacing="0" w:after="0" w:afterAutospacing="0" w:line="600" w:lineRule="exact"/>
        <w:ind w:left="0" w:right="0" w:firstLine="600" w:firstLineChars="200"/>
        <w:jc w:val="left"/>
        <w:rPr>
          <w:rFonts w:hint="eastAsia" w:ascii="仿宋" w:hAnsi="仿宋" w:eastAsia="仿宋" w:cs="仿宋"/>
          <w:sz w:val="30"/>
          <w:szCs w:val="30"/>
        </w:rPr>
      </w:pPr>
      <w:r>
        <w:rPr>
          <w:rFonts w:hint="eastAsia" w:ascii="仿宋" w:hAnsi="仿宋" w:eastAsia="仿宋" w:cs="仿宋"/>
          <w:sz w:val="30"/>
          <w:szCs w:val="30"/>
          <w:shd w:val="clear" w:fill="FFFFFF"/>
        </w:rPr>
        <w:t>4</w:t>
      </w:r>
      <w:r>
        <w:rPr>
          <w:rFonts w:hint="eastAsia" w:ascii="仿宋" w:hAnsi="仿宋" w:eastAsia="仿宋" w:cs="仿宋"/>
          <w:sz w:val="30"/>
          <w:szCs w:val="30"/>
          <w:shd w:val="clear" w:fill="FFFFFF"/>
          <w:lang w:eastAsia="zh-CN"/>
        </w:rPr>
        <w:t>.</w:t>
      </w:r>
      <w:r>
        <w:rPr>
          <w:rFonts w:hint="eastAsia" w:ascii="仿宋" w:hAnsi="仿宋" w:eastAsia="仿宋" w:cs="仿宋"/>
          <w:sz w:val="30"/>
          <w:szCs w:val="30"/>
          <w:shd w:val="clear" w:fill="FFFFFF"/>
        </w:rPr>
        <w:t>部门预算收支严格按年初部门预算方案执行，部门预决算、“三公”经费预决算按要求及时进行了公开。</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02" w:firstLineChars="200"/>
        <w:jc w:val="left"/>
        <w:textAlignment w:val="auto"/>
        <w:rPr>
          <w:rFonts w:hint="eastAsia" w:ascii="仿宋" w:hAnsi="仿宋" w:eastAsia="仿宋" w:cs="仿宋"/>
          <w:b/>
          <w:bCs/>
          <w:sz w:val="30"/>
          <w:szCs w:val="30"/>
          <w:shd w:val="clear" w:fill="FFFFFF"/>
        </w:rPr>
      </w:pPr>
      <w:r>
        <w:rPr>
          <w:rFonts w:hint="eastAsia" w:ascii="仿宋" w:hAnsi="仿宋" w:eastAsia="仿宋" w:cs="仿宋"/>
          <w:b/>
          <w:bCs/>
          <w:sz w:val="30"/>
          <w:szCs w:val="30"/>
          <w:shd w:val="clear" w:fill="FFFFFF"/>
        </w:rPr>
        <w:t>（</w:t>
      </w:r>
      <w:r>
        <w:rPr>
          <w:rFonts w:hint="eastAsia" w:ascii="仿宋" w:hAnsi="仿宋" w:eastAsia="仿宋" w:cs="仿宋"/>
          <w:b/>
          <w:bCs/>
          <w:sz w:val="30"/>
          <w:szCs w:val="30"/>
          <w:shd w:val="clear" w:fill="FFFFFF"/>
          <w:lang w:val="en-US" w:eastAsia="zh-CN"/>
        </w:rPr>
        <w:t>二</w:t>
      </w:r>
      <w:r>
        <w:rPr>
          <w:rFonts w:hint="eastAsia" w:ascii="仿宋" w:hAnsi="仿宋" w:eastAsia="仿宋" w:cs="仿宋"/>
          <w:b/>
          <w:bCs/>
          <w:sz w:val="30"/>
          <w:szCs w:val="30"/>
          <w:shd w:val="clear" w:fill="FFFFFF"/>
        </w:rPr>
        <w:t>）以部门为主体开展的重点绩效评价</w:t>
      </w:r>
      <w:r>
        <w:rPr>
          <w:rFonts w:hint="eastAsia" w:ascii="仿宋" w:hAnsi="仿宋" w:eastAsia="仿宋" w:cs="仿宋"/>
          <w:b/>
          <w:bCs/>
          <w:sz w:val="30"/>
          <w:szCs w:val="30"/>
          <w:shd w:val="clear" w:fill="FFFFFF"/>
          <w:lang w:val="en-US" w:eastAsia="zh-CN"/>
        </w:rPr>
        <w:t>情况</w:t>
      </w:r>
    </w:p>
    <w:p>
      <w:pPr>
        <w:pageBreakBefore w:val="0"/>
        <w:kinsoku/>
        <w:overflowPunct/>
        <w:topLinePunct w:val="0"/>
        <w:bidi w:val="0"/>
        <w:snapToGrid/>
        <w:spacing w:line="600" w:lineRule="exact"/>
        <w:ind w:firstLine="600" w:firstLineChars="200"/>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2021年，全局围绕政府工作报告任务分解，统筹推进国家卫生城市复审、垃圾分类、违法建治理等重点任务，积极主动履职，圆满完成各项工作，赫山城市管理再上新台阶。</w:t>
      </w:r>
    </w:p>
    <w:p>
      <w:pPr>
        <w:pStyle w:val="2"/>
        <w:keepNext w:val="0"/>
        <w:keepLines w:val="0"/>
        <w:pageBreakBefore w:val="0"/>
        <w:widowControl/>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b w:val="0"/>
          <w:bCs w:val="0"/>
          <w:kern w:val="0"/>
          <w:sz w:val="30"/>
          <w:szCs w:val="30"/>
          <w:lang w:val="en-US" w:eastAsia="zh-CN"/>
        </w:rPr>
      </w:pPr>
      <w:r>
        <w:rPr>
          <w:rFonts w:hint="eastAsia" w:ascii="仿宋" w:hAnsi="仿宋" w:eastAsia="仿宋" w:cs="仿宋"/>
          <w:b w:val="0"/>
          <w:bCs w:val="0"/>
          <w:kern w:val="0"/>
          <w:sz w:val="30"/>
          <w:szCs w:val="30"/>
          <w:lang w:val="en-US" w:eastAsia="zh-CN"/>
        </w:rPr>
        <w:t>1.坚持党建引领，确保城管事业健康发展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226" w:firstLine="600" w:firstLineChars="200"/>
        <w:jc w:val="both"/>
        <w:textAlignment w:val="auto"/>
        <w:rPr>
          <w:rFonts w:hint="eastAsia" w:ascii="仿宋" w:hAnsi="仿宋" w:eastAsia="仿宋" w:cs="仿宋"/>
          <w:color w:val="000000"/>
          <w:kern w:val="0"/>
          <w:sz w:val="30"/>
          <w:szCs w:val="30"/>
          <w:lang w:val="en-US" w:eastAsia="zh-CN" w:bidi="ar-SA"/>
        </w:rPr>
      </w:pPr>
      <w:r>
        <w:rPr>
          <w:rFonts w:hint="eastAsia" w:ascii="仿宋" w:hAnsi="仿宋" w:eastAsia="仿宋" w:cs="仿宋"/>
          <w:b w:val="0"/>
          <w:bCs w:val="0"/>
          <w:color w:val="000000"/>
          <w:kern w:val="0"/>
          <w:sz w:val="30"/>
          <w:szCs w:val="30"/>
          <w:lang w:val="en-US" w:eastAsia="zh-CN" w:bidi="ar-SA"/>
        </w:rPr>
        <w:t>一是开展党史学习教育，抓好意识形态工作。</w:t>
      </w:r>
      <w:r>
        <w:rPr>
          <w:rFonts w:hint="eastAsia" w:ascii="仿宋" w:hAnsi="仿宋" w:eastAsia="仿宋" w:cs="仿宋"/>
          <w:b w:val="0"/>
          <w:bCs w:val="0"/>
          <w:kern w:val="0"/>
          <w:sz w:val="30"/>
          <w:szCs w:val="30"/>
          <w:lang w:val="en-US" w:eastAsia="zh-CN"/>
        </w:rPr>
        <w:t>巩固深化“不忘初心、牢记使命”主题教育成效，下发党史学习资</w:t>
      </w:r>
      <w:r>
        <w:rPr>
          <w:rFonts w:hint="eastAsia" w:ascii="仿宋" w:hAnsi="仿宋" w:eastAsia="仿宋" w:cs="仿宋"/>
          <w:kern w:val="0"/>
          <w:sz w:val="30"/>
          <w:szCs w:val="30"/>
          <w:lang w:val="en-US" w:eastAsia="zh-CN"/>
        </w:rPr>
        <w:t>料300余套、开展专题学习讨论4个，组织参观红色景点、观看红色电影、纪念建党100周年等系列活动，认真开展“认领微心愿”“我为群众办实事”，以及关爱环卫工人、慰问困难党员群众等活动，全局学党史、悟思想、办实事、开新局蔚然成风</w:t>
      </w:r>
      <w:r>
        <w:rPr>
          <w:rFonts w:hint="eastAsia" w:ascii="仿宋" w:hAnsi="仿宋" w:eastAsia="仿宋" w:cs="仿宋"/>
          <w:color w:val="000000"/>
          <w:kern w:val="0"/>
          <w:sz w:val="30"/>
          <w:szCs w:val="30"/>
          <w:lang w:val="en-US" w:eastAsia="zh-CN" w:bidi="ar-SA"/>
        </w:rPr>
        <w:t>。严格落实意识形态工作责任制，开展新时代文明实践活动，坚持学习强国打卡积分，加强城管正面舆论宣传引导，积极宣传疫情防控、党史学习教育，应对冰冻雨雪天气等工作的宣传，营造良好社会氛围，树立城管为民服务良好形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226" w:firstLine="600" w:firstLineChars="200"/>
        <w:jc w:val="both"/>
        <w:textAlignment w:val="auto"/>
        <w:rPr>
          <w:rFonts w:hint="eastAsia" w:ascii="仿宋" w:hAnsi="仿宋" w:eastAsia="仿宋" w:cs="仿宋"/>
          <w:b w:val="0"/>
          <w:bCs w:val="0"/>
          <w:color w:val="000000"/>
          <w:kern w:val="0"/>
          <w:sz w:val="30"/>
          <w:szCs w:val="30"/>
          <w:u w:val="single"/>
          <w:lang w:val="en-US" w:eastAsia="zh-CN"/>
        </w:rPr>
      </w:pPr>
      <w:r>
        <w:rPr>
          <w:rFonts w:hint="eastAsia" w:ascii="仿宋" w:hAnsi="仿宋" w:eastAsia="仿宋" w:cs="仿宋"/>
          <w:b w:val="0"/>
          <w:bCs w:val="0"/>
          <w:color w:val="000000"/>
          <w:kern w:val="0"/>
          <w:sz w:val="30"/>
          <w:szCs w:val="30"/>
          <w:lang w:val="en-US" w:eastAsia="zh-CN" w:bidi="ar-SA"/>
        </w:rPr>
        <w:t>二是夯实思想根基，加强作风建设。党组把学习贯彻新时代中国特色社会主义思想作为首要政治任务，坚持中心组学习、党组会、民主生活会等制度铁打不动，不断增强“四个意识”、坚定“四个自信”、做到“两个维护”。各支部坚持党日活动、“三会一课”等制度，不断推进支部建设规范化、标准化。强化纪律规矩意识，驰而不息改作风纠陋习，修订完善干职工请销假、绩效考核等11项规章制度，开展婚丧喜庆排查整治、“强基础、转作风、树形象”等专项行动，组织“强化责任担当 提升履职能力”学习教育整顿活动，纠正整治各类问题30余个，5名干职工受到组织处理、纪律处分，在系统内形成强烈震慑。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226" w:firstLine="600" w:firstLineChars="200"/>
        <w:textAlignment w:val="auto"/>
        <w:rPr>
          <w:rFonts w:hint="eastAsia" w:ascii="仿宋" w:hAnsi="仿宋" w:eastAsia="仿宋" w:cs="仿宋"/>
          <w:color w:val="000000"/>
          <w:kern w:val="0"/>
          <w:sz w:val="30"/>
          <w:szCs w:val="30"/>
          <w:lang w:val="en-US" w:eastAsia="zh-CN" w:bidi="ar-SA"/>
        </w:rPr>
      </w:pPr>
      <w:r>
        <w:rPr>
          <w:rFonts w:hint="eastAsia" w:ascii="仿宋" w:hAnsi="仿宋" w:eastAsia="仿宋" w:cs="仿宋"/>
          <w:b w:val="0"/>
          <w:bCs w:val="0"/>
          <w:kern w:val="0"/>
          <w:sz w:val="30"/>
          <w:szCs w:val="30"/>
          <w:lang w:val="en-US" w:eastAsia="zh-CN" w:bidi="ar-SA"/>
        </w:rPr>
        <w:t>三是注重法治建设，加强执法管理。</w:t>
      </w:r>
      <w:r>
        <w:rPr>
          <w:rFonts w:hint="eastAsia" w:ascii="仿宋" w:hAnsi="仿宋" w:eastAsia="仿宋" w:cs="仿宋"/>
          <w:b w:val="0"/>
          <w:bCs w:val="0"/>
          <w:sz w:val="30"/>
          <w:szCs w:val="30"/>
        </w:rPr>
        <w:t>完善权责清单</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评选优秀卷宗，</w:t>
      </w:r>
      <w:r>
        <w:rPr>
          <w:rFonts w:hint="eastAsia" w:ascii="仿宋" w:hAnsi="仿宋" w:eastAsia="仿宋" w:cs="仿宋"/>
          <w:b w:val="0"/>
          <w:bCs w:val="0"/>
          <w:color w:val="000000"/>
          <w:kern w:val="0"/>
          <w:sz w:val="30"/>
          <w:szCs w:val="30"/>
          <w:lang w:val="en-US" w:eastAsia="zh-CN" w:bidi="ar-SA"/>
        </w:rPr>
        <w:t>开展</w:t>
      </w:r>
      <w:r>
        <w:rPr>
          <w:rFonts w:hint="eastAsia" w:ascii="仿宋" w:hAnsi="仿宋" w:eastAsia="仿宋" w:cs="仿宋"/>
          <w:b w:val="0"/>
          <w:bCs w:val="0"/>
          <w:sz w:val="30"/>
          <w:szCs w:val="30"/>
        </w:rPr>
        <w:t>法治专题学习培训</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组织普法考试，</w:t>
      </w:r>
      <w:r>
        <w:rPr>
          <w:rFonts w:hint="eastAsia" w:ascii="仿宋" w:hAnsi="仿宋" w:eastAsia="仿宋" w:cs="仿宋"/>
          <w:color w:val="000000"/>
          <w:kern w:val="0"/>
          <w:sz w:val="30"/>
          <w:szCs w:val="30"/>
          <w:lang w:val="en-US" w:eastAsia="zh-CN" w:bidi="ar-SA"/>
        </w:rPr>
        <w:t>全面</w:t>
      </w:r>
      <w:r>
        <w:rPr>
          <w:rFonts w:hint="eastAsia" w:ascii="仿宋" w:hAnsi="仿宋" w:eastAsia="仿宋" w:cs="仿宋"/>
          <w:sz w:val="30"/>
          <w:szCs w:val="30"/>
        </w:rPr>
        <w:t>推</w:t>
      </w:r>
      <w:r>
        <w:rPr>
          <w:rFonts w:hint="eastAsia" w:ascii="仿宋" w:hAnsi="仿宋" w:eastAsia="仿宋" w:cs="仿宋"/>
          <w:sz w:val="30"/>
          <w:szCs w:val="30"/>
          <w:lang w:val="en-US" w:eastAsia="zh-CN"/>
        </w:rPr>
        <w:t>行</w:t>
      </w:r>
      <w:r>
        <w:rPr>
          <w:rFonts w:hint="eastAsia" w:ascii="仿宋" w:hAnsi="仿宋" w:eastAsia="仿宋" w:cs="仿宋"/>
          <w:sz w:val="30"/>
          <w:szCs w:val="30"/>
        </w:rPr>
        <w:t>行政执法公示、执法全过程记录和重大执法决定法制审核制度</w:t>
      </w:r>
      <w:r>
        <w:rPr>
          <w:rFonts w:hint="eastAsia" w:ascii="仿宋" w:hAnsi="仿宋" w:eastAsia="仿宋" w:cs="仿宋"/>
          <w:sz w:val="30"/>
          <w:szCs w:val="30"/>
          <w:lang w:eastAsia="zh-CN"/>
        </w:rPr>
        <w:t>，</w:t>
      </w:r>
      <w:r>
        <w:rPr>
          <w:rFonts w:hint="eastAsia" w:ascii="仿宋" w:hAnsi="仿宋" w:eastAsia="仿宋" w:cs="仿宋"/>
          <w:sz w:val="30"/>
          <w:szCs w:val="30"/>
        </w:rPr>
        <w:t>广泛接受社会监督</w:t>
      </w:r>
      <w:r>
        <w:rPr>
          <w:rFonts w:hint="eastAsia" w:ascii="仿宋" w:hAnsi="仿宋" w:eastAsia="仿宋" w:cs="仿宋"/>
          <w:sz w:val="30"/>
          <w:szCs w:val="30"/>
          <w:lang w:eastAsia="zh-CN"/>
        </w:rPr>
        <w:t>，</w:t>
      </w:r>
      <w:r>
        <w:rPr>
          <w:rFonts w:hint="eastAsia" w:ascii="仿宋" w:hAnsi="仿宋" w:eastAsia="仿宋" w:cs="仿宋"/>
          <w:sz w:val="30"/>
          <w:szCs w:val="30"/>
        </w:rPr>
        <w:t>主动公</w:t>
      </w:r>
      <w:r>
        <w:rPr>
          <w:rFonts w:hint="eastAsia" w:ascii="仿宋" w:hAnsi="仿宋" w:eastAsia="仿宋" w:cs="仿宋"/>
          <w:sz w:val="30"/>
          <w:szCs w:val="30"/>
          <w:lang w:val="en-US" w:eastAsia="zh-CN"/>
        </w:rPr>
        <w:t>示各类</w:t>
      </w:r>
      <w:r>
        <w:rPr>
          <w:rFonts w:hint="eastAsia" w:ascii="仿宋" w:hAnsi="仿宋" w:eastAsia="仿宋" w:cs="仿宋"/>
          <w:sz w:val="30"/>
          <w:szCs w:val="30"/>
        </w:rPr>
        <w:t>执法信息</w:t>
      </w:r>
      <w:r>
        <w:rPr>
          <w:rFonts w:hint="eastAsia" w:ascii="仿宋" w:hAnsi="仿宋" w:eastAsia="仿宋" w:cs="仿宋"/>
          <w:sz w:val="30"/>
          <w:szCs w:val="30"/>
          <w:lang w:val="en-US" w:eastAsia="zh-CN"/>
        </w:rPr>
        <w:t>22项</w:t>
      </w:r>
      <w:r>
        <w:rPr>
          <w:rFonts w:hint="eastAsia" w:ascii="仿宋" w:hAnsi="仿宋" w:eastAsia="仿宋" w:cs="仿宋"/>
          <w:sz w:val="30"/>
          <w:szCs w:val="30"/>
          <w:lang w:eastAsia="zh-CN"/>
        </w:rPr>
        <w:t>、</w:t>
      </w:r>
      <w:r>
        <w:rPr>
          <w:rFonts w:hint="eastAsia" w:ascii="仿宋" w:hAnsi="仿宋" w:eastAsia="仿宋" w:cs="仿宋"/>
          <w:sz w:val="30"/>
          <w:szCs w:val="30"/>
        </w:rPr>
        <w:t>权责清单</w:t>
      </w:r>
      <w:r>
        <w:rPr>
          <w:rFonts w:hint="eastAsia" w:ascii="仿宋" w:hAnsi="仿宋" w:eastAsia="仿宋" w:cs="仿宋"/>
          <w:sz w:val="30"/>
          <w:szCs w:val="30"/>
          <w:lang w:val="en-US" w:eastAsia="zh-CN"/>
        </w:rPr>
        <w:t>44项</w:t>
      </w:r>
      <w:r>
        <w:rPr>
          <w:rFonts w:hint="eastAsia" w:ascii="仿宋" w:hAnsi="仿宋" w:eastAsia="仿宋" w:cs="仿宋"/>
          <w:sz w:val="30"/>
          <w:szCs w:val="30"/>
        </w:rPr>
        <w:t>。</w:t>
      </w:r>
      <w:r>
        <w:rPr>
          <w:rFonts w:hint="eastAsia" w:ascii="仿宋" w:hAnsi="仿宋" w:eastAsia="仿宋" w:cs="仿宋"/>
          <w:color w:val="000000"/>
          <w:kern w:val="0"/>
          <w:sz w:val="30"/>
          <w:szCs w:val="30"/>
          <w:lang w:val="en-US" w:eastAsia="zh-CN" w:bidi="ar-SA"/>
        </w:rPr>
        <w:t>加强与市区两级和有关单位的内部协作配合，提升执法办案工作的标准化、规范化水平，并逐步扩展至城市管理领域各个事项。</w:t>
      </w:r>
    </w:p>
    <w:p>
      <w:pPr>
        <w:pStyle w:val="2"/>
        <w:keepNext w:val="0"/>
        <w:keepLines w:val="0"/>
        <w:pageBreakBefore w:val="0"/>
        <w:widowControl/>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shd w:val="clear" w:color="auto" w:fill="FFFFFF"/>
          <w:lang w:val="en-US" w:eastAsia="zh-CN"/>
        </w:rPr>
      </w:pPr>
      <w:r>
        <w:rPr>
          <w:rFonts w:hint="eastAsia" w:ascii="仿宋" w:hAnsi="仿宋" w:eastAsia="仿宋" w:cs="仿宋"/>
          <w:b w:val="0"/>
          <w:bCs w:val="0"/>
          <w:i w:val="0"/>
          <w:iCs w:val="0"/>
          <w:caps w:val="0"/>
          <w:color w:val="000000"/>
          <w:spacing w:val="0"/>
          <w:sz w:val="30"/>
          <w:szCs w:val="30"/>
          <w:shd w:val="clear" w:color="auto" w:fill="FFFFFF"/>
          <w:lang w:val="en-US" w:eastAsia="zh-CN"/>
        </w:rPr>
        <w:t>2.</w:t>
      </w:r>
      <w:r>
        <w:rPr>
          <w:rFonts w:hint="eastAsia" w:ascii="仿宋" w:hAnsi="仿宋" w:eastAsia="仿宋" w:cs="仿宋"/>
          <w:b w:val="0"/>
          <w:bCs w:val="0"/>
          <w:i w:val="0"/>
          <w:iCs w:val="0"/>
          <w:caps w:val="0"/>
          <w:color w:val="000000"/>
          <w:spacing w:val="0"/>
          <w:sz w:val="30"/>
          <w:szCs w:val="30"/>
          <w:shd w:val="clear" w:color="auto" w:fill="FFFFFF"/>
        </w:rPr>
        <w:t>推进市容</w:t>
      </w:r>
      <w:r>
        <w:rPr>
          <w:rFonts w:hint="eastAsia" w:ascii="仿宋" w:hAnsi="仿宋" w:eastAsia="仿宋" w:cs="仿宋"/>
          <w:b w:val="0"/>
          <w:bCs w:val="0"/>
          <w:i w:val="0"/>
          <w:iCs w:val="0"/>
          <w:caps w:val="0"/>
          <w:color w:val="000000"/>
          <w:spacing w:val="0"/>
          <w:sz w:val="30"/>
          <w:szCs w:val="30"/>
          <w:shd w:val="clear" w:color="auto" w:fill="FFFFFF"/>
          <w:lang w:val="en-US" w:eastAsia="zh-CN"/>
        </w:rPr>
        <w:t>秩序</w:t>
      </w:r>
      <w:r>
        <w:rPr>
          <w:rFonts w:hint="eastAsia" w:ascii="仿宋" w:hAnsi="仿宋" w:eastAsia="仿宋" w:cs="仿宋"/>
          <w:b w:val="0"/>
          <w:bCs w:val="0"/>
          <w:i w:val="0"/>
          <w:iCs w:val="0"/>
          <w:caps w:val="0"/>
          <w:color w:val="000000"/>
          <w:spacing w:val="0"/>
          <w:sz w:val="30"/>
          <w:szCs w:val="30"/>
          <w:shd w:val="clear" w:color="auto" w:fill="FFFFFF"/>
        </w:rPr>
        <w:t>常态化管理</w:t>
      </w:r>
      <w:r>
        <w:rPr>
          <w:rFonts w:hint="eastAsia" w:ascii="仿宋" w:hAnsi="仿宋" w:eastAsia="仿宋" w:cs="仿宋"/>
          <w:b w:val="0"/>
          <w:bCs w:val="0"/>
          <w:i w:val="0"/>
          <w:iCs w:val="0"/>
          <w:caps w:val="0"/>
          <w:color w:val="000000"/>
          <w:spacing w:val="0"/>
          <w:sz w:val="30"/>
          <w:szCs w:val="30"/>
          <w:shd w:val="clear" w:color="auto" w:fill="FFFFFF"/>
          <w:lang w:eastAsia="zh-CN"/>
        </w:rPr>
        <w:t>，</w:t>
      </w:r>
      <w:r>
        <w:rPr>
          <w:rFonts w:hint="eastAsia" w:ascii="仿宋" w:hAnsi="仿宋" w:eastAsia="仿宋" w:cs="仿宋"/>
          <w:b w:val="0"/>
          <w:bCs w:val="0"/>
          <w:i w:val="0"/>
          <w:iCs w:val="0"/>
          <w:caps w:val="0"/>
          <w:color w:val="000000"/>
          <w:spacing w:val="0"/>
          <w:sz w:val="30"/>
          <w:szCs w:val="30"/>
          <w:shd w:val="clear" w:color="auto" w:fill="FFFFFF"/>
        </w:rPr>
        <w:t>市容</w:t>
      </w:r>
      <w:r>
        <w:rPr>
          <w:rFonts w:hint="eastAsia" w:ascii="仿宋" w:hAnsi="仿宋" w:eastAsia="仿宋" w:cs="仿宋"/>
          <w:b w:val="0"/>
          <w:bCs w:val="0"/>
          <w:i w:val="0"/>
          <w:iCs w:val="0"/>
          <w:caps w:val="0"/>
          <w:color w:val="000000"/>
          <w:spacing w:val="0"/>
          <w:sz w:val="30"/>
          <w:szCs w:val="30"/>
          <w:shd w:val="clear" w:color="auto" w:fill="FFFFFF"/>
          <w:lang w:val="en-US" w:eastAsia="zh-CN"/>
        </w:rPr>
        <w:t>秩序</w:t>
      </w:r>
      <w:r>
        <w:rPr>
          <w:rFonts w:hint="eastAsia" w:ascii="仿宋" w:hAnsi="仿宋" w:eastAsia="仿宋" w:cs="仿宋"/>
          <w:b w:val="0"/>
          <w:bCs w:val="0"/>
          <w:i w:val="0"/>
          <w:iCs w:val="0"/>
          <w:caps w:val="0"/>
          <w:color w:val="000000"/>
          <w:spacing w:val="0"/>
          <w:sz w:val="30"/>
          <w:szCs w:val="30"/>
          <w:shd w:val="clear" w:color="auto" w:fill="FFFFFF"/>
        </w:rPr>
        <w:t>整治成效明显</w:t>
      </w:r>
    </w:p>
    <w:p>
      <w:pPr>
        <w:pageBreakBefore w:val="0"/>
        <w:kinsoku/>
        <w:overflowPunct/>
        <w:topLinePunct w:val="0"/>
        <w:bidi w:val="0"/>
        <w:snapToGrid/>
        <w:spacing w:line="600" w:lineRule="exact"/>
        <w:ind w:firstLine="600" w:firstLineChars="200"/>
        <w:rPr>
          <w:rFonts w:hint="eastAsia" w:ascii="仿宋" w:hAnsi="仿宋" w:eastAsia="仿宋" w:cs="仿宋"/>
          <w:b w:val="0"/>
          <w:bCs w:val="0"/>
          <w:color w:val="000000"/>
          <w:kern w:val="0"/>
          <w:sz w:val="30"/>
          <w:szCs w:val="30"/>
          <w:lang w:val="en-US" w:eastAsia="zh-CN" w:bidi="ar"/>
        </w:rPr>
      </w:pPr>
      <w:r>
        <w:rPr>
          <w:rFonts w:hint="eastAsia" w:ascii="仿宋" w:hAnsi="仿宋" w:eastAsia="仿宋" w:cs="仿宋"/>
          <w:b w:val="0"/>
          <w:bCs w:val="0"/>
          <w:kern w:val="0"/>
          <w:sz w:val="30"/>
          <w:szCs w:val="30"/>
          <w:lang w:val="en-US" w:eastAsia="zh-CN" w:bidi="ar-SA"/>
        </w:rPr>
        <w:t>一是加强市容秩序常态管理。</w:t>
      </w:r>
      <w:r>
        <w:rPr>
          <w:rFonts w:hint="eastAsia" w:ascii="仿宋" w:hAnsi="仿宋" w:eastAsia="仿宋" w:cs="仿宋"/>
          <w:b w:val="0"/>
          <w:bCs w:val="0"/>
          <w:color w:val="000000"/>
          <w:kern w:val="0"/>
          <w:sz w:val="30"/>
          <w:szCs w:val="30"/>
          <w:lang w:val="en-US" w:eastAsia="zh-CN" w:bidi="ar"/>
        </w:rPr>
        <w:t>加强对商户的宣传引导，落实“门前三包”“路（巷）长制”等责任制度，采取“5+2”“白+黑”等工作方式，强化分片包干、集中整治等措施，突出对城区主次干道、学校周边、</w:t>
      </w:r>
      <w:r>
        <w:rPr>
          <w:rFonts w:hint="eastAsia" w:ascii="仿宋" w:hAnsi="仿宋" w:eastAsia="仿宋" w:cs="仿宋"/>
          <w:b w:val="0"/>
          <w:bCs w:val="0"/>
          <w:sz w:val="30"/>
          <w:szCs w:val="30"/>
          <w:lang w:eastAsia="zh-CN"/>
        </w:rPr>
        <w:t>“一江三路”</w:t>
      </w:r>
      <w:r>
        <w:rPr>
          <w:rFonts w:hint="eastAsia" w:ascii="仿宋" w:hAnsi="仿宋" w:eastAsia="仿宋" w:cs="仿宋"/>
          <w:b w:val="0"/>
          <w:bCs w:val="0"/>
          <w:color w:val="000000"/>
          <w:kern w:val="0"/>
          <w:sz w:val="30"/>
          <w:szCs w:val="30"/>
          <w:lang w:val="en-US" w:eastAsia="zh-CN" w:bidi="ar"/>
        </w:rPr>
        <w:t>等重点区域，以及占道经营、流动摊贩的治理，在朝阳市场周边、志溪河市场等重点部位开展整治行动30余次，规范处理店外经营及门前堆物1300余处，登记保存经营物品265件。并针对流动摊点疏导整治难的问题，坚持因势利导、堵疏结合，科学设置临时疏导点6处，有效遏制了流动经营现象的发生。</w:t>
      </w:r>
    </w:p>
    <w:p>
      <w:pPr>
        <w:pageBreakBefore w:val="0"/>
        <w:kinsoku/>
        <w:overflowPunct/>
        <w:topLinePunct w:val="0"/>
        <w:bidi w:val="0"/>
        <w:snapToGrid/>
        <w:spacing w:line="600" w:lineRule="exact"/>
        <w:ind w:firstLine="600" w:firstLineChars="200"/>
        <w:rPr>
          <w:rFonts w:hint="eastAsia" w:ascii="仿宋" w:hAnsi="仿宋" w:eastAsia="仿宋" w:cs="仿宋"/>
          <w:b w:val="0"/>
          <w:bCs w:val="0"/>
          <w:color w:val="000000"/>
          <w:kern w:val="0"/>
          <w:sz w:val="30"/>
          <w:szCs w:val="30"/>
          <w:lang w:val="en-US" w:eastAsia="zh-CN" w:bidi="ar"/>
        </w:rPr>
      </w:pPr>
      <w:r>
        <w:rPr>
          <w:rFonts w:hint="eastAsia" w:ascii="仿宋" w:hAnsi="仿宋" w:eastAsia="仿宋" w:cs="仿宋"/>
          <w:b w:val="0"/>
          <w:bCs w:val="0"/>
          <w:kern w:val="0"/>
          <w:sz w:val="30"/>
          <w:szCs w:val="30"/>
          <w:lang w:val="en-US" w:eastAsia="zh-CN" w:bidi="ar-SA"/>
        </w:rPr>
        <w:t>二是开展各类专项整治行动。</w:t>
      </w:r>
      <w:r>
        <w:rPr>
          <w:rFonts w:hint="eastAsia" w:ascii="仿宋" w:hAnsi="仿宋" w:eastAsia="仿宋" w:cs="仿宋"/>
          <w:b w:val="0"/>
          <w:bCs w:val="0"/>
          <w:color w:val="000000"/>
          <w:kern w:val="0"/>
          <w:sz w:val="30"/>
          <w:szCs w:val="30"/>
          <w:lang w:val="en-US" w:eastAsia="zh-CN" w:bidi="ar"/>
        </w:rPr>
        <w:t>对标国卫复审、创文迎检标准，开展广告招牌、“牛皮癣”、交通顽瘴痼疾、开犬类管理等各类集中整治行动110余次，依法强制拆除破损及存在安全隐患广告牌匾1260余处、9300余平方米，清除“牛皮癣”5万余张、采集号码550余个，整治以路为市、占道经营的现象1000余次，巡查施工工地渣土运输车2000余次整顿环卫未悬挂车牌35台次，规范夜市秩序1500余次，印发张贴《益阳市中心城区犬证办理流程》3000余份,启动网上养犬登记服务，配合定点诊疗医院核发智能犬牌2890块，处理有关犬类扰民热线162条。</w:t>
      </w:r>
    </w:p>
    <w:p>
      <w:pPr>
        <w:pStyle w:val="2"/>
        <w:keepNext w:val="0"/>
        <w:keepLines w:val="0"/>
        <w:pageBreakBefore w:val="0"/>
        <w:widowControl/>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i w:val="0"/>
          <w:iCs w:val="0"/>
          <w:caps w:val="0"/>
          <w:color w:val="000000"/>
          <w:spacing w:val="0"/>
          <w:sz w:val="30"/>
          <w:szCs w:val="30"/>
          <w:shd w:val="clear" w:color="auto" w:fill="FFFFFF"/>
          <w:lang w:val="en-US" w:eastAsia="zh-CN"/>
        </w:rPr>
        <w:t>3.加强</w:t>
      </w:r>
      <w:r>
        <w:rPr>
          <w:rFonts w:hint="eastAsia" w:ascii="仿宋" w:hAnsi="仿宋" w:eastAsia="仿宋" w:cs="仿宋"/>
          <w:b w:val="0"/>
          <w:bCs w:val="0"/>
          <w:i w:val="0"/>
          <w:iCs w:val="0"/>
          <w:caps w:val="0"/>
          <w:color w:val="000000"/>
          <w:spacing w:val="0"/>
          <w:sz w:val="30"/>
          <w:szCs w:val="30"/>
          <w:shd w:val="clear" w:color="auto" w:fill="FFFFFF"/>
        </w:rPr>
        <w:t>卫</w:t>
      </w:r>
      <w:r>
        <w:rPr>
          <w:rFonts w:hint="eastAsia" w:ascii="仿宋" w:hAnsi="仿宋" w:eastAsia="仿宋" w:cs="仿宋"/>
          <w:b w:val="0"/>
          <w:bCs w:val="0"/>
          <w:i w:val="0"/>
          <w:iCs w:val="0"/>
          <w:caps w:val="0"/>
          <w:color w:val="000000"/>
          <w:spacing w:val="0"/>
          <w:sz w:val="30"/>
          <w:szCs w:val="30"/>
          <w:shd w:val="clear" w:color="auto" w:fill="FFFFFF"/>
          <w:lang w:val="en-US" w:eastAsia="zh-CN"/>
        </w:rPr>
        <w:t>生</w:t>
      </w:r>
      <w:r>
        <w:rPr>
          <w:rFonts w:hint="eastAsia" w:ascii="仿宋" w:hAnsi="仿宋" w:eastAsia="仿宋" w:cs="仿宋"/>
          <w:b w:val="0"/>
          <w:bCs w:val="0"/>
          <w:i w:val="0"/>
          <w:iCs w:val="0"/>
          <w:caps w:val="0"/>
          <w:color w:val="000000"/>
          <w:spacing w:val="0"/>
          <w:sz w:val="30"/>
          <w:szCs w:val="30"/>
          <w:shd w:val="clear" w:color="auto" w:fill="FFFFFF"/>
        </w:rPr>
        <w:t>保洁精细管理</w:t>
      </w:r>
      <w:r>
        <w:rPr>
          <w:rFonts w:hint="eastAsia" w:ascii="仿宋" w:hAnsi="仿宋" w:eastAsia="仿宋" w:cs="仿宋"/>
          <w:b w:val="0"/>
          <w:bCs w:val="0"/>
          <w:i w:val="0"/>
          <w:iCs w:val="0"/>
          <w:caps w:val="0"/>
          <w:color w:val="000000"/>
          <w:spacing w:val="0"/>
          <w:sz w:val="30"/>
          <w:szCs w:val="30"/>
          <w:shd w:val="clear" w:color="auto" w:fill="FFFFFF"/>
          <w:lang w:eastAsia="zh-CN"/>
        </w:rPr>
        <w:t>，</w:t>
      </w:r>
      <w:r>
        <w:rPr>
          <w:rFonts w:hint="eastAsia" w:ascii="仿宋" w:hAnsi="仿宋" w:eastAsia="仿宋" w:cs="仿宋"/>
          <w:b w:val="0"/>
          <w:bCs w:val="0"/>
          <w:i w:val="0"/>
          <w:iCs w:val="0"/>
          <w:caps w:val="0"/>
          <w:color w:val="000000"/>
          <w:spacing w:val="0"/>
          <w:sz w:val="30"/>
          <w:szCs w:val="30"/>
          <w:shd w:val="clear" w:color="auto" w:fill="FFFFFF"/>
          <w:lang w:val="en-US" w:eastAsia="zh-CN"/>
        </w:rPr>
        <w:t>环境卫生质量实现新跨越</w:t>
      </w:r>
    </w:p>
    <w:p>
      <w:pPr>
        <w:pStyle w:val="4"/>
        <w:pageBreakBefore w:val="0"/>
        <w:widowControl/>
        <w:shd w:val="clear" w:color="auto" w:fill="FFFFFF"/>
        <w:kinsoku/>
        <w:overflowPunct/>
        <w:topLinePunct w:val="0"/>
        <w:bidi w:val="0"/>
        <w:snapToGrid/>
        <w:spacing w:before="0" w:beforeAutospacing="0" w:after="0" w:afterAutospacing="0" w:line="600" w:lineRule="exact"/>
        <w:ind w:firstLine="600" w:firstLineChars="200"/>
        <w:jc w:val="both"/>
        <w:rPr>
          <w:rFonts w:hint="eastAsia" w:ascii="仿宋" w:hAnsi="仿宋" w:eastAsia="仿宋" w:cs="仿宋"/>
          <w:sz w:val="30"/>
          <w:szCs w:val="30"/>
          <w:lang w:val="en-US" w:eastAsia="zh-CN"/>
        </w:rPr>
      </w:pPr>
      <w:r>
        <w:rPr>
          <w:rFonts w:hint="eastAsia" w:ascii="仿宋" w:hAnsi="仿宋" w:eastAsia="仿宋" w:cs="仿宋"/>
          <w:b w:val="0"/>
          <w:bCs w:val="0"/>
          <w:color w:val="000000"/>
          <w:kern w:val="0"/>
          <w:sz w:val="30"/>
          <w:szCs w:val="30"/>
          <w:lang w:val="en-US" w:eastAsia="zh-CN" w:bidi="ar"/>
        </w:rPr>
        <w:t>一是加大清扫保洁力度。</w:t>
      </w:r>
      <w:r>
        <w:rPr>
          <w:rFonts w:hint="eastAsia" w:ascii="仿宋" w:hAnsi="仿宋" w:eastAsia="仿宋" w:cs="仿宋"/>
          <w:b w:val="0"/>
          <w:bCs w:val="0"/>
          <w:sz w:val="30"/>
          <w:szCs w:val="30"/>
          <w:lang w:val="en-US" w:eastAsia="zh-CN"/>
        </w:rPr>
        <w:t>加大环卫硬件设施建设，新建乡镇垃圾中转站5座，维护维修站厕、公厕16座，采购各类工作车辆、设备71台。严格督促市场化保洁公司落实道路清扫保洁“六净”“六无”标准，深入开展城市道路大清扫、“城市家</w:t>
      </w:r>
      <w:r>
        <w:rPr>
          <w:rFonts w:hint="eastAsia" w:ascii="仿宋" w:hAnsi="仿宋" w:eastAsia="仿宋" w:cs="仿宋"/>
          <w:sz w:val="30"/>
          <w:szCs w:val="30"/>
          <w:lang w:val="en-US" w:eastAsia="zh-CN"/>
        </w:rPr>
        <w:t>具”大清洗、市容环境大清理等活动，全年清运垃圾17万余吨，辖区53条主次干道、327条背街小巷、552个居民庭院以及城中村、城乡结合部、空坪穴地全覆盖等保洁区域环境卫生质量有新突破，城区68个公厕，361个蹲位保洁难的问题得到有效解决。同时，圆满完成全市防汛抢险应急演练、区委经济工作会议以及中央、省、市领导视察等特殊节点环境卫生保障活动20余次。</w:t>
      </w:r>
    </w:p>
    <w:p>
      <w:pPr>
        <w:pageBreakBefore w:val="0"/>
        <w:kinsoku/>
        <w:overflowPunct/>
        <w:topLinePunct w:val="0"/>
        <w:bidi w:val="0"/>
        <w:snapToGrid/>
        <w:spacing w:line="600" w:lineRule="exact"/>
        <w:ind w:firstLine="600" w:firstLineChars="200"/>
        <w:jc w:val="both"/>
        <w:rPr>
          <w:rFonts w:hint="eastAsia" w:ascii="仿宋" w:hAnsi="仿宋" w:eastAsia="仿宋" w:cs="仿宋"/>
          <w:sz w:val="30"/>
          <w:szCs w:val="30"/>
          <w:lang w:val="en-US" w:eastAsia="zh-CN"/>
        </w:rPr>
      </w:pPr>
      <w:r>
        <w:rPr>
          <w:rFonts w:hint="eastAsia" w:ascii="仿宋" w:hAnsi="仿宋" w:eastAsia="仿宋" w:cs="仿宋"/>
          <w:b w:val="0"/>
          <w:bCs w:val="0"/>
          <w:color w:val="000000"/>
          <w:kern w:val="0"/>
          <w:sz w:val="30"/>
          <w:szCs w:val="30"/>
          <w:lang w:val="en-US" w:eastAsia="zh-CN" w:bidi="ar"/>
        </w:rPr>
        <w:t>二是推进垃圾分类。</w:t>
      </w:r>
      <w:r>
        <w:rPr>
          <w:rFonts w:hint="eastAsia" w:ascii="仿宋" w:hAnsi="仿宋" w:eastAsia="仿宋" w:cs="仿宋"/>
          <w:b w:val="0"/>
          <w:bCs w:val="0"/>
          <w:sz w:val="30"/>
          <w:szCs w:val="30"/>
          <w:lang w:val="en-US" w:eastAsia="zh-CN"/>
        </w:rPr>
        <w:t>积极开展垃圾分类主题宣教、人才培养、设施投入、考核评估等工作。</w:t>
      </w:r>
      <w:r>
        <w:rPr>
          <w:rFonts w:hint="eastAsia" w:ascii="仿宋" w:hAnsi="仿宋" w:eastAsia="仿宋" w:cs="仿宋"/>
          <w:b w:val="0"/>
          <w:bCs w:val="0"/>
          <w:color w:val="000000"/>
          <w:kern w:val="0"/>
          <w:sz w:val="30"/>
          <w:szCs w:val="30"/>
          <w:lang w:val="en-US" w:eastAsia="zh-CN" w:bidi="ar"/>
        </w:rPr>
        <w:t>在城区</w:t>
      </w:r>
      <w:r>
        <w:rPr>
          <w:rFonts w:hint="eastAsia" w:ascii="仿宋" w:hAnsi="仿宋" w:eastAsia="仿宋" w:cs="仿宋"/>
          <w:sz w:val="30"/>
          <w:szCs w:val="30"/>
          <w:lang w:val="en-US" w:eastAsia="zh-CN"/>
        </w:rPr>
        <w:t>共设置宣传栏、垃圾分类投放指引220余处，举办垃圾分类主题宣传活动60多场次，发放宣传册11万多册，培训垃圾分类宣讲师72名、督导员622名、志愿者4279名，建成生活垃圾四分类亭及配套设施269座，三分类垃圾容器540多组，两分类垃圾容器4000组，督导</w:t>
      </w:r>
      <w:r>
        <w:rPr>
          <w:rFonts w:hint="eastAsia" w:ascii="仿宋" w:hAnsi="仿宋" w:eastAsia="仿宋" w:cs="仿宋"/>
          <w:color w:val="000000"/>
          <w:kern w:val="0"/>
          <w:sz w:val="30"/>
          <w:szCs w:val="30"/>
          <w:lang w:val="en-US" w:eastAsia="zh-CN" w:bidi="ar"/>
        </w:rPr>
        <w:t>桃花仑、金银山街道建成</w:t>
      </w:r>
      <w:r>
        <w:rPr>
          <w:rFonts w:hint="eastAsia" w:ascii="仿宋" w:hAnsi="仿宋" w:eastAsia="仿宋" w:cs="仿宋"/>
          <w:sz w:val="30"/>
          <w:szCs w:val="30"/>
          <w:lang w:val="en-US" w:eastAsia="zh-CN"/>
        </w:rPr>
        <w:t>生活垃圾分类收运示范点，并通过省级验收。</w:t>
      </w:r>
    </w:p>
    <w:p>
      <w:pPr>
        <w:pStyle w:val="2"/>
        <w:pageBreakBefore w:val="0"/>
        <w:kinsoku/>
        <w:overflowPunct/>
        <w:topLinePunct w:val="0"/>
        <w:bidi w:val="0"/>
        <w:snapToGrid/>
        <w:spacing w:line="600" w:lineRule="exact"/>
        <w:ind w:firstLine="600" w:firstLineChars="200"/>
        <w:jc w:val="both"/>
        <w:rPr>
          <w:rStyle w:val="7"/>
          <w:rFonts w:hint="eastAsia" w:ascii="仿宋" w:hAnsi="仿宋" w:eastAsia="仿宋" w:cs="仿宋"/>
          <w:b w:val="0"/>
          <w:bCs/>
          <w:sz w:val="30"/>
          <w:szCs w:val="30"/>
          <w:lang w:eastAsia="zh-CN"/>
        </w:rPr>
      </w:pPr>
      <w:r>
        <w:rPr>
          <w:rStyle w:val="7"/>
          <w:rFonts w:hint="eastAsia" w:ascii="仿宋" w:hAnsi="仿宋" w:eastAsia="仿宋" w:cs="仿宋"/>
          <w:b w:val="0"/>
          <w:bCs/>
          <w:sz w:val="30"/>
          <w:szCs w:val="30"/>
          <w:lang w:val="en-US" w:eastAsia="zh-CN"/>
        </w:rPr>
        <w:t xml:space="preserve"> 4.</w:t>
      </w:r>
      <w:r>
        <w:rPr>
          <w:rStyle w:val="7"/>
          <w:rFonts w:hint="eastAsia" w:ascii="仿宋" w:hAnsi="仿宋" w:eastAsia="仿宋" w:cs="仿宋"/>
          <w:b w:val="0"/>
          <w:bCs/>
          <w:sz w:val="30"/>
          <w:szCs w:val="30"/>
        </w:rPr>
        <w:t>推进</w:t>
      </w:r>
      <w:r>
        <w:rPr>
          <w:rStyle w:val="7"/>
          <w:rFonts w:hint="eastAsia" w:ascii="仿宋" w:hAnsi="仿宋" w:eastAsia="仿宋" w:cs="仿宋"/>
          <w:b w:val="0"/>
          <w:bCs/>
          <w:sz w:val="30"/>
          <w:szCs w:val="30"/>
          <w:lang w:val="en-US" w:eastAsia="zh-CN"/>
        </w:rPr>
        <w:t>城乡人居环境</w:t>
      </w:r>
      <w:r>
        <w:rPr>
          <w:rStyle w:val="7"/>
          <w:rFonts w:hint="eastAsia" w:ascii="仿宋" w:hAnsi="仿宋" w:eastAsia="仿宋" w:cs="仿宋"/>
          <w:b w:val="0"/>
          <w:bCs/>
          <w:sz w:val="30"/>
          <w:szCs w:val="30"/>
        </w:rPr>
        <w:t>综合治理</w:t>
      </w:r>
      <w:r>
        <w:rPr>
          <w:rStyle w:val="7"/>
          <w:rFonts w:hint="eastAsia" w:ascii="仿宋" w:hAnsi="仿宋" w:eastAsia="仿宋" w:cs="仿宋"/>
          <w:b w:val="0"/>
          <w:bCs/>
          <w:sz w:val="30"/>
          <w:szCs w:val="30"/>
          <w:lang w:eastAsia="zh-CN"/>
        </w:rPr>
        <w:t>，</w:t>
      </w:r>
      <w:r>
        <w:rPr>
          <w:rStyle w:val="7"/>
          <w:rFonts w:hint="eastAsia" w:ascii="仿宋" w:hAnsi="仿宋" w:eastAsia="仿宋" w:cs="仿宋"/>
          <w:b w:val="0"/>
          <w:bCs/>
          <w:sz w:val="30"/>
          <w:szCs w:val="30"/>
        </w:rPr>
        <w:t>促进城乡</w:t>
      </w:r>
      <w:r>
        <w:rPr>
          <w:rStyle w:val="7"/>
          <w:rFonts w:hint="eastAsia" w:ascii="仿宋" w:hAnsi="仿宋" w:eastAsia="仿宋" w:cs="仿宋"/>
          <w:b w:val="0"/>
          <w:bCs/>
          <w:sz w:val="30"/>
          <w:szCs w:val="30"/>
          <w:lang w:val="en-US" w:eastAsia="zh-CN"/>
        </w:rPr>
        <w:t>建设</w:t>
      </w:r>
      <w:r>
        <w:rPr>
          <w:rStyle w:val="7"/>
          <w:rFonts w:hint="eastAsia" w:ascii="仿宋" w:hAnsi="仿宋" w:eastAsia="仿宋" w:cs="仿宋"/>
          <w:b w:val="0"/>
          <w:bCs/>
          <w:sz w:val="30"/>
          <w:szCs w:val="30"/>
        </w:rPr>
        <w:t>提质增效</w:t>
      </w:r>
    </w:p>
    <w:p>
      <w:pPr>
        <w:pStyle w:val="2"/>
        <w:pageBreakBefore w:val="0"/>
        <w:kinsoku/>
        <w:overflowPunct/>
        <w:topLinePunct w:val="0"/>
        <w:bidi w:val="0"/>
        <w:snapToGrid/>
        <w:spacing w:line="600" w:lineRule="exact"/>
        <w:ind w:firstLine="600" w:firstLineChars="200"/>
        <w:jc w:val="both"/>
        <w:rPr>
          <w:rFonts w:hint="eastAsia" w:ascii="仿宋" w:hAnsi="仿宋" w:eastAsia="仿宋" w:cs="仿宋"/>
          <w:b w:val="0"/>
          <w:bCs w:val="0"/>
          <w:kern w:val="0"/>
          <w:sz w:val="30"/>
          <w:szCs w:val="30"/>
          <w:lang w:val="en-US" w:eastAsia="zh-CN" w:bidi="ar"/>
        </w:rPr>
      </w:pPr>
      <w:r>
        <w:rPr>
          <w:rFonts w:hint="eastAsia" w:ascii="仿宋" w:hAnsi="仿宋" w:eastAsia="仿宋" w:cs="仿宋"/>
          <w:b w:val="0"/>
          <w:bCs w:val="0"/>
          <w:kern w:val="0"/>
          <w:sz w:val="30"/>
          <w:szCs w:val="30"/>
          <w:lang w:val="en-US" w:eastAsia="zh-CN" w:bidi="ar"/>
        </w:rPr>
        <w:t>一是治理违法建设。巩固提升“铁锤行动”成效，扎实开展小区顶楼平台“圈地占用”违法搭建与违规种菜整治，坚持日常巡查、网格化管理、季度考核等机制，并全程跟踪、服务重点建设项目，累计开展拆违行动36次，出动执法人员3200人次，执法车辆210台次，拆除违法建设总面积31333.1平方米，清除抢栽抢种苗木5.8亩、4000余棵，进一步优化了城乡建设秩序。</w:t>
      </w:r>
    </w:p>
    <w:p>
      <w:pPr>
        <w:pStyle w:val="2"/>
        <w:pageBreakBefore w:val="0"/>
        <w:kinsoku/>
        <w:overflowPunct/>
        <w:topLinePunct w:val="0"/>
        <w:bidi w:val="0"/>
        <w:snapToGrid/>
        <w:spacing w:line="600" w:lineRule="exact"/>
        <w:ind w:firstLine="600" w:firstLineChars="200"/>
        <w:jc w:val="both"/>
        <w:rPr>
          <w:rFonts w:hint="eastAsia" w:ascii="仿宋" w:hAnsi="仿宋" w:eastAsia="仿宋" w:cs="仿宋"/>
          <w:b w:val="0"/>
          <w:bCs w:val="0"/>
          <w:kern w:val="0"/>
          <w:sz w:val="30"/>
          <w:szCs w:val="30"/>
          <w:lang w:val="en-US" w:eastAsia="zh-CN" w:bidi="ar"/>
        </w:rPr>
      </w:pPr>
      <w:r>
        <w:rPr>
          <w:rFonts w:hint="eastAsia" w:ascii="仿宋" w:hAnsi="仿宋" w:eastAsia="仿宋" w:cs="仿宋"/>
          <w:b w:val="0"/>
          <w:bCs w:val="0"/>
          <w:kern w:val="0"/>
          <w:sz w:val="30"/>
          <w:szCs w:val="30"/>
          <w:lang w:val="en-US" w:eastAsia="zh-CN" w:bidi="ar"/>
        </w:rPr>
        <w:t>二是加强市政设施建设维护。组织实施 “三微”工程， 投入项目资金1325万元，实施项目60个，有效改善城区基础设施落后、破损的现状。同时，对316条背街小巷、300余个无管理主体小区绿化施行市场化管理养护。启动市政设施普查，普查道路199条107.6公里、桥梁9座、排水管线186条158.05公里、环卫设施49座、路灯照明45.07公里、园林绿化155处599.98公顷。</w:t>
      </w:r>
    </w:p>
    <w:p>
      <w:pPr>
        <w:pStyle w:val="2"/>
        <w:pageBreakBefore w:val="0"/>
        <w:kinsoku/>
        <w:overflowPunct/>
        <w:topLinePunct w:val="0"/>
        <w:bidi w:val="0"/>
        <w:snapToGrid/>
        <w:spacing w:line="600" w:lineRule="exact"/>
        <w:ind w:firstLine="600" w:firstLineChars="200"/>
        <w:jc w:val="both"/>
        <w:rPr>
          <w:rFonts w:hint="eastAsia" w:ascii="仿宋" w:hAnsi="仿宋" w:eastAsia="仿宋" w:cs="仿宋"/>
          <w:b w:val="0"/>
          <w:bCs w:val="0"/>
          <w:kern w:val="0"/>
          <w:sz w:val="30"/>
          <w:szCs w:val="30"/>
          <w:lang w:val="en-US" w:eastAsia="zh-CN" w:bidi="ar"/>
        </w:rPr>
      </w:pPr>
      <w:r>
        <w:rPr>
          <w:rFonts w:hint="eastAsia" w:ascii="仿宋" w:hAnsi="仿宋" w:eastAsia="仿宋" w:cs="仿宋"/>
          <w:b w:val="0"/>
          <w:bCs w:val="0"/>
          <w:kern w:val="0"/>
          <w:sz w:val="30"/>
          <w:szCs w:val="30"/>
          <w:lang w:val="en-US" w:eastAsia="zh-CN" w:bidi="ar"/>
        </w:rPr>
        <w:t>三是推进乡村振兴。盘活岭湖村集体资产，筹集资金138万，帮扶资金5.48万，化解村级债务170万，硬化公路3500米、安装路灯80盏、危桥拆除重建两座、新建公路500米、建设抗旱线1000米，慰问困难群众22户、临时求助70人，岭湖村脱贫户、边缘户无一例返贫致贫，村集体经济收入达到5万。</w:t>
      </w:r>
    </w:p>
    <w:p>
      <w:pPr>
        <w:pageBreakBefore w:val="0"/>
        <w:kinsoku/>
        <w:overflowPunct/>
        <w:topLinePunct w:val="0"/>
        <w:bidi w:val="0"/>
        <w:snapToGrid/>
        <w:spacing w:line="600" w:lineRule="exact"/>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i w:val="0"/>
          <w:iCs w:val="0"/>
          <w:caps w:val="0"/>
          <w:color w:val="000000"/>
          <w:spacing w:val="0"/>
          <w:sz w:val="30"/>
          <w:szCs w:val="30"/>
          <w:shd w:val="clear" w:color="auto" w:fill="FFFFFF"/>
          <w:lang w:val="en-US" w:eastAsia="zh-CN"/>
        </w:rPr>
        <w:t>5.加强生态环境保护，决打好污染防治攻坚战</w:t>
      </w:r>
    </w:p>
    <w:p>
      <w:pPr>
        <w:pStyle w:val="2"/>
        <w:pageBreakBefore w:val="0"/>
        <w:kinsoku/>
        <w:overflowPunct/>
        <w:topLinePunct w:val="0"/>
        <w:bidi w:val="0"/>
        <w:snapToGrid/>
        <w:spacing w:line="600" w:lineRule="exact"/>
        <w:ind w:firstLine="600" w:firstLineChars="200"/>
        <w:jc w:val="both"/>
        <w:rPr>
          <w:rFonts w:hint="eastAsia" w:ascii="仿宋" w:hAnsi="仿宋" w:eastAsia="仿宋" w:cs="仿宋"/>
          <w:b w:val="0"/>
          <w:bCs w:val="0"/>
          <w:kern w:val="0"/>
          <w:sz w:val="30"/>
          <w:szCs w:val="30"/>
          <w:lang w:val="en-US" w:eastAsia="zh-CN" w:bidi="ar"/>
        </w:rPr>
      </w:pPr>
      <w:r>
        <w:rPr>
          <w:rFonts w:hint="eastAsia" w:ascii="仿宋" w:hAnsi="仿宋" w:eastAsia="仿宋" w:cs="仿宋"/>
          <w:b w:val="0"/>
          <w:bCs w:val="0"/>
          <w:kern w:val="0"/>
          <w:sz w:val="30"/>
          <w:szCs w:val="30"/>
          <w:lang w:val="en-US" w:eastAsia="zh-CN" w:bidi="ar"/>
        </w:rPr>
        <w:t>一是加强“两禁”管控。构建以办事处为主体、以社区为单位的禁放宣传、巡查机制，加强城区</w:t>
      </w:r>
      <w:r>
        <w:rPr>
          <w:rFonts w:hint="eastAsia" w:ascii="仿宋" w:hAnsi="仿宋" w:eastAsia="仿宋" w:cs="仿宋"/>
          <w:kern w:val="0"/>
          <w:sz w:val="30"/>
          <w:szCs w:val="30"/>
          <w:lang w:val="en-US" w:eastAsia="zh-CN" w:bidi="ar"/>
        </w:rPr>
        <w:t>内小超市、日杂店、纸扎店等场所的日常监管，强化春节、中元节等节日以及资江风貌带、公墓集中地带等重点部位的管控，联合应急、公安、街道等部门开展综合执法，收缴各类烟花鞭炮200余万响，及时劝导制止烟花鞭炮、焚烧垃圾、熏肉等行为260</w:t>
      </w:r>
      <w:r>
        <w:rPr>
          <w:rFonts w:hint="eastAsia" w:ascii="仿宋" w:hAnsi="仿宋" w:eastAsia="仿宋" w:cs="仿宋"/>
          <w:b w:val="0"/>
          <w:bCs w:val="0"/>
          <w:kern w:val="0"/>
          <w:sz w:val="30"/>
          <w:szCs w:val="30"/>
          <w:lang w:val="en-US" w:eastAsia="zh-CN" w:bidi="ar"/>
        </w:rPr>
        <w:t>余次，“两禁”工作得到市局高度认可。</w:t>
      </w:r>
    </w:p>
    <w:p>
      <w:pPr>
        <w:pStyle w:val="2"/>
        <w:pageBreakBefore w:val="0"/>
        <w:kinsoku/>
        <w:overflowPunct/>
        <w:topLinePunct w:val="0"/>
        <w:bidi w:val="0"/>
        <w:snapToGrid/>
        <w:spacing w:line="600" w:lineRule="exact"/>
        <w:ind w:firstLine="600" w:firstLineChars="200"/>
        <w:jc w:val="both"/>
        <w:rPr>
          <w:rFonts w:hint="eastAsia" w:ascii="仿宋" w:hAnsi="仿宋" w:eastAsia="仿宋" w:cs="仿宋"/>
          <w:b w:val="0"/>
          <w:bCs w:val="0"/>
          <w:kern w:val="0"/>
          <w:sz w:val="30"/>
          <w:szCs w:val="30"/>
          <w:lang w:val="en-US" w:eastAsia="zh-CN" w:bidi="ar"/>
        </w:rPr>
      </w:pPr>
      <w:r>
        <w:rPr>
          <w:rFonts w:hint="eastAsia" w:ascii="仿宋" w:hAnsi="仿宋" w:eastAsia="仿宋" w:cs="仿宋"/>
          <w:b w:val="0"/>
          <w:bCs w:val="0"/>
          <w:kern w:val="0"/>
          <w:sz w:val="30"/>
          <w:szCs w:val="30"/>
          <w:lang w:val="en-US" w:eastAsia="zh-CN" w:bidi="ar"/>
        </w:rPr>
        <w:t>二是加强油烟污染防治。夜班加大巡查整治，对辖区内</w:t>
      </w:r>
      <w:r>
        <w:rPr>
          <w:rFonts w:hint="eastAsia" w:ascii="仿宋" w:hAnsi="仿宋" w:eastAsia="仿宋" w:cs="仿宋"/>
          <w:b w:val="0"/>
          <w:bCs w:val="0"/>
          <w:sz w:val="30"/>
          <w:szCs w:val="30"/>
        </w:rPr>
        <w:t>夜宵烧烤摊点</w:t>
      </w:r>
      <w:r>
        <w:rPr>
          <w:rFonts w:hint="eastAsia" w:ascii="仿宋" w:hAnsi="仿宋" w:eastAsia="仿宋" w:cs="仿宋"/>
          <w:b w:val="0"/>
          <w:bCs w:val="0"/>
          <w:sz w:val="30"/>
          <w:szCs w:val="30"/>
          <w:lang w:eastAsia="zh-CN"/>
        </w:rPr>
        <w:t>、麻辣烫门店</w:t>
      </w:r>
      <w:r>
        <w:rPr>
          <w:rFonts w:hint="eastAsia" w:ascii="仿宋" w:hAnsi="仿宋" w:eastAsia="仿宋" w:cs="仿宋"/>
          <w:b w:val="0"/>
          <w:bCs w:val="0"/>
          <w:kern w:val="0"/>
          <w:sz w:val="30"/>
          <w:szCs w:val="30"/>
          <w:lang w:val="en-US" w:eastAsia="zh-CN" w:bidi="ar"/>
        </w:rPr>
        <w:t>先后2次全面摸底，建立详细台账，核实辖区内夜宵烧烤摊点61个、麻辣烫门店14家，</w:t>
      </w:r>
      <w:r>
        <w:rPr>
          <w:rFonts w:hint="eastAsia" w:ascii="仿宋" w:hAnsi="仿宋" w:eastAsia="仿宋" w:cs="仿宋"/>
          <w:b w:val="0"/>
          <w:bCs w:val="0"/>
          <w:color w:val="000000"/>
          <w:sz w:val="30"/>
          <w:szCs w:val="30"/>
        </w:rPr>
        <w:t>下发</w:t>
      </w:r>
      <w:r>
        <w:rPr>
          <w:rFonts w:hint="eastAsia" w:ascii="仿宋" w:hAnsi="仿宋" w:eastAsia="仿宋" w:cs="仿宋"/>
          <w:b w:val="0"/>
          <w:bCs w:val="0"/>
          <w:color w:val="000000"/>
          <w:sz w:val="30"/>
          <w:szCs w:val="30"/>
          <w:lang w:eastAsia="zh-CN"/>
        </w:rPr>
        <w:t>责令</w:t>
      </w:r>
      <w:r>
        <w:rPr>
          <w:rFonts w:hint="eastAsia" w:ascii="仿宋" w:hAnsi="仿宋" w:eastAsia="仿宋" w:cs="仿宋"/>
          <w:b w:val="0"/>
          <w:bCs w:val="0"/>
          <w:color w:val="000000"/>
          <w:sz w:val="30"/>
          <w:szCs w:val="30"/>
        </w:rPr>
        <w:t>整改</w:t>
      </w:r>
      <w:r>
        <w:rPr>
          <w:rFonts w:hint="eastAsia" w:ascii="仿宋" w:hAnsi="仿宋" w:eastAsia="仿宋" w:cs="仿宋"/>
          <w:b w:val="0"/>
          <w:bCs w:val="0"/>
          <w:color w:val="000000"/>
          <w:sz w:val="30"/>
          <w:szCs w:val="30"/>
          <w:lang w:val="en-US" w:eastAsia="zh-CN"/>
        </w:rPr>
        <w:t>通知</w:t>
      </w:r>
      <w:r>
        <w:rPr>
          <w:rFonts w:hint="eastAsia" w:ascii="仿宋" w:hAnsi="仿宋" w:eastAsia="仿宋" w:cs="仿宋"/>
          <w:b w:val="0"/>
          <w:bCs w:val="0"/>
          <w:color w:val="000000"/>
          <w:sz w:val="30"/>
          <w:szCs w:val="30"/>
        </w:rPr>
        <w:t>2</w:t>
      </w:r>
      <w:r>
        <w:rPr>
          <w:rFonts w:hint="eastAsia" w:ascii="仿宋" w:hAnsi="仿宋" w:eastAsia="仿宋" w:cs="仿宋"/>
          <w:b w:val="0"/>
          <w:bCs w:val="0"/>
          <w:color w:val="000000"/>
          <w:sz w:val="30"/>
          <w:szCs w:val="30"/>
          <w:lang w:val="en-US" w:eastAsia="zh-CN"/>
        </w:rPr>
        <w:t>2</w:t>
      </w:r>
      <w:r>
        <w:rPr>
          <w:rFonts w:hint="eastAsia" w:ascii="仿宋" w:hAnsi="仿宋" w:eastAsia="仿宋" w:cs="仿宋"/>
          <w:b w:val="0"/>
          <w:bCs w:val="0"/>
          <w:color w:val="000000"/>
          <w:sz w:val="30"/>
          <w:szCs w:val="30"/>
        </w:rPr>
        <w:t>份</w:t>
      </w: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kern w:val="0"/>
          <w:sz w:val="30"/>
          <w:szCs w:val="30"/>
          <w:lang w:val="en-US" w:eastAsia="zh-CN" w:bidi="ar"/>
        </w:rPr>
        <w:t>夜宵摊点安装油烟净化设施100%、</w:t>
      </w:r>
      <w:r>
        <w:rPr>
          <w:rFonts w:hint="eastAsia" w:ascii="仿宋" w:hAnsi="仿宋" w:eastAsia="仿宋" w:cs="仿宋"/>
          <w:b w:val="0"/>
          <w:bCs w:val="0"/>
          <w:sz w:val="30"/>
          <w:szCs w:val="30"/>
          <w:lang w:eastAsia="zh-CN"/>
        </w:rPr>
        <w:t>麻辣烫煤改气</w:t>
      </w:r>
      <w:r>
        <w:rPr>
          <w:rFonts w:hint="eastAsia" w:ascii="仿宋" w:hAnsi="仿宋" w:eastAsia="仿宋" w:cs="仿宋"/>
          <w:b w:val="0"/>
          <w:bCs w:val="0"/>
          <w:sz w:val="30"/>
          <w:szCs w:val="30"/>
          <w:lang w:val="en-US" w:eastAsia="zh-CN"/>
        </w:rPr>
        <w:t>100%</w:t>
      </w:r>
    </w:p>
    <w:p>
      <w:pPr>
        <w:pStyle w:val="2"/>
        <w:pageBreakBefore w:val="0"/>
        <w:kinsoku/>
        <w:overflowPunct/>
        <w:topLinePunct w:val="0"/>
        <w:bidi w:val="0"/>
        <w:snapToGrid/>
        <w:spacing w:line="600" w:lineRule="exact"/>
        <w:ind w:firstLine="600" w:firstLineChars="200"/>
        <w:jc w:val="both"/>
        <w:rPr>
          <w:rFonts w:hint="eastAsia" w:ascii="仿宋" w:hAnsi="仿宋" w:eastAsia="仿宋" w:cs="仿宋"/>
          <w:b w:val="0"/>
          <w:bCs w:val="0"/>
          <w:kern w:val="0"/>
          <w:sz w:val="30"/>
          <w:szCs w:val="30"/>
          <w:lang w:val="en-US" w:eastAsia="zh-CN" w:bidi="ar"/>
        </w:rPr>
      </w:pPr>
      <w:r>
        <w:rPr>
          <w:rFonts w:hint="eastAsia" w:ascii="仿宋" w:hAnsi="仿宋" w:eastAsia="仿宋" w:cs="仿宋"/>
          <w:b w:val="0"/>
          <w:bCs w:val="0"/>
          <w:kern w:val="0"/>
          <w:sz w:val="30"/>
          <w:szCs w:val="30"/>
          <w:lang w:val="en-US" w:eastAsia="zh-CN" w:bidi="ar"/>
        </w:rPr>
        <w:t>三是加强渣土管理。狠抓源头治理，突出龙岭工业集中区轴心管理、以点辐射全区建筑垃圾、工程渣土的运输管理，严格落实“六不开工”</w:t>
      </w:r>
      <w:r>
        <w:rPr>
          <w:rFonts w:hint="eastAsia" w:ascii="仿宋" w:hAnsi="仿宋" w:eastAsia="仿宋" w:cs="仿宋"/>
          <w:b w:val="0"/>
          <w:bCs w:val="0"/>
          <w:color w:val="000000"/>
          <w:spacing w:val="-8"/>
          <w:sz w:val="30"/>
          <w:szCs w:val="30"/>
        </w:rPr>
        <w:t>“六个百分百”</w:t>
      </w:r>
      <w:r>
        <w:rPr>
          <w:rFonts w:hint="eastAsia" w:ascii="仿宋" w:hAnsi="仿宋" w:eastAsia="仿宋" w:cs="仿宋"/>
          <w:b w:val="0"/>
          <w:bCs w:val="0"/>
          <w:color w:val="000000"/>
          <w:spacing w:val="-8"/>
          <w:sz w:val="30"/>
          <w:szCs w:val="30"/>
          <w:lang w:val="en-US" w:eastAsia="zh-CN"/>
        </w:rPr>
        <w:t>的</w:t>
      </w:r>
      <w:r>
        <w:rPr>
          <w:rFonts w:hint="eastAsia" w:ascii="仿宋" w:hAnsi="仿宋" w:eastAsia="仿宋" w:cs="仿宋"/>
          <w:b w:val="0"/>
          <w:bCs w:val="0"/>
          <w:kern w:val="0"/>
          <w:sz w:val="30"/>
          <w:szCs w:val="30"/>
          <w:lang w:val="en-US" w:eastAsia="zh-CN" w:bidi="ar"/>
        </w:rPr>
        <w:t>要求，全面施行</w:t>
      </w:r>
      <w:r>
        <w:rPr>
          <w:rFonts w:hint="eastAsia" w:ascii="仿宋" w:hAnsi="仿宋" w:eastAsia="仿宋" w:cs="仿宋"/>
          <w:b w:val="0"/>
          <w:bCs w:val="0"/>
          <w:color w:val="000000"/>
          <w:spacing w:val="-8"/>
          <w:sz w:val="30"/>
          <w:szCs w:val="30"/>
        </w:rPr>
        <w:t>“两点一线”湿化作业</w:t>
      </w:r>
      <w:r>
        <w:rPr>
          <w:rFonts w:hint="eastAsia" w:ascii="仿宋" w:hAnsi="仿宋" w:eastAsia="仿宋" w:cs="仿宋"/>
          <w:b w:val="0"/>
          <w:bCs w:val="0"/>
          <w:color w:val="000000"/>
          <w:spacing w:val="-8"/>
          <w:sz w:val="30"/>
          <w:szCs w:val="30"/>
          <w:lang w:eastAsia="zh-CN"/>
        </w:rPr>
        <w:t>，</w:t>
      </w:r>
      <w:r>
        <w:rPr>
          <w:rFonts w:hint="eastAsia" w:ascii="仿宋" w:hAnsi="仿宋" w:eastAsia="仿宋" w:cs="仿宋"/>
          <w:b w:val="0"/>
          <w:bCs w:val="0"/>
          <w:kern w:val="0"/>
          <w:sz w:val="30"/>
          <w:szCs w:val="30"/>
          <w:lang w:val="en-US" w:eastAsia="zh-CN" w:bidi="ar"/>
        </w:rPr>
        <w:t>严把渣土运输车辆出场关，</w:t>
      </w:r>
      <w:r>
        <w:rPr>
          <w:rFonts w:hint="eastAsia" w:ascii="仿宋" w:hAnsi="仿宋" w:eastAsia="仿宋" w:cs="仿宋"/>
          <w:b w:val="0"/>
          <w:bCs w:val="0"/>
          <w:color w:val="000000"/>
          <w:spacing w:val="-8"/>
          <w:sz w:val="30"/>
          <w:szCs w:val="30"/>
        </w:rPr>
        <w:t>严格落实车辆装载、冲洗、覆盖等标准要求</w:t>
      </w:r>
      <w:r>
        <w:rPr>
          <w:rFonts w:hint="eastAsia" w:ascii="仿宋" w:hAnsi="仿宋" w:eastAsia="仿宋" w:cs="仿宋"/>
          <w:b w:val="0"/>
          <w:bCs w:val="0"/>
          <w:color w:val="000000"/>
          <w:spacing w:val="-8"/>
          <w:sz w:val="30"/>
          <w:szCs w:val="30"/>
          <w:lang w:eastAsia="zh-CN"/>
        </w:rPr>
        <w:t>，</w:t>
      </w:r>
      <w:r>
        <w:rPr>
          <w:rFonts w:hint="eastAsia" w:ascii="仿宋" w:hAnsi="仿宋" w:eastAsia="仿宋" w:cs="仿宋"/>
          <w:b w:val="0"/>
          <w:bCs w:val="0"/>
          <w:color w:val="000000"/>
          <w:spacing w:val="-8"/>
          <w:sz w:val="30"/>
          <w:szCs w:val="30"/>
          <w:lang w:val="en-US" w:eastAsia="zh-CN"/>
        </w:rPr>
        <w:t>办结</w:t>
      </w:r>
      <w:r>
        <w:rPr>
          <w:rFonts w:hint="eastAsia" w:ascii="仿宋" w:hAnsi="仿宋" w:eastAsia="仿宋" w:cs="仿宋"/>
          <w:b w:val="0"/>
          <w:bCs w:val="0"/>
          <w:kern w:val="0"/>
          <w:sz w:val="30"/>
          <w:szCs w:val="30"/>
          <w:lang w:val="en-US" w:eastAsia="zh-CN" w:bidi="ar"/>
        </w:rPr>
        <w:t>建筑垃圾行政许可4件，办理渣土运输线路证56批次，</w:t>
      </w:r>
      <w:r>
        <w:rPr>
          <w:rFonts w:hint="eastAsia" w:ascii="仿宋" w:hAnsi="仿宋" w:eastAsia="仿宋" w:cs="仿宋"/>
          <w:b w:val="0"/>
          <w:bCs w:val="0"/>
          <w:color w:val="000000"/>
          <w:spacing w:val="-8"/>
          <w:sz w:val="30"/>
          <w:szCs w:val="30"/>
        </w:rPr>
        <w:t>处置渣土外运44</w:t>
      </w:r>
      <w:r>
        <w:rPr>
          <w:rFonts w:hint="eastAsia" w:ascii="仿宋" w:hAnsi="仿宋" w:eastAsia="仿宋" w:cs="仿宋"/>
          <w:b w:val="0"/>
          <w:bCs w:val="0"/>
          <w:color w:val="000000"/>
          <w:spacing w:val="-8"/>
          <w:sz w:val="30"/>
          <w:szCs w:val="30"/>
          <w:lang w:val="en-US" w:eastAsia="zh-CN"/>
        </w:rPr>
        <w:t>.</w:t>
      </w:r>
      <w:r>
        <w:rPr>
          <w:rFonts w:hint="eastAsia" w:ascii="仿宋" w:hAnsi="仿宋" w:eastAsia="仿宋" w:cs="仿宋"/>
          <w:b w:val="0"/>
          <w:bCs w:val="0"/>
          <w:color w:val="000000"/>
          <w:spacing w:val="-8"/>
          <w:sz w:val="30"/>
          <w:szCs w:val="30"/>
        </w:rPr>
        <w:t>6</w:t>
      </w:r>
      <w:r>
        <w:rPr>
          <w:rFonts w:hint="eastAsia" w:ascii="仿宋" w:hAnsi="仿宋" w:eastAsia="仿宋" w:cs="仿宋"/>
          <w:b w:val="0"/>
          <w:bCs w:val="0"/>
          <w:color w:val="000000"/>
          <w:spacing w:val="-8"/>
          <w:sz w:val="30"/>
          <w:szCs w:val="30"/>
          <w:lang w:val="en-US" w:eastAsia="zh-CN"/>
        </w:rPr>
        <w:t>7万</w:t>
      </w:r>
      <w:r>
        <w:rPr>
          <w:rFonts w:hint="eastAsia" w:ascii="仿宋" w:hAnsi="仿宋" w:eastAsia="仿宋" w:cs="仿宋"/>
          <w:b w:val="0"/>
          <w:bCs w:val="0"/>
          <w:color w:val="000000"/>
          <w:spacing w:val="-8"/>
          <w:sz w:val="30"/>
          <w:szCs w:val="30"/>
        </w:rPr>
        <w:t>立方米，</w:t>
      </w:r>
      <w:r>
        <w:rPr>
          <w:rFonts w:hint="eastAsia" w:ascii="仿宋" w:hAnsi="仿宋" w:eastAsia="仿宋" w:cs="仿宋"/>
          <w:b w:val="0"/>
          <w:bCs w:val="0"/>
          <w:kern w:val="0"/>
          <w:sz w:val="30"/>
          <w:szCs w:val="30"/>
          <w:lang w:val="en-US" w:eastAsia="zh-CN" w:bidi="ar"/>
        </w:rPr>
        <w:t>依法依规立案8件，指导新建防污设施12处、场内硬化便道96千米、覆盖裸露黄土350余万平</w:t>
      </w:r>
      <w:r>
        <w:rPr>
          <w:rFonts w:hint="eastAsia" w:ascii="仿宋" w:hAnsi="仿宋" w:eastAsia="仿宋" w:cs="仿宋"/>
          <w:kern w:val="0"/>
          <w:sz w:val="30"/>
          <w:szCs w:val="30"/>
          <w:lang w:val="en-US" w:eastAsia="zh-CN" w:bidi="ar"/>
        </w:rPr>
        <w:t>方米、冲洗还洁污染路面360余万平方米</w:t>
      </w:r>
      <w:r>
        <w:rPr>
          <w:rFonts w:hint="eastAsia" w:ascii="仿宋" w:hAnsi="仿宋" w:eastAsia="仿宋" w:cs="仿宋"/>
          <w:b w:val="0"/>
          <w:bCs w:val="0"/>
          <w:kern w:val="0"/>
          <w:sz w:val="30"/>
          <w:szCs w:val="30"/>
          <w:lang w:val="en-US" w:eastAsia="zh-CN" w:bidi="ar"/>
        </w:rPr>
        <w:t>、查处违规运输车辆26台次。</w:t>
      </w:r>
    </w:p>
    <w:p>
      <w:pPr>
        <w:pStyle w:val="2"/>
        <w:pageBreakBefore w:val="0"/>
        <w:kinsoku/>
        <w:overflowPunct/>
        <w:topLinePunct w:val="0"/>
        <w:bidi w:val="0"/>
        <w:snapToGrid/>
        <w:spacing w:line="600" w:lineRule="exact"/>
        <w:ind w:firstLine="600" w:firstLineChars="200"/>
        <w:jc w:val="both"/>
        <w:rPr>
          <w:rFonts w:hint="eastAsia" w:ascii="仿宋" w:hAnsi="仿宋" w:eastAsia="仿宋" w:cs="仿宋"/>
          <w:b w:val="0"/>
          <w:bCs w:val="0"/>
          <w:kern w:val="0"/>
          <w:sz w:val="30"/>
          <w:szCs w:val="30"/>
          <w:lang w:val="en-US" w:eastAsia="zh-CN" w:bidi="ar"/>
        </w:rPr>
      </w:pPr>
      <w:r>
        <w:rPr>
          <w:rFonts w:hint="eastAsia" w:ascii="仿宋" w:hAnsi="仿宋" w:eastAsia="仿宋" w:cs="仿宋"/>
          <w:b w:val="0"/>
          <w:bCs w:val="0"/>
          <w:kern w:val="0"/>
          <w:sz w:val="30"/>
          <w:szCs w:val="30"/>
          <w:lang w:val="en-US" w:eastAsia="zh-CN" w:bidi="ar"/>
        </w:rPr>
        <w:t>6.内强素质外树形象，于细于微彰显为民新风采</w:t>
      </w:r>
    </w:p>
    <w:p>
      <w:pPr>
        <w:pStyle w:val="2"/>
        <w:pageBreakBefore w:val="0"/>
        <w:kinsoku/>
        <w:overflowPunct/>
        <w:topLinePunct w:val="0"/>
        <w:bidi w:val="0"/>
        <w:snapToGrid/>
        <w:spacing w:line="600" w:lineRule="exact"/>
        <w:ind w:firstLine="600" w:firstLineChars="200"/>
        <w:jc w:val="both"/>
        <w:rPr>
          <w:rFonts w:hint="eastAsia" w:ascii="仿宋" w:hAnsi="仿宋" w:eastAsia="仿宋" w:cs="仿宋"/>
          <w:b w:val="0"/>
          <w:bCs w:val="0"/>
          <w:kern w:val="0"/>
          <w:sz w:val="30"/>
          <w:szCs w:val="30"/>
          <w:lang w:val="en-US" w:eastAsia="zh-CN" w:bidi="ar"/>
        </w:rPr>
      </w:pPr>
      <w:r>
        <w:rPr>
          <w:rFonts w:hint="eastAsia" w:ascii="仿宋" w:hAnsi="仿宋" w:eastAsia="仿宋" w:cs="仿宋"/>
          <w:b w:val="0"/>
          <w:bCs w:val="0"/>
          <w:kern w:val="0"/>
          <w:sz w:val="30"/>
          <w:szCs w:val="30"/>
          <w:lang w:val="en-US" w:eastAsia="zh-CN" w:bidi="ar"/>
        </w:rPr>
        <w:t xml:space="preserve"> 一是强化宣传报道。强化新闻报道激励措施，编辑《赫山城市管理工作简报》，加强与区融媒体中心的签约合作，大力宣传推介城市管理工作，在中国新闻网、《益阳日报》等主流媒体刊发稿件近100余篇、视频新闻10余篇。</w:t>
      </w:r>
    </w:p>
    <w:p>
      <w:pPr>
        <w:pStyle w:val="2"/>
        <w:pageBreakBefore w:val="0"/>
        <w:kinsoku/>
        <w:overflowPunct/>
        <w:topLinePunct w:val="0"/>
        <w:bidi w:val="0"/>
        <w:snapToGrid/>
        <w:spacing w:line="600" w:lineRule="exact"/>
        <w:ind w:firstLine="600" w:firstLineChars="200"/>
        <w:jc w:val="both"/>
        <w:rPr>
          <w:rFonts w:hint="eastAsia" w:ascii="仿宋" w:hAnsi="仿宋" w:eastAsia="仿宋" w:cs="仿宋"/>
          <w:b w:val="0"/>
          <w:bCs w:val="0"/>
          <w:kern w:val="0"/>
          <w:sz w:val="30"/>
          <w:szCs w:val="30"/>
          <w:lang w:val="en-US" w:eastAsia="zh-CN" w:bidi="ar"/>
        </w:rPr>
      </w:pPr>
      <w:r>
        <w:rPr>
          <w:rFonts w:hint="eastAsia" w:ascii="仿宋" w:hAnsi="仿宋" w:eastAsia="仿宋" w:cs="仿宋"/>
          <w:b w:val="0"/>
          <w:bCs w:val="0"/>
          <w:kern w:val="0"/>
          <w:sz w:val="30"/>
          <w:szCs w:val="30"/>
          <w:lang w:val="en-US" w:eastAsia="zh-CN" w:bidi="ar"/>
        </w:rPr>
        <w:t>二是妥善处理民意诉求。 坚持“以人民为中心”“群众利益无小事”的工作原则，积极回应、解决群众诉求，受理市长热线1557条，办结率100%（群众回访满意度95%），受理“智慧城管”案件17314条，办结率92%。办理建议提案12个，办结书记信箱、网上舆情、区长热线等交办事项，30余个。</w:t>
      </w:r>
    </w:p>
    <w:p>
      <w:pPr>
        <w:pStyle w:val="2"/>
        <w:pageBreakBefore w:val="0"/>
        <w:kinsoku/>
        <w:overflowPunct/>
        <w:topLinePunct w:val="0"/>
        <w:bidi w:val="0"/>
        <w:snapToGrid/>
        <w:spacing w:line="600" w:lineRule="exact"/>
        <w:ind w:firstLine="600" w:firstLineChars="200"/>
        <w:jc w:val="both"/>
        <w:rPr>
          <w:rFonts w:hint="eastAsia" w:ascii="仿宋" w:hAnsi="仿宋" w:eastAsia="仿宋" w:cs="仿宋"/>
          <w:sz w:val="30"/>
          <w:szCs w:val="30"/>
          <w:shd w:val="clear" w:fill="FFFFFF"/>
        </w:rPr>
      </w:pPr>
      <w:r>
        <w:rPr>
          <w:rFonts w:hint="eastAsia" w:ascii="仿宋" w:hAnsi="仿宋" w:eastAsia="仿宋" w:cs="仿宋"/>
          <w:b w:val="0"/>
          <w:bCs w:val="0"/>
          <w:kern w:val="0"/>
          <w:sz w:val="30"/>
          <w:szCs w:val="30"/>
          <w:lang w:val="en-US" w:eastAsia="zh-CN" w:bidi="ar"/>
        </w:rPr>
        <w:t>三是积极应对低温雨雪冰冻天气。清理被积雪冰冻覆盖的背街小巷30余条、重点部位20余处，参与街道、园区、清扫行动近40余次，化解群众出行困难近1000次，排除广告招牌倒塌、垃圾中转站、公厕水管冻裂等险情40余处，清运清除</w:t>
      </w:r>
      <w:r>
        <w:rPr>
          <w:rFonts w:hint="eastAsia" w:ascii="仿宋" w:hAnsi="仿宋" w:eastAsia="仿宋" w:cs="仿宋"/>
          <w:kern w:val="0"/>
          <w:sz w:val="30"/>
          <w:szCs w:val="30"/>
          <w:lang w:val="en-US" w:eastAsia="zh-CN" w:bidi="ar"/>
        </w:rPr>
        <w:t>积雪冻冰300余吨。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黑体" w:hAnsi="黑体" w:eastAsia="黑体" w:cs="黑体"/>
          <w:b w:val="0"/>
          <w:bCs w:val="0"/>
          <w:i w:val="0"/>
          <w:iCs w:val="0"/>
          <w:caps w:val="0"/>
          <w:color w:val="333333"/>
          <w:spacing w:val="0"/>
          <w:sz w:val="30"/>
          <w:szCs w:val="30"/>
          <w:shd w:val="clear" w:fill="FFFFFF"/>
          <w:lang w:val="en-US" w:eastAsia="zh-CN"/>
        </w:rPr>
      </w:pPr>
      <w:r>
        <w:rPr>
          <w:rFonts w:hint="eastAsia" w:ascii="黑体" w:hAnsi="黑体" w:eastAsia="黑体" w:cs="黑体"/>
          <w:b w:val="0"/>
          <w:bCs w:val="0"/>
          <w:i w:val="0"/>
          <w:iCs w:val="0"/>
          <w:caps w:val="0"/>
          <w:color w:val="333333"/>
          <w:spacing w:val="0"/>
          <w:sz w:val="30"/>
          <w:szCs w:val="30"/>
          <w:shd w:val="clear" w:fill="FFFFFF"/>
          <w:lang w:val="en-US" w:eastAsia="zh-CN"/>
        </w:rPr>
        <w:t>七</w:t>
      </w:r>
      <w:r>
        <w:rPr>
          <w:rFonts w:hint="eastAsia" w:ascii="黑体" w:hAnsi="黑体" w:eastAsia="黑体" w:cs="黑体"/>
          <w:b w:val="0"/>
          <w:bCs w:val="0"/>
          <w:i w:val="0"/>
          <w:iCs w:val="0"/>
          <w:caps w:val="0"/>
          <w:color w:val="333333"/>
          <w:spacing w:val="0"/>
          <w:sz w:val="30"/>
          <w:szCs w:val="30"/>
          <w:shd w:val="clear" w:fill="FFFFFF"/>
        </w:rPr>
        <w:t>、</w:t>
      </w:r>
      <w:r>
        <w:rPr>
          <w:rFonts w:hint="eastAsia" w:ascii="黑体" w:hAnsi="黑体" w:eastAsia="黑体" w:cs="黑体"/>
          <w:b w:val="0"/>
          <w:bCs w:val="0"/>
          <w:i w:val="0"/>
          <w:iCs w:val="0"/>
          <w:caps w:val="0"/>
          <w:color w:val="333333"/>
          <w:spacing w:val="0"/>
          <w:sz w:val="30"/>
          <w:szCs w:val="30"/>
          <w:shd w:val="clear" w:fill="FFFFFF"/>
          <w:lang w:val="en-US" w:eastAsia="zh-CN"/>
        </w:rPr>
        <w:t>存在的问题及原因分析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left"/>
        <w:textAlignment w:val="center"/>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1．指标设计不尽合理，导致评价结果与实际情况不一定相符。如预算执行相关指标，预算完成率和预算控制率指标，在编制预算时，存在不可控性，部分项目支出年初部门已作预算编制，但财政未在年初预算中下达而在年中追加，造成当年预算追加过大，部分预算资金年底才下达，当年根本不能及时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left"/>
        <w:textAlignment w:val="center"/>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2．在设计绩效评价体系时目标的确定与量化往往带有较强的主观性与经验主义，这需要在评价过程中不断完善。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黑体" w:hAnsi="黑体" w:eastAsia="黑体" w:cs="黑体"/>
          <w:b w:val="0"/>
          <w:bCs w:val="0"/>
          <w:i w:val="0"/>
          <w:iCs w:val="0"/>
          <w:caps w:val="0"/>
          <w:color w:val="333333"/>
          <w:spacing w:val="0"/>
          <w:sz w:val="30"/>
          <w:szCs w:val="30"/>
          <w:shd w:val="clear" w:fill="FFFFFF"/>
          <w:lang w:val="en-US" w:eastAsia="zh-CN"/>
        </w:rPr>
      </w:pPr>
      <w:r>
        <w:rPr>
          <w:rFonts w:hint="eastAsia" w:ascii="黑体" w:hAnsi="黑体" w:eastAsia="黑体" w:cs="黑体"/>
          <w:b w:val="0"/>
          <w:bCs w:val="0"/>
          <w:i w:val="0"/>
          <w:iCs w:val="0"/>
          <w:caps w:val="0"/>
          <w:color w:val="333333"/>
          <w:spacing w:val="0"/>
          <w:sz w:val="30"/>
          <w:szCs w:val="30"/>
          <w:shd w:val="clear" w:fill="FFFFFF"/>
          <w:lang w:val="en-US" w:eastAsia="zh-CN"/>
        </w:rPr>
        <w:t>八、下一步改进措施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left"/>
        <w:textAlignment w:val="center"/>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1.加强预算管理，科学合理测算本单位年度收入、支出，提高预算科学性，在编制预算时结合上年决算及年度内单位可预见的工作任务据实编制，有效避免年初预算与实际执行出现大的偏差，提高预算控制水平。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left"/>
        <w:textAlignment w:val="center"/>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2.强化预算执行，提高预算完成率。严格按项目和进度执行预算，合理安排资金支出，增强预算执行的规范性和严肃性；完善项目责任制，业务科室为项目实施责任单位，应加强与财务部门的沟通协调，增加项目实施力度，定期做好预算执行分析，及时了解预算执行差异，合理调整、纠正预算执行偏差，加快预算的执行进度，减少存量资金，切实提高预算完成率及资金使用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left"/>
        <w:textAlignment w:val="center"/>
        <w:rPr>
          <w:rFonts w:hint="eastAsia" w:ascii="仿宋" w:hAnsi="仿宋" w:eastAsia="仿宋" w:cs="仿宋"/>
          <w:i w:val="0"/>
          <w:iCs w:val="0"/>
          <w:caps w:val="0"/>
          <w:color w:val="000000"/>
          <w:spacing w:val="0"/>
          <w:sz w:val="30"/>
          <w:szCs w:val="30"/>
          <w:shd w:val="clear" w:fill="FFFFFF"/>
        </w:rPr>
      </w:pPr>
      <w:r>
        <w:rPr>
          <w:rFonts w:hint="eastAsia" w:ascii="仿宋" w:hAnsi="仿宋" w:eastAsia="仿宋" w:cs="仿宋"/>
          <w:i w:val="0"/>
          <w:iCs w:val="0"/>
          <w:caps w:val="0"/>
          <w:color w:val="000000"/>
          <w:spacing w:val="0"/>
          <w:sz w:val="30"/>
          <w:szCs w:val="30"/>
          <w:shd w:val="clear" w:fill="FFFFFF"/>
          <w:lang w:val="en-US" w:eastAsia="zh-CN"/>
        </w:rPr>
        <w:t>附件：</w:t>
      </w:r>
      <w:r>
        <w:rPr>
          <w:rFonts w:hint="eastAsia" w:ascii="仿宋" w:hAnsi="仿宋" w:eastAsia="仿宋" w:cs="仿宋"/>
          <w:i w:val="0"/>
          <w:iCs w:val="0"/>
          <w:caps w:val="0"/>
          <w:color w:val="000000"/>
          <w:spacing w:val="0"/>
          <w:sz w:val="30"/>
          <w:szCs w:val="30"/>
          <w:shd w:val="clear" w:fill="FFFFFF"/>
        </w:rPr>
        <w:t>202</w:t>
      </w:r>
      <w:r>
        <w:rPr>
          <w:rFonts w:hint="eastAsia" w:ascii="仿宋" w:hAnsi="仿宋" w:eastAsia="仿宋" w:cs="仿宋"/>
          <w:i w:val="0"/>
          <w:iCs w:val="0"/>
          <w:caps w:val="0"/>
          <w:color w:val="000000"/>
          <w:spacing w:val="0"/>
          <w:sz w:val="30"/>
          <w:szCs w:val="30"/>
          <w:shd w:val="clear" w:fill="FFFFFF"/>
          <w:lang w:val="en-US" w:eastAsia="zh-CN"/>
        </w:rPr>
        <w:t>1</w:t>
      </w:r>
      <w:r>
        <w:rPr>
          <w:rFonts w:hint="eastAsia" w:ascii="仿宋" w:hAnsi="仿宋" w:eastAsia="仿宋" w:cs="仿宋"/>
          <w:i w:val="0"/>
          <w:iCs w:val="0"/>
          <w:caps w:val="0"/>
          <w:color w:val="000000"/>
          <w:spacing w:val="0"/>
          <w:sz w:val="30"/>
          <w:szCs w:val="30"/>
          <w:shd w:val="clear" w:fill="FFFFFF"/>
        </w:rPr>
        <w:t>年度部门整体支出绩效自评指标计分表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right="0" w:firstLine="600" w:firstLineChars="200"/>
        <w:jc w:val="left"/>
        <w:textAlignment w:val="center"/>
        <w:rPr>
          <w:rFonts w:hint="eastAsia" w:ascii="仿宋" w:hAnsi="仿宋" w:eastAsia="仿宋" w:cs="仿宋"/>
          <w:i w:val="0"/>
          <w:iCs w:val="0"/>
          <w:caps w:val="0"/>
          <w:color w:val="000000"/>
          <w:spacing w:val="0"/>
          <w:sz w:val="30"/>
          <w:szCs w:val="3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right="0" w:firstLine="600" w:firstLineChars="200"/>
        <w:jc w:val="left"/>
        <w:textAlignment w:val="center"/>
        <w:rPr>
          <w:rFonts w:hint="eastAsia" w:ascii="仿宋" w:hAnsi="仿宋" w:eastAsia="仿宋" w:cs="仿宋"/>
          <w:i w:val="0"/>
          <w:iCs w:val="0"/>
          <w:caps w:val="0"/>
          <w:color w:val="000000"/>
          <w:spacing w:val="0"/>
          <w:sz w:val="30"/>
          <w:szCs w:val="3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right="0" w:firstLine="600" w:firstLineChars="200"/>
        <w:jc w:val="right"/>
        <w:textAlignment w:val="center"/>
        <w:rPr>
          <w:rFonts w:hint="eastAsia" w:ascii="仿宋" w:hAnsi="仿宋" w:eastAsia="仿宋" w:cs="仿宋"/>
          <w:i w:val="0"/>
          <w:iCs w:val="0"/>
          <w:caps w:val="0"/>
          <w:color w:val="333333"/>
          <w:spacing w:val="0"/>
          <w:sz w:val="30"/>
          <w:szCs w:val="3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both"/>
        <w:rPr>
          <w:rFonts w:hint="eastAsia" w:ascii="仿宋" w:hAnsi="仿宋" w:eastAsia="仿宋" w:cs="仿宋"/>
          <w:i w:val="0"/>
          <w:iCs w:val="0"/>
          <w:caps w:val="0"/>
          <w:color w:val="333333"/>
          <w:spacing w:val="0"/>
          <w:sz w:val="30"/>
          <w:szCs w:val="3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600" w:firstLineChars="200"/>
        <w:jc w:val="center"/>
        <w:rPr>
          <w:rFonts w:hint="eastAsia" w:ascii="仿宋" w:hAnsi="仿宋" w:eastAsia="仿宋" w:cs="仿宋"/>
          <w:i w:val="0"/>
          <w:iCs w:val="0"/>
          <w:caps w:val="0"/>
          <w:color w:val="333333"/>
          <w:spacing w:val="0"/>
          <w:sz w:val="30"/>
          <w:szCs w:val="3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right="0"/>
        <w:jc w:val="both"/>
        <w:rPr>
          <w:rFonts w:hint="eastAsia" w:ascii="仿宋" w:hAnsi="仿宋" w:eastAsia="仿宋" w:cs="仿宋"/>
          <w:i w:val="0"/>
          <w:iCs w:val="0"/>
          <w:caps w:val="0"/>
          <w:color w:val="333333"/>
          <w:spacing w:val="0"/>
          <w:sz w:val="30"/>
          <w:szCs w:val="30"/>
          <w:shd w:val="clear" w:fill="FFFFFF"/>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600" w:lineRule="exact"/>
        <w:ind w:left="0" w:right="0" w:firstLine="720" w:firstLineChars="200"/>
        <w:jc w:val="center"/>
        <w:rPr>
          <w:rFonts w:hint="eastAsia" w:ascii="黑体" w:hAnsi="黑体" w:eastAsia="黑体" w:cs="黑体"/>
          <w:i w:val="0"/>
          <w:iCs w:val="0"/>
          <w:caps w:val="0"/>
          <w:color w:val="333333"/>
          <w:spacing w:val="0"/>
          <w:sz w:val="36"/>
          <w:szCs w:val="36"/>
        </w:rPr>
      </w:pPr>
      <w:r>
        <w:rPr>
          <w:rFonts w:hint="eastAsia" w:ascii="黑体" w:hAnsi="黑体" w:eastAsia="黑体" w:cs="黑体"/>
          <w:i w:val="0"/>
          <w:iCs w:val="0"/>
          <w:caps w:val="0"/>
          <w:color w:val="333333"/>
          <w:spacing w:val="0"/>
          <w:sz w:val="36"/>
          <w:szCs w:val="36"/>
          <w:shd w:val="clear" w:fill="FFFFFF"/>
        </w:rPr>
        <w:t>202</w:t>
      </w:r>
      <w:r>
        <w:rPr>
          <w:rFonts w:hint="eastAsia" w:ascii="黑体" w:hAnsi="黑体" w:eastAsia="黑体" w:cs="黑体"/>
          <w:i w:val="0"/>
          <w:iCs w:val="0"/>
          <w:caps w:val="0"/>
          <w:color w:val="333333"/>
          <w:spacing w:val="0"/>
          <w:sz w:val="36"/>
          <w:szCs w:val="36"/>
          <w:shd w:val="clear" w:fill="FFFFFF"/>
          <w:lang w:val="en-US" w:eastAsia="zh-CN"/>
        </w:rPr>
        <w:t>1</w:t>
      </w:r>
      <w:r>
        <w:rPr>
          <w:rFonts w:hint="eastAsia" w:ascii="黑体" w:hAnsi="黑体" w:eastAsia="黑体" w:cs="黑体"/>
          <w:i w:val="0"/>
          <w:iCs w:val="0"/>
          <w:caps w:val="0"/>
          <w:color w:val="333333"/>
          <w:spacing w:val="0"/>
          <w:sz w:val="36"/>
          <w:szCs w:val="36"/>
          <w:shd w:val="clear" w:fill="FFFFFF"/>
        </w:rPr>
        <w:t>年度部门整体支出绩效自评指标计分表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40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1"/>
          <w:szCs w:val="21"/>
          <w:shd w:val="clear" w:fill="FFFFFF"/>
        </w:rPr>
        <w:t> </w:t>
      </w:r>
    </w:p>
    <w:tbl>
      <w:tblPr>
        <w:tblStyle w:val="5"/>
        <w:tblW w:w="9495" w:type="dxa"/>
        <w:tblInd w:w="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11"/>
        <w:gridCol w:w="1245"/>
        <w:gridCol w:w="930"/>
        <w:gridCol w:w="705"/>
        <w:gridCol w:w="2242"/>
        <w:gridCol w:w="29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blHeader/>
        </w:trPr>
        <w:tc>
          <w:tcPr>
            <w:tcW w:w="1411" w:type="dxa"/>
            <w:tcBorders>
              <w:top w:val="single" w:color="auto" w:sz="8" w:space="0"/>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rPr>
              <w:t>一级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指标</w:t>
            </w:r>
          </w:p>
        </w:tc>
        <w:tc>
          <w:tcPr>
            <w:tcW w:w="1245" w:type="dxa"/>
            <w:tcBorders>
              <w:top w:val="single" w:color="auto" w:sz="8" w:space="0"/>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二级指标</w:t>
            </w:r>
          </w:p>
        </w:tc>
        <w:tc>
          <w:tcPr>
            <w:tcW w:w="930" w:type="dxa"/>
            <w:tcBorders>
              <w:top w:val="single" w:color="auto" w:sz="8" w:space="0"/>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三级指标</w:t>
            </w:r>
          </w:p>
        </w:tc>
        <w:tc>
          <w:tcPr>
            <w:tcW w:w="705" w:type="dxa"/>
            <w:tcBorders>
              <w:top w:val="single" w:color="auto" w:sz="8" w:space="0"/>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自评分</w:t>
            </w:r>
          </w:p>
        </w:tc>
        <w:tc>
          <w:tcPr>
            <w:tcW w:w="2242" w:type="dxa"/>
            <w:tcBorders>
              <w:top w:val="single" w:color="auto" w:sz="8" w:space="0"/>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指标解释</w:t>
            </w:r>
          </w:p>
        </w:tc>
        <w:tc>
          <w:tcPr>
            <w:tcW w:w="2962" w:type="dxa"/>
            <w:tcBorders>
              <w:top w:val="single" w:color="auto" w:sz="8" w:space="0"/>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指标说明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411" w:type="dxa"/>
            <w:vMerge w:val="restart"/>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113" w:right="113"/>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投  入  （20分）</w:t>
            </w:r>
          </w:p>
        </w:tc>
        <w:tc>
          <w:tcPr>
            <w:tcW w:w="1245" w:type="dxa"/>
            <w:vMerge w:val="restart"/>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rPr>
              <w:t>目标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设定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（5分）</w:t>
            </w: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绩效目标合理性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（2分）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2</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部门所设立的整体绩效目标依据是否充分，是否符合客观实际，用以反映和考核部门整体绩效目标与部门履职、年度工作任务的相符性情况。</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①符合国家法律法规、国民经济和社会发展总体规划计1分；②符合部门“三定”方案确定的职责计0.5分；③是否符合部门制定的中长期实施规划计0.5分。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绩效指标明确性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（3分）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3 </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部门依据整体绩效目标所设定的绩效指标是否清晰、细化、可衡量，用以反映和考核部门整体绩效目标的明细化情况。</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restart"/>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rPr>
              <w:t>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配置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（15分）</w:t>
            </w: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在职人员控制率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（5分）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5</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部门本年度实际在职人员数与编制数的比率，用以反映和考核部门对人员成本的控制程度。</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“三公经费”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变动率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（5分）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5 </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部门本年度“三公经费”预算数与上年度“三公经费”预算数的变动比率，用以反映和考核部门对控制重点行政成本的努力程度。</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重点支出安排率（5分）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5</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部门本年度预算安排的重点项目支出与部门项目总支出的比率，用以反映和考核部门对履行主要职责或完成重点任务的保障程度。</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411" w:type="dxa"/>
            <w:vMerge w:val="restart"/>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113" w:right="113"/>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过  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113" w:right="113"/>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（30分）</w:t>
            </w:r>
          </w:p>
        </w:tc>
        <w:tc>
          <w:tcPr>
            <w:tcW w:w="1245" w:type="dxa"/>
            <w:vMerge w:val="restart"/>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rPr>
              <w:t>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（20分）</w:t>
            </w: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预算完成率（4分）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4</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部门本年度预算完成数与预算数的比率，用以反映和考核部门预算完成程度。</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预算完成率=（预算完成数/预算数）×100%。完成年初预算计4分，未完成年初预算按比例扣减，预算完成数：部门本年度实际完成的预算数。预算数：财政部门批复的本年度部门预算数。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预算调整率（2分）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2</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部门本年度预算调整数与预算数的比率，用以反映和考核部门预算的调整程度。</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支付进度率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（2分）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2 </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部门实际支付进度与既定支付进度的比率，用以反映和考核部门预算执行的及时性和均衡性程度。</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411" w:type="dxa"/>
            <w:vMerge w:val="restart"/>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113" w:right="113"/>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过 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113" w:right="113"/>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（30分）</w:t>
            </w:r>
          </w:p>
        </w:tc>
        <w:tc>
          <w:tcPr>
            <w:tcW w:w="1245" w:type="dxa"/>
            <w:vMerge w:val="restart"/>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rPr>
              <w:t>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（20分</w:t>
            </w: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结转结余控制率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（4分）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4 </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部门本年度结转结余总额与上年结转结余总额增减比例，用以反映和考核部门对存量资金的实际控制程度。</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公用经费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控制率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（2分）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2 </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部门本年度实际支出的公用经费总额与预算安排的公用经费总额的比率，用以反映和考核部门对机构运转成本的实际控制程度。</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公用经费控制率=（实际支出公用经费总额/预算安排公用经费总额）×100%。为100%的计2分，每超过1个百分点扣0.1分，扣完为止。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“三公经费”控制率（2分）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2</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部门本年度“三公经费”实际支出数与预算安排数的比率，用以反映和考核部门对“三公经费”的实际控制程度。</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“三公经费”控制率=（“三公经费”实际支出数/“三公经费”预算安排数）×100%。为100%的计2分，每超过1个百分点扣0.5分，扣完为止。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政府采购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执行率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（4分）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4</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部门本年度实际政府采购金额与年初政府采购预算的比率，用以反映和考核部门政府采购预算执行情况。</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restart"/>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（5分）</w:t>
            </w: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健全性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（2分）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2 </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部门为加强预算管理、规范财务行为而制定的管理制度是否健全完整，用以反映和考核部门预算管理制度对完成主要职责或促进事业发展的保障情况。</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已制定或具有预算资金管理办法、内部财务管理制度、会计核算制度等管理制度计1分；相关管理制度合法、合规、完整计0.5分；相关管理制度得到有效执行计0.5分。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资金使用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合规性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（1分）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1 </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部门使用预算资金是否符合相关的预算财务管理制度的规定，用以反映和考核部门预算资金的规范运行情况。</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预决算信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息公开性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（1分）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1 </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部门是否按照政府信息公开有关规定公开相关预决算信息，用以反映和考核部门预决算管理的公开透明情况。</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①按规定内容公开预决算信息计0.5分；②按规定时限公开预决算信息计0.5分。预决算信息是指与部门预算、执行、决算、监督、绩效等管理相关的信息。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基础信息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完善性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（1分）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1</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部门基础信息是否完善，用以反映和考核基础信息对预算管理工作的支撑情况。</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①基础数据信息和会计信息资料真实计0.4分；②基础数据信息和会计信息资料完整计0.3分；③基础数据信息和会计信息资料准确计0.3分。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rPr>
              <w:t>资产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（5分）</w:t>
            </w: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健全性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（2分）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2 </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部门为加强资产管理、规范资产管理行为而制定的管理制度是否健全完整，用以反映和考核部门资产管理制度对完成主要职责或促进社会发展的保障情况。</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①制定或具有资产管理制度计1分；②相关资金管理制度合法、合规、完整计0.5分；③相关资产管理制度得到有效执行计0.5分。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411" w:type="dxa"/>
            <w:vMerge w:val="restart"/>
            <w:tcBorders>
              <w:top w:val="nil"/>
              <w:left w:val="single" w:color="auto" w:sz="8" w:space="0"/>
              <w:bottom w:val="single" w:color="auto" w:sz="8" w:space="0"/>
              <w:right w:val="single" w:color="auto" w:sz="8"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113" w:right="113"/>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过 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113" w:right="113"/>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（30分）</w:t>
            </w:r>
          </w:p>
        </w:tc>
        <w:tc>
          <w:tcPr>
            <w:tcW w:w="1245" w:type="dxa"/>
            <w:vMerge w:val="restart"/>
            <w:tcBorders>
              <w:top w:val="nil"/>
              <w:left w:val="nil"/>
              <w:bottom w:val="single" w:color="auto" w:sz="8" w:space="0"/>
              <w:right w:val="single" w:color="auto" w:sz="8"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rPr>
              <w:t>资产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（5分）</w:t>
            </w: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资产管理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安全性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（2分）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2</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部门的资产是否保存完整、使用合规、配置合理、处置规范、收入及时足额上缴，用以反映和考核部门资产安全运行情况。</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①资产保存完整计0.4分；②资产配置合理计0.4分；③资产处置规范计0.4分；④资产账务管理合规、帐实相符计0.4分；⑤资产有偿使用及处置收入及时足额上缴计0.4分。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固定资产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利用率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（1分）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4 </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部门实际在用固定资产总额与所有固定资产总额的比率，用以反映和考核部门固定资产使用效率程度。</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固定资产利用率=（实际在用固定资产总额/所有固定资产总额）×100%。利用率为100%的计1分，每降1个百分点扣0.1分，扣完为止。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411" w:type="dxa"/>
            <w:vMerge w:val="restart"/>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113" w:right="113"/>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产  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113" w:right="113"/>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（30分）</w:t>
            </w:r>
          </w:p>
        </w:tc>
        <w:tc>
          <w:tcPr>
            <w:tcW w:w="1245" w:type="dxa"/>
            <w:vMerge w:val="restart"/>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rPr>
              <w:t>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履行</w:t>
            </w: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实际完成率（8分）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8 </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部门履行职责而实际完成工作数与计划工作数的比率，用以反映和考核部门履职工作任务目标的实现程度。</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实际完成率得分=完成市委市政府绩效考核得分或上级主管部门考核指标得分/指标分值*8分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35"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完成及时率（4分）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4 </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部门在规定时限内及时完成的实际工作数与计划工作数的比率,用以反映和考核部门履职时效目标的实现程度。</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21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完成及时率=（及时完成实际工作数/计划工作数）×100%。1-4季度各得1分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23"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质量达标率（8分）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8 </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达到质量标准（绩效标准值）的实际工作数与计划工作数的比率,用以反映和考核部门履职质量目标的实现程度。</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质量达标率=（质量达标实际工作数/计划工作数）×100%。实际得分=达标率*8分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708"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重点工作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办结率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（10分）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10 </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部门年度重点工作实际完成数与交办或下达数的比率，用以反映部门对重点工作的办理落实程度。</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重点工作办结率=（重点工作实际完成数/交办或下达数）×100%。实际得分=办结率*10分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411" w:type="dxa"/>
            <w:vMerge w:val="restart"/>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113" w:right="113"/>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效 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113" w:right="113"/>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（20分）</w:t>
            </w:r>
          </w:p>
        </w:tc>
        <w:tc>
          <w:tcPr>
            <w:tcW w:w="1245" w:type="dxa"/>
            <w:vMerge w:val="restart"/>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rPr>
              <w:t>履职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（20分）</w:t>
            </w: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经济效益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（5分）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4</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部门履行职责对经济发展所带来的直接或间接影响。</w:t>
            </w:r>
          </w:p>
        </w:tc>
        <w:tc>
          <w:tcPr>
            <w:tcW w:w="2962" w:type="dxa"/>
            <w:vMerge w:val="restart"/>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按经济效益实现程度计算得分（5分）；按社会效益实现程度计算得分（5分）；按生态效益实现程度计算得分（5分）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社会效益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（5分）</w:t>
            </w:r>
          </w:p>
        </w:tc>
        <w:tc>
          <w:tcPr>
            <w:tcW w:w="705" w:type="dxa"/>
            <w:tcBorders>
              <w:top w:val="nil"/>
              <w:left w:val="nil"/>
              <w:bottom w:val="single" w:color="auto" w:sz="8" w:space="0"/>
              <w:right w:val="single" w:color="auto" w:sz="8"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5</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部门履行职责对社会发展所带来的直接或间接影响。</w:t>
            </w:r>
          </w:p>
        </w:tc>
        <w:tc>
          <w:tcPr>
            <w:tcW w:w="2962"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生态效益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（5分）</w:t>
            </w:r>
          </w:p>
        </w:tc>
        <w:tc>
          <w:tcPr>
            <w:tcW w:w="705" w:type="dxa"/>
            <w:tcBorders>
              <w:top w:val="nil"/>
              <w:left w:val="nil"/>
              <w:bottom w:val="single" w:color="auto" w:sz="8" w:space="0"/>
              <w:right w:val="single" w:color="auto" w:sz="8"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4</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部门履行职责对生态环境所带来的直接或间接影响。</w:t>
            </w:r>
          </w:p>
        </w:tc>
        <w:tc>
          <w:tcPr>
            <w:tcW w:w="2962"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411"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1245"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ageBreakBefore w:val="0"/>
              <w:kinsoku/>
              <w:overflowPunct/>
              <w:topLinePunct w:val="0"/>
              <w:bidi w:val="0"/>
              <w:snapToGrid/>
              <w:spacing w:line="400" w:lineRule="atLeast"/>
              <w:rPr>
                <w:rFonts w:hint="eastAsia" w:ascii="宋体" w:hAnsi="宋体" w:eastAsia="宋体" w:cs="宋体"/>
                <w:i w:val="0"/>
                <w:iCs w:val="0"/>
                <w:caps w:val="0"/>
                <w:color w:val="333333"/>
                <w:spacing w:val="0"/>
                <w:sz w:val="24"/>
                <w:szCs w:val="24"/>
              </w:rPr>
            </w:pP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社会公众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或服务对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象满意度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（5分）</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4</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社会公众或部门的服务对象对部门履职效果的满意程度。</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按收集到的服务对象的满意率计算得分（5分）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4" w:hRule="atLeast"/>
        </w:trPr>
        <w:tc>
          <w:tcPr>
            <w:tcW w:w="1411" w:type="dxa"/>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rPr>
              <w:t>合  计</w:t>
            </w:r>
          </w:p>
        </w:tc>
        <w:tc>
          <w:tcPr>
            <w:tcW w:w="124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rPr>
              <w:t> </w:t>
            </w:r>
          </w:p>
        </w:tc>
        <w:tc>
          <w:tcPr>
            <w:tcW w:w="930"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w:t>
            </w:r>
          </w:p>
        </w:tc>
        <w:tc>
          <w:tcPr>
            <w:tcW w:w="70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97</w:t>
            </w:r>
          </w:p>
        </w:tc>
        <w:tc>
          <w:tcPr>
            <w:tcW w:w="224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w:t>
            </w:r>
          </w:p>
        </w:tc>
        <w:tc>
          <w:tcPr>
            <w:tcW w:w="2962"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0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1"/>
                <w:szCs w:val="21"/>
              </w:rPr>
              <w:t> </w:t>
            </w:r>
          </w:p>
        </w:tc>
      </w:tr>
    </w:tbl>
    <w:p>
      <w:pPr>
        <w:pageBreakBefore w:val="0"/>
        <w:kinsoku/>
        <w:overflowPunct/>
        <w:topLinePunct w:val="0"/>
        <w:bidi w:val="0"/>
        <w:snapToGrid/>
        <w:spacing w:line="400" w:lineRule="atLeast"/>
        <w:rPr>
          <w:rFonts w:hint="eastAsia" w:ascii="宋体" w:hAnsi="宋体" w:eastAsia="宋体" w:cs="宋体"/>
        </w:rPr>
      </w:pPr>
    </w:p>
    <w:p>
      <w:pPr>
        <w:pageBreakBefore w:val="0"/>
        <w:kinsoku/>
        <w:overflowPunct/>
        <w:topLinePunct w:val="0"/>
        <w:bidi w:val="0"/>
        <w:snapToGrid/>
        <w:spacing w:beforeLines="0" w:afterLines="0" w:line="400" w:lineRule="atLeast"/>
        <w:jc w:val="left"/>
        <w:textAlignment w:val="auto"/>
        <w:rPr>
          <w:rFonts w:hint="eastAsia" w:ascii="宋体" w:hAnsi="宋体" w:eastAsia="宋体" w:cs="宋体"/>
          <w:b/>
          <w:color w:val="auto"/>
          <w:sz w:val="32"/>
          <w:szCs w:val="24"/>
          <w:highlight w:val="white"/>
          <w:lang w:val="zh-CN"/>
        </w:rPr>
      </w:pPr>
    </w:p>
    <w:p>
      <w:pPr>
        <w:pageBreakBefore w:val="0"/>
        <w:kinsoku/>
        <w:overflowPunct/>
        <w:topLinePunct w:val="0"/>
        <w:bidi w:val="0"/>
        <w:snapToGrid/>
        <w:spacing w:beforeLines="0" w:afterLines="0" w:line="400" w:lineRule="atLeast"/>
        <w:jc w:val="left"/>
        <w:textAlignment w:val="auto"/>
        <w:rPr>
          <w:rFonts w:hint="eastAsia" w:ascii="宋体" w:hAnsi="宋体" w:eastAsia="宋体" w:cs="宋体"/>
          <w:color w:val="auto"/>
          <w:kern w:val="0"/>
          <w:sz w:val="18"/>
          <w:szCs w:val="24"/>
          <w:highlight w:val="white"/>
          <w:lang w:val="zh-CN"/>
        </w:rPr>
      </w:pPr>
      <w:r>
        <w:rPr>
          <w:rFonts w:hint="eastAsia" w:ascii="宋体" w:hAnsi="宋体" w:eastAsia="宋体" w:cs="宋体"/>
          <w:color w:val="auto"/>
          <w:sz w:val="32"/>
          <w:szCs w:val="24"/>
          <w:highlight w:val="white"/>
          <w:lang w:val="zh-CN"/>
        </w:rPr>
        <w:t xml:space="preserve">    </w:t>
      </w:r>
    </w:p>
    <w:p>
      <w:pPr>
        <w:ind w:firstLine="640" w:firstLineChars="200"/>
        <w:jc w:val="center"/>
        <w:rPr>
          <w:rFonts w:hint="eastAsia" w:ascii="宋体" w:hAnsi="宋体" w:eastAsia="宋体" w:cs="宋体"/>
          <w:color w:val="auto"/>
          <w:sz w:val="32"/>
          <w:szCs w:val="24"/>
          <w:highlight w:val="white"/>
          <w:lang w:val="zh-CN"/>
        </w:rPr>
      </w:pPr>
    </w:p>
    <w:p>
      <w:pPr>
        <w:pStyle w:val="2"/>
        <w:rPr>
          <w:rFonts w:hint="eastAsia" w:ascii="宋体" w:hAnsi="宋体" w:eastAsia="宋体" w:cs="宋体"/>
          <w:color w:val="auto"/>
          <w:sz w:val="32"/>
          <w:szCs w:val="24"/>
          <w:highlight w:val="white"/>
          <w:lang w:val="zh-CN"/>
        </w:rPr>
      </w:pPr>
    </w:p>
    <w:p>
      <w:pPr>
        <w:rPr>
          <w:rFonts w:hint="eastAsia" w:ascii="宋体" w:hAnsi="宋体" w:eastAsia="宋体" w:cs="宋体"/>
          <w:color w:val="auto"/>
          <w:sz w:val="32"/>
          <w:szCs w:val="24"/>
          <w:highlight w:val="white"/>
          <w:lang w:val="zh-CN"/>
        </w:rPr>
      </w:pP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3" w:date="2023-05-29T23:22:43Z" w:initials="a">
    <w:p w14:paraId="48230029">
      <w:pPr>
        <w:pStyle w:val="3"/>
        <w:rPr>
          <w:rFonts w:hint="default" w:eastAsia="宋体"/>
          <w:lang w:val="en-US" w:eastAsia="zh-CN"/>
        </w:rPr>
      </w:pPr>
      <w:r>
        <w:rPr>
          <w:rFonts w:hint="eastAsia"/>
          <w:lang w:val="en-US" w:eastAsia="zh-CN"/>
        </w:rPr>
        <w:t>反映数据应与决算报表5一致</w:t>
      </w:r>
    </w:p>
  </w:comment>
  <w:comment w:id="1" w:author="admin-3" w:date="2023-05-29T23:24:44Z" w:initials="a">
    <w:p w14:paraId="678418BE">
      <w:pPr>
        <w:pStyle w:val="3"/>
        <w:rPr>
          <w:rFonts w:hint="default" w:eastAsia="宋体"/>
          <w:lang w:val="en-US" w:eastAsia="zh-CN"/>
        </w:rPr>
      </w:pPr>
      <w:r>
        <w:rPr>
          <w:rFonts w:hint="eastAsia"/>
          <w:lang w:val="en-US" w:eastAsia="zh-CN"/>
        </w:rPr>
        <w:t>决算表5为2229.88万元</w:t>
      </w:r>
    </w:p>
  </w:comment>
  <w:comment w:id="2" w:author="admin-3" w:date="2023-05-29T23:28:49Z" w:initials="a">
    <w:p w14:paraId="3D6C4AE1">
      <w:pPr>
        <w:pStyle w:val="3"/>
        <w:rPr>
          <w:rFonts w:hint="default" w:eastAsia="宋体"/>
          <w:lang w:val="en-US" w:eastAsia="zh-CN"/>
        </w:rPr>
      </w:pPr>
      <w:r>
        <w:rPr>
          <w:rFonts w:hint="eastAsia"/>
          <w:lang w:val="en-US" w:eastAsia="zh-CN"/>
        </w:rPr>
        <w:t>决算表收支为1263.41万元</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678418BE" w15:done="0"/>
  <w15:commentEx w15:paraId="3D6C4A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59AFEE"/>
    <w:multiLevelType w:val="singleLevel"/>
    <w:tmpl w:val="5459AFEE"/>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3">
    <w15:presenceInfo w15:providerId="None" w15:userId="admi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0152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spacing w:beforeLines="0" w:afterLines="0"/>
      <w:jc w:val="both"/>
    </w:pPr>
    <w:rPr>
      <w:rFonts w:hint="default" w:ascii="Times New Roman" w:hAnsi="Times New Roman" w:eastAsia="宋体" w:cs="Times New Roman"/>
      <w:kern w:val="2"/>
      <w:sz w:val="21"/>
      <w:szCs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beforeLines="0" w:afterLines="0"/>
    </w:pPr>
    <w:rPr>
      <w:rFonts w:hint="default"/>
      <w:sz w:val="21"/>
      <w:szCs w:val="24"/>
    </w:rPr>
  </w:style>
  <w:style w:type="paragraph" w:styleId="3">
    <w:name w:val="annotation text"/>
    <w:basedOn w:val="1"/>
    <w:qFormat/>
    <w:uiPriority w:val="99"/>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2023-06-18T12:58:28Z</dcterms:created>
  <dc:creator>admin-3</dc:creator>
  <cp:lastModifiedBy>admin-3</cp:lastModifiedBy>
  <dcterms:modified xsi:type="dcterms:W3CDTF">2023-06-18T12:59:44Z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E9FB1A65425D49DC95EEFBE2900B26CC_12</vt:lpwstr>
  </property>
</Properties>
</file>