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600" w:lineRule="exact"/>
        <w:jc w:val="center"/>
        <w:rPr>
          <w:rFonts w:hint="eastAsia" w:ascii="黑体" w:hAnsi="黑体" w:eastAsia="黑体" w:cs="黑体"/>
          <w:sz w:val="36"/>
          <w:szCs w:val="36"/>
          <w:highlight w:val="none"/>
          <w:lang w:val="en-US" w:eastAsia="zh-CN"/>
        </w:rPr>
      </w:pPr>
    </w:p>
    <w:p>
      <w:pPr>
        <w:keepNext w:val="0"/>
        <w:keepLines w:val="0"/>
        <w:pageBreakBefore w:val="0"/>
        <w:kinsoku/>
        <w:wordWrap/>
        <w:overflowPunct/>
        <w:topLinePunct w:val="0"/>
        <w:bidi w:val="0"/>
        <w:spacing w:line="600" w:lineRule="exact"/>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益阳市赫山区公路建设养护中心2021年度部门</w:t>
      </w:r>
    </w:p>
    <w:p>
      <w:pPr>
        <w:keepNext w:val="0"/>
        <w:keepLines w:val="0"/>
        <w:pageBreakBefore w:val="0"/>
        <w:kinsoku/>
        <w:wordWrap/>
        <w:overflowPunct/>
        <w:topLinePunct w:val="0"/>
        <w:bidi w:val="0"/>
        <w:spacing w:line="600" w:lineRule="exact"/>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整体支出绩效评价报告</w:t>
      </w:r>
    </w:p>
    <w:p>
      <w:pPr>
        <w:keepNext w:val="0"/>
        <w:keepLines w:val="0"/>
        <w:pageBreakBefore w:val="0"/>
        <w:kinsoku/>
        <w:wordWrap/>
        <w:overflowPunct/>
        <w:topLinePunct w:val="0"/>
        <w:bidi w:val="0"/>
        <w:spacing w:line="600" w:lineRule="exact"/>
        <w:ind w:firstLine="720" w:firstLineChars="200"/>
        <w:jc w:val="center"/>
        <w:rPr>
          <w:rFonts w:hint="eastAsia" w:ascii="黑体" w:hAnsi="黑体" w:eastAsia="黑体" w:cs="黑体"/>
          <w:sz w:val="36"/>
          <w:szCs w:val="36"/>
          <w:highlight w:val="none"/>
          <w:lang w:val="en-US" w:eastAsia="zh-CN"/>
        </w:rPr>
      </w:pPr>
    </w:p>
    <w:p>
      <w:pPr>
        <w:keepNext w:val="0"/>
        <w:keepLines w:val="0"/>
        <w:pageBreakBefore w:val="0"/>
        <w:kinsoku/>
        <w:wordWrap/>
        <w:overflowPunct/>
        <w:topLinePunct w:val="0"/>
        <w:bidi w:val="0"/>
        <w:spacing w:line="600" w:lineRule="exact"/>
        <w:ind w:firstLine="600" w:firstLineChars="200"/>
        <w:jc w:val="left"/>
      </w:pPr>
      <w:r>
        <w:rPr>
          <w:rFonts w:hint="eastAsia" w:ascii="仿宋" w:hAnsi="仿宋" w:eastAsia="仿宋" w:cs="仿宋"/>
          <w:sz w:val="30"/>
          <w:szCs w:val="30"/>
          <w:highlight w:val="none"/>
          <w:lang w:val="en-US" w:eastAsia="zh-CN"/>
        </w:rPr>
        <w:t>为确实做好2021年度预算绩效自评价工作，提高财政资金使用效益，结合实际，现将我局整体支出绩效自评结果报告如下：</w:t>
      </w:r>
      <w:r>
        <w:rPr>
          <w:rFonts w:hint="eastAsia" w:ascii="仿宋" w:hAnsi="仿宋" w:eastAsia="仿宋" w:cs="仿宋"/>
          <w:sz w:val="30"/>
          <w:szCs w:val="30"/>
          <w:highlight w:val="none"/>
          <w:lang w:val="en-US" w:eastAsia="zh-CN"/>
        </w:rPr>
        <w:br w:type="textWrapping"/>
      </w:r>
      <w:r>
        <w:rPr>
          <w:rFonts w:hint="eastAsia" w:ascii="黑体" w:hAnsi="黑体" w:eastAsia="黑体" w:cs="黑体"/>
          <w:sz w:val="30"/>
          <w:szCs w:val="30"/>
          <w:highlight w:val="none"/>
          <w:lang w:val="en-US" w:eastAsia="zh-CN"/>
        </w:rPr>
        <w:t xml:space="preserve">     一、基本情况</w:t>
      </w:r>
    </w:p>
    <w:p>
      <w:pPr>
        <w:keepNext w:val="0"/>
        <w:keepLines w:val="0"/>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益阳市赫山区</w:t>
      </w:r>
      <w:r>
        <w:rPr>
          <w:rFonts w:hint="eastAsia" w:ascii="仿宋" w:hAnsi="仿宋" w:eastAsia="仿宋" w:cs="仿宋"/>
          <w:bCs/>
          <w:kern w:val="0"/>
          <w:sz w:val="30"/>
          <w:szCs w:val="30"/>
          <w:lang w:eastAsia="zh-CN"/>
        </w:rPr>
        <w:t>公路建设养护中心</w:t>
      </w:r>
      <w:r>
        <w:rPr>
          <w:rFonts w:hint="eastAsia" w:ascii="仿宋" w:hAnsi="仿宋" w:eastAsia="仿宋" w:cs="仿宋"/>
          <w:bCs/>
          <w:kern w:val="0"/>
          <w:sz w:val="30"/>
          <w:szCs w:val="30"/>
        </w:rPr>
        <w:t>内设机构包括：</w:t>
      </w:r>
      <w:r>
        <w:rPr>
          <w:rFonts w:hint="eastAsia" w:ascii="仿宋" w:hAnsi="仿宋" w:eastAsia="仿宋" w:cs="仿宋"/>
          <w:bCs/>
          <w:kern w:val="0"/>
          <w:sz w:val="30"/>
          <w:szCs w:val="30"/>
          <w:lang w:eastAsia="zh-CN"/>
        </w:rPr>
        <w:t>益阳市赫山区公路建设养护中心</w:t>
      </w:r>
      <w:r>
        <w:rPr>
          <w:rFonts w:hint="eastAsia" w:ascii="仿宋" w:hAnsi="仿宋" w:eastAsia="仿宋" w:cs="仿宋"/>
          <w:bCs/>
          <w:kern w:val="0"/>
          <w:sz w:val="30"/>
          <w:szCs w:val="30"/>
        </w:rPr>
        <w:t>为全额拨款参公事业单位，内设办公室</w:t>
      </w:r>
      <w:r>
        <w:rPr>
          <w:rFonts w:hint="eastAsia" w:ascii="仿宋" w:hAnsi="仿宋" w:eastAsia="仿宋" w:cs="仿宋"/>
          <w:bCs/>
          <w:kern w:val="0"/>
          <w:sz w:val="30"/>
          <w:szCs w:val="30"/>
          <w:lang w:eastAsia="zh-CN"/>
        </w:rPr>
        <w:t>、政工人事股、计划统计股、公路养护股、工程质检股、法制安全股、财务审计股、农村公路建设股、经济发展股、资产管理股</w:t>
      </w:r>
      <w:r>
        <w:rPr>
          <w:rFonts w:hint="eastAsia" w:ascii="仿宋" w:hAnsi="仿宋" w:eastAsia="仿宋" w:cs="仿宋"/>
          <w:bCs/>
          <w:kern w:val="0"/>
          <w:sz w:val="30"/>
          <w:szCs w:val="30"/>
        </w:rPr>
        <w:t>。编制数</w:t>
      </w:r>
      <w:r>
        <w:rPr>
          <w:rFonts w:hint="eastAsia" w:ascii="仿宋" w:hAnsi="仿宋" w:eastAsia="仿宋" w:cs="仿宋"/>
          <w:bCs/>
          <w:kern w:val="0"/>
          <w:sz w:val="30"/>
          <w:szCs w:val="30"/>
          <w:lang w:val="en-US" w:eastAsia="zh-CN"/>
        </w:rPr>
        <w:t>9</w:t>
      </w:r>
      <w:r>
        <w:rPr>
          <w:rFonts w:hint="eastAsia" w:ascii="仿宋" w:hAnsi="仿宋" w:eastAsia="仿宋" w:cs="仿宋"/>
          <w:bCs/>
          <w:kern w:val="0"/>
          <w:sz w:val="30"/>
          <w:szCs w:val="30"/>
        </w:rPr>
        <w:t>4人，实际在职人数</w:t>
      </w:r>
      <w:r>
        <w:rPr>
          <w:rFonts w:hint="eastAsia" w:ascii="仿宋" w:hAnsi="仿宋" w:eastAsia="仿宋" w:cs="仿宋"/>
          <w:bCs/>
          <w:kern w:val="0"/>
          <w:sz w:val="30"/>
          <w:szCs w:val="30"/>
          <w:lang w:val="en-US" w:eastAsia="zh-CN"/>
        </w:rPr>
        <w:t>101</w:t>
      </w:r>
      <w:r>
        <w:rPr>
          <w:rFonts w:hint="eastAsia" w:ascii="仿宋" w:hAnsi="仿宋" w:eastAsia="仿宋" w:cs="仿宋"/>
          <w:bCs/>
          <w:kern w:val="0"/>
          <w:sz w:val="30"/>
          <w:szCs w:val="30"/>
        </w:rPr>
        <w:t>人。</w:t>
      </w:r>
    </w:p>
    <w:p>
      <w:pPr>
        <w:keepNext w:val="0"/>
        <w:keepLines w:val="0"/>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单位的主要职能：（1） 参与编制公路建设养护规划；拟定普通国省干线公路养护计划（2）负责全区普通国省干线公路新建项目的接养工作；（3）负责组织实施全区普通国省干线公路的日常养护、小修工程、危桥改造、安保工程（安全生命防护）、水毁处置、服务区建设、应急抢险及相关物资储备、养护评估等工作；（4）负责区交通运输局计划内的农村公路建设、日常养护工程、安保工程、水毁处置及应急抢险等工作；（5）负责全区普通国省干线公路的巡查工作；协助区交通运输综合行政执法大队维护全区公路路产路权；（6）负责全区公路路网运行监测和公路信息化管理工作；（7）负责公路科学技术研究和新技术、新材料、新工艺的推广运用；（8）负责组织国防运动员交通战备涉及的普通国省干线公路保畅、抢险、物资、技术等方面的动员准备与实施工作；（9）完成区委、区人民政府和区交通运输局交办的其他任务。</w:t>
      </w:r>
    </w:p>
    <w:p>
      <w:pPr>
        <w:keepNext w:val="0"/>
        <w:keepLines w:val="0"/>
        <w:pageBreakBefore w:val="0"/>
        <w:numPr>
          <w:ilvl w:val="0"/>
          <w:numId w:val="1"/>
        </w:numPr>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一般公共预算支出情况</w:t>
      </w:r>
    </w:p>
    <w:p>
      <w:pPr>
        <w:keepNext w:val="0"/>
        <w:keepLines w:val="0"/>
        <w:pageBreakBefore w:val="0"/>
        <w:numPr>
          <w:ilvl w:val="0"/>
          <w:numId w:val="0"/>
        </w:numPr>
        <w:kinsoku/>
        <w:wordWrap/>
        <w:overflowPunct/>
        <w:topLinePunct w:val="0"/>
        <w:bidi w:val="0"/>
        <w:spacing w:line="600" w:lineRule="exact"/>
        <w:jc w:val="left"/>
        <w:rPr>
          <w:rFonts w:hint="default"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 xml:space="preserve">    </w:t>
      </w:r>
      <w:r>
        <w:rPr>
          <w:rFonts w:hint="eastAsia" w:ascii="仿宋" w:hAnsi="仿宋" w:eastAsia="仿宋" w:cs="仿宋"/>
          <w:sz w:val="30"/>
          <w:szCs w:val="30"/>
          <w:highlight w:val="none"/>
          <w:lang w:val="en-US" w:eastAsia="zh-CN"/>
        </w:rPr>
        <w:t>2021年财政补助支出2192.07万元</w:t>
      </w:r>
    </w:p>
    <w:p>
      <w:pPr>
        <w:keepNext w:val="0"/>
        <w:keepLines w:val="0"/>
        <w:pageBreakBefore w:val="0"/>
        <w:kinsoku/>
        <w:wordWrap/>
        <w:overflowPunct/>
        <w:topLinePunct w:val="0"/>
        <w:bidi w:val="0"/>
        <w:spacing w:line="600" w:lineRule="exact"/>
        <w:ind w:firstLine="602" w:firstLineChars="200"/>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（一）基本支出情况</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人员经费支出974.49万元，公用经费支出73.17万元。</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人员经费945.29万元，其中：基本工资726.56万元，津贴补贴1.56万元，奖金15.11万元，伙食补助15.72万元，绩效工资5.6万元，养老保险缴费16.76万元，职业年金缴费72.29万元，职工医疗保险缴费10.16万元，住房公积金12.19万元，其他工资福利支出69.34万元。</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2.日常公用经费73.17万元，其中：办公费30.81万元，水费4万元，电费8万元，差旅费0.13万元，培训费5.61万元，公务接待费8.8万元，劳务费10.46万元，福利费2.45万元，公务用车运行维护费2.92万元。</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3.对个人和家庭的补助29.20万元，其中：退休费3.02万元，抚恤金13.53万元，生活补助1.14万元，医疗费补助3.36万元，其他对个人和家庭的补助8.14万元。</w:t>
      </w:r>
    </w:p>
    <w:p>
      <w:pPr>
        <w:keepNext w:val="0"/>
        <w:keepLines w:val="0"/>
        <w:pageBreakBefore w:val="0"/>
        <w:kinsoku/>
        <w:wordWrap/>
        <w:overflowPunct/>
        <w:topLinePunct w:val="0"/>
        <w:bidi w:val="0"/>
        <w:spacing w:line="600" w:lineRule="exact"/>
        <w:ind w:firstLine="602" w:firstLineChars="200"/>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（二）项目支出情况</w:t>
      </w:r>
    </w:p>
    <w:p>
      <w:pPr>
        <w:keepNext w:val="0"/>
        <w:keepLines w:val="0"/>
        <w:pageBreakBefore w:val="0"/>
        <w:kinsoku/>
        <w:wordWrap/>
        <w:overflowPunct/>
        <w:topLinePunct w:val="0"/>
        <w:bidi w:val="0"/>
        <w:spacing w:line="600" w:lineRule="exact"/>
        <w:ind w:firstLine="600" w:firstLineChars="200"/>
        <w:jc w:val="left"/>
      </w:pPr>
      <w:r>
        <w:rPr>
          <w:rFonts w:hint="eastAsia" w:ascii="仿宋" w:hAnsi="仿宋" w:eastAsia="仿宋" w:cs="仿宋"/>
          <w:sz w:val="30"/>
          <w:szCs w:val="30"/>
          <w:highlight w:val="none"/>
          <w:lang w:val="en-US" w:eastAsia="zh-CN"/>
        </w:rPr>
        <w:t>2021年项目支出1144.41万元，其中：2020年度公路养护967.31万元，车购税农村公路建设资金81万元，其他公路水路支出72.61万元。</w:t>
      </w:r>
    </w:p>
    <w:p>
      <w:pPr>
        <w:keepNext w:val="0"/>
        <w:keepLines w:val="0"/>
        <w:pageBreakBefore w:val="0"/>
        <w:kinsoku/>
        <w:wordWrap/>
        <w:overflowPunct/>
        <w:topLinePunct w:val="0"/>
        <w:bidi w:val="0"/>
        <w:spacing w:line="60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2021年度财政拨款收入总计</w:t>
      </w:r>
      <w:r>
        <w:rPr>
          <w:rFonts w:hint="eastAsia" w:ascii="仿宋" w:hAnsi="仿宋" w:eastAsia="仿宋" w:cs="仿宋"/>
          <w:sz w:val="30"/>
          <w:szCs w:val="30"/>
          <w:highlight w:val="none"/>
        </w:rPr>
        <w:t>2192.07</w:t>
      </w:r>
      <w:r>
        <w:rPr>
          <w:rFonts w:hint="eastAsia" w:ascii="仿宋" w:hAnsi="仿宋" w:eastAsia="仿宋" w:cs="仿宋"/>
          <w:color w:val="000000"/>
          <w:kern w:val="0"/>
          <w:sz w:val="30"/>
          <w:szCs w:val="30"/>
          <w:highlight w:val="none"/>
        </w:rPr>
        <w:t>万元，与</w:t>
      </w:r>
      <w:r>
        <w:rPr>
          <w:rFonts w:hint="eastAsia" w:ascii="仿宋" w:hAnsi="仿宋" w:eastAsia="仿宋" w:cs="仿宋"/>
          <w:color w:val="000000"/>
          <w:kern w:val="0"/>
          <w:sz w:val="30"/>
          <w:szCs w:val="30"/>
          <w:highlight w:val="none"/>
          <w:lang w:eastAsia="zh-CN"/>
        </w:rPr>
        <w:t>上</w:t>
      </w:r>
      <w:r>
        <w:rPr>
          <w:rFonts w:hint="eastAsia" w:ascii="仿宋" w:hAnsi="仿宋" w:eastAsia="仿宋" w:cs="仿宋"/>
          <w:color w:val="000000"/>
          <w:kern w:val="0"/>
          <w:sz w:val="30"/>
          <w:szCs w:val="30"/>
          <w:highlight w:val="none"/>
        </w:rPr>
        <w:t>年相比，减少7579.11万元，减少77.56%</w:t>
      </w:r>
      <w:r>
        <w:rPr>
          <w:rFonts w:hint="eastAsia" w:ascii="仿宋" w:hAnsi="仿宋" w:eastAsia="仿宋" w:cs="仿宋"/>
          <w:color w:val="000000"/>
          <w:kern w:val="0"/>
          <w:sz w:val="30"/>
          <w:szCs w:val="30"/>
          <w:highlight w:val="none"/>
          <w:lang w:eastAsia="zh-CN"/>
        </w:rPr>
        <w:t>；</w:t>
      </w:r>
      <w:r>
        <w:rPr>
          <w:rFonts w:hint="eastAsia" w:ascii="仿宋" w:hAnsi="仿宋" w:eastAsia="仿宋" w:cs="仿宋"/>
          <w:sz w:val="30"/>
          <w:szCs w:val="30"/>
          <w:highlight w:val="none"/>
        </w:rPr>
        <w:t>财政拨款支出总计2192.07万元，与</w:t>
      </w:r>
      <w:r>
        <w:rPr>
          <w:rFonts w:hint="eastAsia" w:ascii="仿宋" w:hAnsi="仿宋" w:eastAsia="仿宋" w:cs="仿宋"/>
          <w:sz w:val="30"/>
          <w:szCs w:val="30"/>
          <w:highlight w:val="none"/>
          <w:lang w:eastAsia="zh-CN"/>
        </w:rPr>
        <w:t>上</w:t>
      </w:r>
      <w:r>
        <w:rPr>
          <w:rFonts w:hint="eastAsia" w:ascii="仿宋" w:hAnsi="仿宋" w:eastAsia="仿宋" w:cs="仿宋"/>
          <w:sz w:val="30"/>
          <w:szCs w:val="30"/>
          <w:highlight w:val="none"/>
        </w:rPr>
        <w:t>年相比，减少7579.11万元，减少77.56%</w:t>
      </w:r>
      <w:r>
        <w:rPr>
          <w:rFonts w:hint="eastAsia" w:ascii="仿宋" w:hAnsi="仿宋" w:eastAsia="仿宋" w:cs="仿宋"/>
          <w:sz w:val="30"/>
          <w:szCs w:val="30"/>
          <w:highlight w:val="none"/>
          <w:lang w:eastAsia="zh-CN"/>
        </w:rPr>
        <w:t>。收入和支出减少</w:t>
      </w:r>
      <w:r>
        <w:rPr>
          <w:rFonts w:hint="eastAsia" w:ascii="仿宋" w:hAnsi="仿宋" w:eastAsia="仿宋" w:cs="仿宋"/>
          <w:sz w:val="30"/>
          <w:szCs w:val="30"/>
          <w:highlight w:val="none"/>
        </w:rPr>
        <w:t>主要是因为</w:t>
      </w:r>
      <w:r>
        <w:rPr>
          <w:rFonts w:hint="eastAsia" w:ascii="仿宋" w:hAnsi="仿宋" w:eastAsia="仿宋" w:cs="仿宋"/>
          <w:sz w:val="30"/>
          <w:szCs w:val="30"/>
          <w:highlight w:val="none"/>
          <w:lang w:val="zh-CN"/>
        </w:rPr>
        <w:t>减少了对农村公路的投入。</w:t>
      </w:r>
    </w:p>
    <w:p>
      <w:pPr>
        <w:keepNext w:val="0"/>
        <w:keepLines w:val="0"/>
        <w:pageBreakBefore w:val="0"/>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三、政府性基金预算支出情况</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我中心2021年度无政府性基金预算支出。</w:t>
      </w:r>
    </w:p>
    <w:p>
      <w:pPr>
        <w:keepNext w:val="0"/>
        <w:keepLines w:val="0"/>
        <w:pageBreakBefore w:val="0"/>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四、国有资本经营预算支出情况</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我中心2021年度无国有资本经营预算支出。</w:t>
      </w:r>
    </w:p>
    <w:p>
      <w:pPr>
        <w:keepNext w:val="0"/>
        <w:keepLines w:val="0"/>
        <w:pageBreakBefore w:val="0"/>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五、社会保险基金预算支出情况</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我中心2021年度无社会保险基金预算支出。</w:t>
      </w:r>
    </w:p>
    <w:p>
      <w:pPr>
        <w:keepNext w:val="0"/>
        <w:keepLines w:val="0"/>
        <w:pageBreakBefore w:val="0"/>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六、部门整体支出绩效情况</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为进一步规范财政资金管理，牢固树立预算绩效理念，强化责任，提高财政资金使用效益，根据《预算法》及上级有关部门要求，成立了由一把手、分管领导、财务、业务、监事会人员参加的绩效自评小组，对部门整体支出特别是津补贴落实、资产管理、三公经费、预决算公开、区委政府年度绩效目标个性指标完成等情况进行评价。</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预算总体执行情况较好，能按照制定的计划完成，预期的绩效目标的也基本实现，无论是取得的经济效益还是社会效益都有显著成果，主要表现在：</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1.经济效益：通过农村公路提质改造，进一步解决了农村公路出行拥堵的问题，为沿线居民经济进一步增长创造了条件，能在一定程度上提高项目区内农民人均年纯收入；        </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2.社会效益：进一步提高了大中修工程质量，大大提高了我市国省干线公路路况和路网服务水平，进一步改善了沿线乡镇居民生产和生活条件；</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3.生态效益：本项目为基础建设项目，与生态效益无直接联系。    </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4、勤俭节约,确保机关运转。通过制定严格规章制度，严格执行有关规定，在部门经费不足的情况下，确保了机关正常运转。</w:t>
      </w:r>
    </w:p>
    <w:p>
      <w:pPr>
        <w:keepNext w:val="0"/>
        <w:keepLines w:val="0"/>
        <w:pageBreakBefore w:val="0"/>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七、存在的问题及原因分析</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1.项目的地方配套资金压力大，建议加大项目的部省资金投入或提高补助标准，解决项目的资金缺口。</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2.因部门整体支出的预算资金安排和使用上仍有不可预见性，年中需要追加部分经费，所以导致预算控制率稍低，加强预算管理、严格预算执行，科学编制预算。</w:t>
      </w:r>
    </w:p>
    <w:p>
      <w:pPr>
        <w:keepNext w:val="0"/>
        <w:keepLines w:val="0"/>
        <w:pageBreakBefore w:val="0"/>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八、下一步改进措施</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1.把国省干线及农村公路专项养护经费纳入区财政预算。</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2.加强队伍建设，抓好绩效评价管理部门的队伍建设和业务指导，培养项目和部门的绩效管理队伍，建立绩效评价的长期机制。</w:t>
      </w:r>
    </w:p>
    <w:p>
      <w:pPr>
        <w:keepNext w:val="0"/>
        <w:keepLines w:val="0"/>
        <w:pageBreakBefore w:val="0"/>
        <w:kinsoku/>
        <w:wordWrap/>
        <w:overflowPunct/>
        <w:topLinePunct w:val="0"/>
        <w:bidi w:val="0"/>
        <w:spacing w:line="600" w:lineRule="exact"/>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九、其他需要说明的情况</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无。</w:t>
      </w:r>
    </w:p>
    <w:p>
      <w:pPr>
        <w:keepNext w:val="0"/>
        <w:keepLines w:val="0"/>
        <w:pageBreakBefore w:val="0"/>
        <w:kinsoku/>
        <w:wordWrap/>
        <w:overflowPunct/>
        <w:topLinePunct w:val="0"/>
        <w:bidi w:val="0"/>
        <w:spacing w:line="600" w:lineRule="exac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附件：2021年度部门整体支出绩效自评指标计分表</w:t>
      </w:r>
    </w:p>
    <w:p>
      <w:pPr>
        <w:keepNext w:val="0"/>
        <w:keepLines w:val="0"/>
        <w:pageBreakBefore w:val="0"/>
        <w:kinsoku/>
        <w:overflowPunct/>
        <w:topLinePunct w:val="0"/>
        <w:autoSpaceDN/>
        <w:bidi w:val="0"/>
        <w:adjustRightInd/>
        <w:spacing w:beforeLines="50" w:afterLines="50" w:line="600" w:lineRule="exact"/>
        <w:jc w:val="both"/>
        <w:textAlignment w:val="auto"/>
        <w:rPr>
          <w:rFonts w:hint="eastAsia" w:ascii="黑体" w:hAnsi="黑体" w:eastAsia="黑体" w:cs="黑体"/>
          <w:sz w:val="30"/>
          <w:szCs w:val="30"/>
        </w:rPr>
      </w:pPr>
      <w:bookmarkStart w:id="0" w:name="_GoBack"/>
      <w:bookmarkEnd w:id="0"/>
    </w:p>
    <w:p>
      <w:pPr>
        <w:keepNext w:val="0"/>
        <w:keepLines w:val="0"/>
        <w:pageBreakBefore w:val="0"/>
        <w:kinsoku/>
        <w:overflowPunct/>
        <w:topLinePunct w:val="0"/>
        <w:autoSpaceDN/>
        <w:bidi w:val="0"/>
        <w:adjustRightInd/>
        <w:spacing w:beforeLines="50" w:afterLines="50" w:line="600" w:lineRule="exact"/>
        <w:ind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r>
              <w:rPr>
                <w:rFonts w:hint="eastAsia" w:ascii="宋体" w:cs="宋体"/>
              </w:rPr>
              <w:t>96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keepNext w:val="0"/>
        <w:keepLines w:val="0"/>
        <w:pageBreakBefore w:val="0"/>
        <w:widowControl/>
        <w:kinsoku/>
        <w:wordWrap/>
        <w:overflowPunct/>
        <w:topLinePunct w:val="0"/>
        <w:bidi w:val="0"/>
        <w:spacing w:line="600" w:lineRule="exact"/>
        <w:ind w:firstLine="600" w:firstLineChars="200"/>
        <w:jc w:val="left"/>
        <w:rPr>
          <w:rFonts w:hint="eastAsia" w:ascii="仿宋" w:hAnsi="仿宋" w:eastAsia="仿宋" w:cs="仿宋"/>
          <w:color w:val="000000"/>
          <w:kern w:val="0"/>
          <w:sz w:val="30"/>
          <w:szCs w:val="30"/>
        </w:rPr>
      </w:pPr>
    </w:p>
    <w:p>
      <w:pPr>
        <w:pStyle w:val="2"/>
        <w:keepNext w:val="0"/>
        <w:keepLines w:val="0"/>
        <w:pageBreakBefore w:val="0"/>
        <w:kinsoku/>
        <w:wordWrap/>
        <w:overflowPunct/>
        <w:topLinePunct w:val="0"/>
        <w:bidi w:val="0"/>
        <w:adjustRightInd w:val="0"/>
        <w:snapToGrid w:val="0"/>
        <w:spacing w:before="49" w:line="600" w:lineRule="exact"/>
        <w:ind w:firstLine="600" w:firstLineChars="200"/>
        <w:jc w:val="left"/>
        <w:textAlignment w:val="baseline"/>
        <w:rPr>
          <w:rFonts w:hint="eastAsia" w:ascii="仿宋" w:hAnsi="仿宋" w:eastAsia="仿宋" w:cs="仿宋"/>
          <w:sz w:val="30"/>
          <w:szCs w:val="30"/>
          <w:lang w:val="en-US" w:eastAsia="zh-CN"/>
        </w:rPr>
      </w:pPr>
    </w:p>
    <w:p>
      <w:pPr>
        <w:pStyle w:val="2"/>
        <w:keepNext w:val="0"/>
        <w:keepLines w:val="0"/>
        <w:pageBreakBefore w:val="0"/>
        <w:kinsoku/>
        <w:wordWrap/>
        <w:overflowPunct/>
        <w:topLinePunct w:val="0"/>
        <w:bidi w:val="0"/>
        <w:adjustRightInd w:val="0"/>
        <w:snapToGrid w:val="0"/>
        <w:spacing w:before="49" w:line="600" w:lineRule="exact"/>
        <w:ind w:firstLine="600" w:firstLineChars="200"/>
        <w:jc w:val="left"/>
        <w:textAlignment w:val="baseline"/>
        <w:rPr>
          <w:rFonts w:hint="eastAsia" w:ascii="仿宋" w:hAnsi="仿宋" w:eastAsia="仿宋" w:cs="仿宋"/>
          <w:sz w:val="30"/>
          <w:szCs w:val="30"/>
          <w:lang w:val="en-US" w:eastAsia="zh-CN"/>
        </w:rPr>
      </w:pPr>
    </w:p>
    <w:p>
      <w:pPr>
        <w:pStyle w:val="2"/>
        <w:keepNext w:val="0"/>
        <w:keepLines w:val="0"/>
        <w:pageBreakBefore w:val="0"/>
        <w:kinsoku/>
        <w:wordWrap/>
        <w:overflowPunct/>
        <w:topLinePunct w:val="0"/>
        <w:bidi w:val="0"/>
        <w:adjustRightInd w:val="0"/>
        <w:snapToGrid w:val="0"/>
        <w:spacing w:before="49" w:line="600" w:lineRule="exact"/>
        <w:ind w:firstLine="600" w:firstLineChars="200"/>
        <w:jc w:val="left"/>
        <w:textAlignment w:val="baseline"/>
        <w:rPr>
          <w:rFonts w:hint="eastAsia" w:ascii="仿宋" w:hAnsi="仿宋" w:eastAsia="仿宋" w:cs="仿宋"/>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6F1DE"/>
    <w:multiLevelType w:val="singleLevel"/>
    <w:tmpl w:val="1D66F1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62BE4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utoSpaceDE w:val="0"/>
      <w:autoSpaceDN w:val="0"/>
      <w:ind w:left="2"/>
      <w:jc w:val="left"/>
      <w:outlineLvl w:val="0"/>
    </w:pPr>
    <w:rPr>
      <w:rFonts w:ascii="黑体" w:hAnsi="Times New Roman" w:eastAsia="黑体" w:cs="黑体"/>
      <w:kern w:val="0"/>
      <w:sz w:val="36"/>
      <w:szCs w:val="36"/>
      <w:lang w:val="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2023-06-20T05:11:47Z</dcterms:created>
  <dc:creator>admin-3</dc:creator>
  <cp:lastModifiedBy>admin-3</cp:lastModifiedBy>
  <dcterms:modified xsi:type="dcterms:W3CDTF">2023-06-20T05:12:39Z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4A3C325AFC3C44669AA35A7B17D3C7EE_12</vt:lpwstr>
  </property>
</Properties>
</file>