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5220"/>
        </w:tabs>
        <w:kinsoku/>
        <w:wordWrap/>
        <w:overflowPunct w:val="0"/>
        <w:topLinePunct w:val="0"/>
        <w:autoSpaceDE/>
        <w:autoSpaceDN/>
        <w:bidi w:val="0"/>
        <w:adjustRightInd/>
        <w:snapToGrid/>
        <w:spacing w:line="600" w:lineRule="exact"/>
        <w:ind w:firstLine="0" w:firstLineChars="0"/>
        <w:jc w:val="center"/>
        <w:textAlignment w:val="auto"/>
        <w:outlineLvl w:val="1"/>
        <w:rPr>
          <w:rFonts w:hint="eastAsia" w:ascii="黑体" w:hAnsi="黑体" w:eastAsia="黑体" w:cs="黑体"/>
          <w:color w:val="000000"/>
          <w:w w:val="95"/>
          <w:kern w:val="0"/>
          <w:sz w:val="36"/>
          <w:szCs w:val="36"/>
        </w:rPr>
      </w:pPr>
    </w:p>
    <w:p>
      <w:pPr>
        <w:keepNext w:val="0"/>
        <w:keepLines w:val="0"/>
        <w:pageBreakBefore w:val="0"/>
        <w:widowControl/>
        <w:tabs>
          <w:tab w:val="left" w:pos="5220"/>
        </w:tabs>
        <w:kinsoku/>
        <w:wordWrap/>
        <w:overflowPunct w:val="0"/>
        <w:topLinePunct w:val="0"/>
        <w:autoSpaceDE/>
        <w:autoSpaceDN/>
        <w:bidi w:val="0"/>
        <w:adjustRightInd/>
        <w:snapToGrid/>
        <w:spacing w:line="600" w:lineRule="exact"/>
        <w:ind w:firstLine="0" w:firstLineChars="0"/>
        <w:jc w:val="center"/>
        <w:textAlignment w:val="auto"/>
        <w:outlineLvl w:val="1"/>
        <w:rPr>
          <w:rFonts w:hint="eastAsia" w:ascii="黑体" w:hAnsi="黑体" w:eastAsia="黑体" w:cs="黑体"/>
          <w:color w:val="000000"/>
          <w:w w:val="95"/>
          <w:kern w:val="0"/>
          <w:sz w:val="36"/>
          <w:szCs w:val="36"/>
        </w:rPr>
      </w:pPr>
      <w:r>
        <w:rPr>
          <w:rFonts w:hint="eastAsia" w:ascii="黑体" w:hAnsi="黑体" w:eastAsia="黑体" w:cs="黑体"/>
          <w:color w:val="000000"/>
          <w:w w:val="95"/>
          <w:kern w:val="0"/>
          <w:sz w:val="36"/>
          <w:szCs w:val="36"/>
        </w:rPr>
        <w:t>益阳市赫山区森林公安局2021年度部门</w:t>
      </w:r>
    </w:p>
    <w:p>
      <w:pPr>
        <w:keepNext w:val="0"/>
        <w:keepLines w:val="0"/>
        <w:pageBreakBefore w:val="0"/>
        <w:widowControl/>
        <w:tabs>
          <w:tab w:val="left" w:pos="5220"/>
        </w:tabs>
        <w:kinsoku/>
        <w:wordWrap/>
        <w:overflowPunct w:val="0"/>
        <w:topLinePunct w:val="0"/>
        <w:autoSpaceDE/>
        <w:autoSpaceDN/>
        <w:bidi w:val="0"/>
        <w:adjustRightInd/>
        <w:snapToGrid/>
        <w:spacing w:line="600" w:lineRule="exact"/>
        <w:ind w:firstLine="0" w:firstLineChars="0"/>
        <w:jc w:val="center"/>
        <w:textAlignment w:val="auto"/>
        <w:outlineLvl w:val="1"/>
        <w:rPr>
          <w:rFonts w:hint="eastAsia" w:ascii="黑体" w:hAnsi="黑体" w:eastAsia="黑体" w:cs="黑体"/>
          <w:color w:val="000000"/>
          <w:w w:val="95"/>
          <w:kern w:val="0"/>
          <w:sz w:val="36"/>
          <w:szCs w:val="36"/>
        </w:rPr>
      </w:pPr>
      <w:r>
        <w:rPr>
          <w:rFonts w:hint="eastAsia" w:ascii="黑体" w:hAnsi="黑体" w:eastAsia="黑体" w:cs="黑体"/>
          <w:color w:val="000000"/>
          <w:w w:val="95"/>
          <w:kern w:val="0"/>
          <w:sz w:val="36"/>
          <w:szCs w:val="36"/>
        </w:rPr>
        <w:t>整体支出绩效评价报告</w:t>
      </w:r>
    </w:p>
    <w:p>
      <w:pPr>
        <w:keepNext w:val="0"/>
        <w:keepLines w:val="0"/>
        <w:pageBreakBefore w:val="0"/>
        <w:widowControl/>
        <w:tabs>
          <w:tab w:val="left" w:pos="5220"/>
        </w:tabs>
        <w:kinsoku/>
        <w:wordWrap/>
        <w:overflowPunct w:val="0"/>
        <w:topLinePunct w:val="0"/>
        <w:autoSpaceDE/>
        <w:autoSpaceDN/>
        <w:bidi w:val="0"/>
        <w:adjustRightInd/>
        <w:snapToGrid/>
        <w:spacing w:line="600" w:lineRule="exact"/>
        <w:ind w:firstLine="570" w:firstLineChars="200"/>
        <w:jc w:val="center"/>
        <w:textAlignment w:val="auto"/>
        <w:outlineLvl w:val="1"/>
        <w:rPr>
          <w:rFonts w:hint="eastAsia" w:ascii="仿宋" w:hAnsi="仿宋" w:eastAsia="仿宋" w:cs="仿宋"/>
          <w:color w:val="000000"/>
          <w:w w:val="95"/>
          <w:kern w:val="0"/>
          <w:sz w:val="30"/>
          <w:szCs w:val="30"/>
        </w:rPr>
      </w:pP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b/>
          <w:color w:val="000000"/>
          <w:kern w:val="0"/>
          <w:sz w:val="30"/>
          <w:szCs w:val="30"/>
        </w:rPr>
      </w:pPr>
      <w:r>
        <w:rPr>
          <w:rFonts w:hint="eastAsia" w:ascii="仿宋" w:hAnsi="仿宋" w:eastAsia="仿宋" w:cs="仿宋"/>
          <w:color w:val="000000"/>
          <w:kern w:val="0"/>
          <w:sz w:val="30"/>
          <w:szCs w:val="30"/>
        </w:rPr>
        <w:t>根据</w:t>
      </w:r>
      <w:r>
        <w:rPr>
          <w:rFonts w:hint="eastAsia" w:ascii="仿宋" w:hAnsi="仿宋" w:eastAsia="仿宋" w:cs="仿宋"/>
          <w:sz w:val="30"/>
          <w:szCs w:val="30"/>
        </w:rPr>
        <w:t>《益阳市赫山区财政局关于做好2021年度预算绩效自评工作的通知》（益赫财绩〔2022〕10号）文件精神，</w:t>
      </w:r>
      <w:r>
        <w:rPr>
          <w:rFonts w:hint="eastAsia" w:ascii="仿宋" w:hAnsi="仿宋" w:eastAsia="仿宋" w:cs="仿宋"/>
          <w:color w:val="000000"/>
          <w:kern w:val="0"/>
          <w:sz w:val="30"/>
          <w:szCs w:val="30"/>
        </w:rPr>
        <w:t>我局对2021年度部门整体支出绩效进行了全面综合评价。</w:t>
      </w:r>
      <w:r>
        <w:rPr>
          <w:rFonts w:hint="eastAsia" w:ascii="仿宋" w:hAnsi="仿宋" w:eastAsia="仿宋" w:cs="仿宋"/>
          <w:sz w:val="30"/>
          <w:szCs w:val="30"/>
        </w:rPr>
        <w:t>部门整体支出重点评价：津贴补贴政策落实情况，资产管理情况，三公经费控制及预算决算公开情况，存量资金管理情况和区委政府年度绩效目标个性指标完成情况和其他应该重点评价的内容等。</w:t>
      </w:r>
      <w:r>
        <w:rPr>
          <w:rFonts w:hint="eastAsia" w:ascii="仿宋" w:hAnsi="仿宋" w:eastAsia="仿宋" w:cs="仿宋"/>
          <w:color w:val="000000"/>
          <w:kern w:val="0"/>
          <w:sz w:val="30"/>
          <w:szCs w:val="30"/>
        </w:rPr>
        <w:t>经相关业务股室全面综合评价，我局2021年度部门整体支出绩效自评分为95分，自评等级为“优”，现将自评情况汇报如下：</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一、单位基本情况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after="0" w:line="600" w:lineRule="exact"/>
        <w:ind w:left="0" w:right="0" w:firstLine="600" w:firstLineChars="200"/>
        <w:jc w:val="both"/>
        <w:textAlignment w:val="auto"/>
        <w:outlineLvl w:val="9"/>
        <w:rPr>
          <w:rFonts w:hint="eastAsia" w:ascii="黑体" w:hAnsi="黑体" w:eastAsia="黑体" w:cs="黑体"/>
          <w:b w:val="0"/>
          <w:bCs w:val="0"/>
          <w:snapToGrid/>
          <w:color w:val="auto"/>
          <w:spacing w:val="0"/>
          <w:w w:val="100"/>
          <w:kern w:val="2"/>
          <w:position w:val="0"/>
          <w:sz w:val="30"/>
          <w:szCs w:val="30"/>
          <w:highlight w:val="none"/>
          <w:u w:val="none" w:color="auto"/>
          <w:vertAlign w:val="baseline"/>
          <w:lang w:val="en-US" w:eastAsia="zh-CN"/>
        </w:rPr>
      </w:pPr>
      <w:r>
        <w:rPr>
          <w:rFonts w:hint="eastAsia" w:ascii="黑体" w:hAnsi="黑体" w:eastAsia="黑体" w:cs="黑体"/>
          <w:b w:val="0"/>
          <w:bCs w:val="0"/>
          <w:snapToGrid/>
          <w:color w:val="auto"/>
          <w:spacing w:val="0"/>
          <w:w w:val="100"/>
          <w:kern w:val="2"/>
          <w:position w:val="0"/>
          <w:sz w:val="30"/>
          <w:szCs w:val="30"/>
          <w:highlight w:val="none"/>
          <w:u w:val="none" w:color="auto"/>
          <w:vertAlign w:val="baseline"/>
          <w:lang w:val="en-US" w:eastAsia="zh-CN"/>
        </w:rPr>
        <w:t>1、</w:t>
      </w:r>
      <w:r>
        <w:rPr>
          <w:rFonts w:hint="eastAsia" w:ascii="黑体" w:hAnsi="黑体" w:eastAsia="黑体" w:cs="黑体"/>
          <w:b w:val="0"/>
          <w:bCs w:val="0"/>
          <w:snapToGrid/>
          <w:color w:val="auto"/>
          <w:spacing w:val="0"/>
          <w:w w:val="100"/>
          <w:kern w:val="2"/>
          <w:position w:val="0"/>
          <w:sz w:val="30"/>
          <w:szCs w:val="30"/>
          <w:highlight w:val="none"/>
          <w:u w:val="none" w:color="auto"/>
          <w:vertAlign w:val="baseline"/>
          <w:lang w:val="zh-CN" w:eastAsia="zh-CN"/>
        </w:rPr>
        <w:t>部门职责</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snapToGrid/>
          <w:color w:val="auto"/>
          <w:spacing w:val="0"/>
          <w:w w:val="100"/>
          <w:kern w:val="2"/>
          <w:position w:val="0"/>
          <w:sz w:val="30"/>
          <w:szCs w:val="30"/>
          <w:highlight w:val="none"/>
          <w:u w:val="none" w:color="auto"/>
          <w:vertAlign w:val="baseline"/>
          <w:lang w:val="zh-CN" w:eastAsia="zh-CN"/>
        </w:rPr>
      </w:pPr>
      <w:r>
        <w:rPr>
          <w:rFonts w:hint="eastAsia" w:ascii="仿宋" w:hAnsi="仿宋" w:eastAsia="仿宋" w:cs="仿宋"/>
          <w:snapToGrid/>
          <w:color w:val="auto"/>
          <w:spacing w:val="0"/>
          <w:w w:val="100"/>
          <w:kern w:val="2"/>
          <w:position w:val="0"/>
          <w:sz w:val="30"/>
          <w:szCs w:val="30"/>
          <w:highlight w:val="none"/>
          <w:u w:val="none" w:color="auto"/>
          <w:vertAlign w:val="baseline"/>
          <w:lang w:val="zh-CN" w:eastAsia="zh-CN"/>
        </w:rPr>
        <w:t>保护森林资源和陆生野生动植物资源、维护赫山生态安全。负责查处全区涉林刑事违法案件和涉林治安案件，维护林区社会治安秩序。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after="0" w:line="600" w:lineRule="exact"/>
        <w:ind w:left="0" w:right="0" w:firstLine="602" w:firstLineChars="200"/>
        <w:jc w:val="both"/>
        <w:textAlignment w:val="auto"/>
        <w:outlineLvl w:val="9"/>
        <w:rPr>
          <w:rFonts w:hint="default" w:ascii="仿宋" w:hAnsi="仿宋" w:eastAsia="仿宋" w:cs="仿宋"/>
          <w:b/>
          <w:bCs/>
          <w:snapToGrid/>
          <w:color w:val="000000"/>
          <w:spacing w:val="0"/>
          <w:w w:val="100"/>
          <w:kern w:val="2"/>
          <w:position w:val="0"/>
          <w:sz w:val="30"/>
          <w:szCs w:val="30"/>
          <w:highlight w:val="none"/>
          <w:u w:val="none" w:color="auto"/>
          <w:vertAlign w:val="baseline"/>
          <w:lang w:val="en-US" w:eastAsia="zh-CN"/>
        </w:rPr>
      </w:pPr>
      <w:r>
        <w:rPr>
          <w:rFonts w:hint="eastAsia" w:ascii="仿宋" w:hAnsi="仿宋" w:eastAsia="仿宋" w:cs="仿宋"/>
          <w:b/>
          <w:bCs/>
          <w:snapToGrid/>
          <w:color w:val="000000"/>
          <w:spacing w:val="0"/>
          <w:w w:val="100"/>
          <w:kern w:val="2"/>
          <w:position w:val="0"/>
          <w:sz w:val="30"/>
          <w:szCs w:val="30"/>
          <w:highlight w:val="none"/>
          <w:u w:val="none" w:color="auto"/>
          <w:vertAlign w:val="baseline"/>
          <w:lang w:val="en-US" w:eastAsia="zh-CN"/>
        </w:rPr>
        <w:t>2、机构设置情况</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snapToGrid/>
          <w:color w:val="auto"/>
          <w:spacing w:val="0"/>
          <w:w w:val="100"/>
          <w:kern w:val="2"/>
          <w:position w:val="0"/>
          <w:sz w:val="30"/>
          <w:szCs w:val="30"/>
          <w:highlight w:val="none"/>
          <w:u w:val="none" w:color="auto"/>
          <w:vertAlign w:val="baseline"/>
          <w:lang w:val="zh-CN" w:eastAsia="zh-CN"/>
        </w:rPr>
      </w:pPr>
      <w:r>
        <w:rPr>
          <w:rFonts w:hint="eastAsia" w:ascii="仿宋" w:hAnsi="仿宋" w:eastAsia="仿宋" w:cs="仿宋"/>
          <w:snapToGrid/>
          <w:color w:val="000000"/>
          <w:spacing w:val="0"/>
          <w:w w:val="100"/>
          <w:kern w:val="2"/>
          <w:position w:val="0"/>
          <w:sz w:val="30"/>
          <w:szCs w:val="30"/>
          <w:highlight w:val="none"/>
          <w:u w:val="none" w:color="auto"/>
          <w:vertAlign w:val="baseline"/>
          <w:lang w:val="zh-CN" w:eastAsia="zh-CN"/>
        </w:rPr>
        <w:t>益阳市</w:t>
      </w:r>
      <w:r>
        <w:rPr>
          <w:rFonts w:hint="eastAsia" w:ascii="仿宋" w:hAnsi="仿宋" w:eastAsia="仿宋" w:cs="仿宋"/>
          <w:color w:val="000000"/>
          <w:sz w:val="30"/>
          <w:szCs w:val="30"/>
          <w:highlight w:val="none"/>
          <w:lang w:val="zh-CN" w:eastAsia="zh-CN"/>
        </w:rPr>
        <w:t>赫山区森林公安局单位内设机构包括：刑侦治安队、法制股、综合股。</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森林公安局属行政单位，区编委核定单位行政编制8个，2021年年末单位实有在职人数8人。</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rPr>
        <w:t>（一）基本支出</w:t>
      </w:r>
      <w:r>
        <w:rPr>
          <w:rFonts w:hint="eastAsia" w:ascii="仿宋" w:hAnsi="仿宋" w:eastAsia="仿宋" w:cs="仿宋"/>
          <w:b/>
          <w:bCs/>
          <w:sz w:val="30"/>
          <w:szCs w:val="30"/>
          <w:highlight w:val="none"/>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snapToGrid/>
          <w:color w:val="auto"/>
          <w:spacing w:val="0"/>
          <w:w w:val="100"/>
          <w:kern w:val="2"/>
          <w:position w:val="0"/>
          <w:sz w:val="30"/>
          <w:szCs w:val="30"/>
          <w:highlight w:val="none"/>
          <w:u w:val="none" w:color="auto"/>
          <w:vertAlign w:val="baseline"/>
          <w:lang w:val="zh-CN" w:eastAsia="zh-CN"/>
        </w:rPr>
      </w:pPr>
      <w:r>
        <w:rPr>
          <w:rFonts w:hint="eastAsia" w:ascii="仿宋" w:hAnsi="仿宋" w:eastAsia="仿宋" w:cs="仿宋"/>
          <w:b w:val="0"/>
          <w:bCs w:val="0"/>
          <w:color w:val="auto"/>
          <w:sz w:val="30"/>
          <w:szCs w:val="30"/>
          <w:highlight w:val="none"/>
          <w:lang w:val="en-US" w:eastAsia="zh-CN"/>
        </w:rPr>
        <w:t>基本支出</w:t>
      </w:r>
      <w:r>
        <w:rPr>
          <w:rFonts w:hint="eastAsia" w:ascii="仿宋" w:hAnsi="仿宋" w:eastAsia="仿宋" w:cs="仿宋"/>
          <w:i w:val="0"/>
          <w:caps w:val="0"/>
          <w:color w:val="auto"/>
          <w:spacing w:val="0"/>
          <w:kern w:val="0"/>
          <w:sz w:val="30"/>
          <w:szCs w:val="30"/>
          <w:highlight w:val="none"/>
          <w:shd w:val="clear" w:color="auto" w:fill="FFFFFF"/>
          <w:lang w:val="en-US" w:eastAsia="zh-CN" w:bidi="ar"/>
        </w:rPr>
        <w:t>是指为保障单位机构正常运转、完成日常工作任务而发生的各项支出，</w:t>
      </w:r>
      <w:r>
        <w:rPr>
          <w:rFonts w:hint="eastAsia" w:ascii="仿宋" w:hAnsi="仿宋" w:eastAsia="仿宋" w:cs="仿宋"/>
          <w:color w:val="auto"/>
          <w:sz w:val="30"/>
          <w:szCs w:val="30"/>
          <w:highlight w:val="none"/>
        </w:rPr>
        <w:t>包括用于基本工资、津贴补贴等人员经费以及办公费、印刷费、水电费、办公设备购置等日常公用经费。2021年</w:t>
      </w:r>
      <w:r>
        <w:rPr>
          <w:rFonts w:hint="eastAsia" w:ascii="仿宋" w:hAnsi="仿宋" w:eastAsia="仿宋" w:cs="仿宋"/>
          <w:color w:val="auto"/>
          <w:sz w:val="30"/>
          <w:szCs w:val="30"/>
          <w:highlight w:val="none"/>
          <w:lang w:val="en-US" w:eastAsia="zh-CN"/>
        </w:rPr>
        <w:t>基本</w:t>
      </w:r>
      <w:r>
        <w:rPr>
          <w:rFonts w:hint="eastAsia" w:ascii="仿宋" w:hAnsi="仿宋" w:eastAsia="仿宋" w:cs="仿宋"/>
          <w:color w:val="auto"/>
          <w:sz w:val="30"/>
          <w:szCs w:val="30"/>
          <w:highlight w:val="none"/>
        </w:rPr>
        <w:t>支出为</w:t>
      </w:r>
      <w:r>
        <w:rPr>
          <w:rFonts w:hint="eastAsia" w:ascii="仿宋" w:hAnsi="仿宋" w:eastAsia="仿宋" w:cs="仿宋"/>
          <w:color w:val="auto"/>
          <w:sz w:val="30"/>
          <w:szCs w:val="30"/>
          <w:highlight w:val="none"/>
          <w:lang w:val="en-US" w:eastAsia="zh-CN"/>
        </w:rPr>
        <w:t>153.22</w:t>
      </w:r>
      <w:r>
        <w:rPr>
          <w:rFonts w:hint="eastAsia" w:ascii="仿宋" w:hAnsi="仿宋" w:eastAsia="仿宋" w:cs="仿宋"/>
          <w:color w:val="auto"/>
          <w:sz w:val="30"/>
          <w:szCs w:val="30"/>
          <w:highlight w:val="none"/>
        </w:rPr>
        <w:t>万元，</w:t>
      </w:r>
      <w:r>
        <w:rPr>
          <w:rFonts w:hint="eastAsia" w:ascii="仿宋" w:hAnsi="仿宋" w:eastAsia="仿宋" w:cs="仿宋"/>
          <w:i w:val="0"/>
          <w:caps w:val="0"/>
          <w:color w:val="auto"/>
          <w:spacing w:val="0"/>
          <w:kern w:val="0"/>
          <w:sz w:val="30"/>
          <w:szCs w:val="30"/>
          <w:highlight w:val="none"/>
          <w:shd w:val="clear" w:color="auto" w:fill="FFFFFF"/>
          <w:lang w:val="en-US" w:eastAsia="zh-CN" w:bidi="ar"/>
        </w:rPr>
        <w:t>较上年减少4.18万元，减少2.66%，其中人员经费支出138.1万元，占基本支出的 90.14%，较上年增加3.11%，主要是由于:人员晋级经费增加；公用经费支出支出15.11万元,占基本支出的9.86%,较上年减少35.62 %，主要是由于:森林防火经费</w:t>
      </w:r>
      <w:r>
        <w:rPr>
          <w:rFonts w:hint="eastAsia" w:ascii="仿宋" w:hAnsi="仿宋" w:eastAsia="仿宋" w:cs="仿宋"/>
          <w:snapToGrid/>
          <w:color w:val="auto"/>
          <w:spacing w:val="0"/>
          <w:w w:val="100"/>
          <w:kern w:val="2"/>
          <w:position w:val="0"/>
          <w:sz w:val="30"/>
          <w:szCs w:val="30"/>
          <w:highlight w:val="none"/>
          <w:u w:val="none" w:color="auto"/>
          <w:vertAlign w:val="baseline"/>
          <w:lang w:val="zh-CN" w:eastAsia="zh-CN"/>
        </w:rPr>
        <w:t>减少。</w:t>
      </w:r>
    </w:p>
    <w:p>
      <w:pPr>
        <w:pStyle w:val="2"/>
        <w:rPr>
          <w:rFonts w:hint="default"/>
          <w:highlight w:val="none"/>
          <w:lang w:val="en-US"/>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rPr>
        <w:t>项目支出</w:t>
      </w:r>
      <w:r>
        <w:rPr>
          <w:rFonts w:hint="eastAsia" w:ascii="仿宋" w:hAnsi="仿宋" w:eastAsia="仿宋" w:cs="仿宋"/>
          <w:b/>
          <w:bCs/>
          <w:sz w:val="30"/>
          <w:szCs w:val="30"/>
          <w:highlight w:val="none"/>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highlight w:val="none"/>
          <w:lang w:val="en-US" w:eastAsia="zh-CN"/>
        </w:rPr>
      </w:pPr>
      <w:r>
        <w:rPr>
          <w:rFonts w:hint="eastAsia" w:ascii="仿宋" w:hAnsi="仿宋" w:eastAsia="仿宋" w:cs="仿宋"/>
          <w:i w:val="0"/>
          <w:caps w:val="0"/>
          <w:color w:val="333333"/>
          <w:spacing w:val="0"/>
          <w:kern w:val="0"/>
          <w:sz w:val="30"/>
          <w:szCs w:val="30"/>
          <w:highlight w:val="none"/>
          <w:shd w:val="clear" w:color="auto" w:fill="FFFFFF"/>
          <w:lang w:val="en-US" w:eastAsia="zh-CN" w:bidi="ar"/>
        </w:rPr>
        <w:t>项目支出是指单位为完成特定行政工作任务或事业发展目标而发生的支出。2021年项目支出0万元。</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highlight w:val="none"/>
        </w:rPr>
        <w:t>我局严格按照《赫山区森林公安局财务管理制度》等各项内部控制制度执行财务管理，资金使用按照会审程序办理，资金支出执行区财政国库集中支付制度,会计核算严格按照政府会计准则执行，确保了资金支出的规范化、合理化、制度化。资产管理严格按照财务制度进行管理。固定资产严格按照 《益阳市赫山区财政局关于转发〈益阳市2021年政府集中采购目录及政府采购限额标准〉的通知》（益赫财采〔2021〕1号）文件依法依规按程序办理政府采购进行配置。固定资产处置按流程办理审批手续后进行处置。部门预决算公开严格按照预决算文件要求执行，财政局批复后20个工作日内在“中国赫山”部门网站及时公开，接受社会的监督。全年预算资金按规定管理使用，较好的完成了全</w:t>
      </w:r>
      <w:r>
        <w:rPr>
          <w:rFonts w:hint="eastAsia" w:ascii="仿宋" w:hAnsi="仿宋" w:eastAsia="仿宋" w:cs="仿宋"/>
          <w:color w:val="000000"/>
          <w:kern w:val="0"/>
          <w:sz w:val="30"/>
          <w:szCs w:val="30"/>
        </w:rPr>
        <w:t>年预算目标任务。</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三、部门整体支出绩效任务完成情况</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2021年我局在区委区政府的坚强领导下，在全局干职工的共同努力下，林业执法工作任务全面完成，得到了上级部门的充分肯定,林业执法工作的开展有效的打击了全区各类违法犯罪行为，保护了我区的野生动物资源和森林资源。绩效自评结果显示我局绩效管理较为理想，较好的完成了年初设定的各项绩效目标任务。</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全年我局共办理刑事案件18起，其中破坏野生动物资源案件7起、盗伐滥伐林木案件2起、非法占用农用地案件6起、污染环境案件3起。办结移送起诉案件12起21人。有效的打击了破坏野生动物资源和森林资源的违法犯罪行为，提高了我区人民保护野生动物和森林资源的意识。</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四、绩效评价工作情况</w:t>
      </w:r>
    </w:p>
    <w:p>
      <w:pPr>
        <w:keepNext w:val="0"/>
        <w:keepLines w:val="0"/>
        <w:pageBreakBefore w:val="0"/>
        <w:widowControl/>
        <w:kinsoku/>
        <w:wordWrap/>
        <w:overflowPunct w:val="0"/>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lang w:eastAsia="zh-CN"/>
        </w:rPr>
        <w:t>（</w:t>
      </w:r>
      <w:r>
        <w:rPr>
          <w:rFonts w:hint="eastAsia" w:ascii="仿宋" w:hAnsi="仿宋" w:eastAsia="仿宋" w:cs="仿宋"/>
          <w:b/>
          <w:bCs/>
          <w:color w:val="000000"/>
          <w:kern w:val="0"/>
          <w:sz w:val="30"/>
          <w:szCs w:val="30"/>
          <w:lang w:val="en-US" w:eastAsia="zh-CN"/>
        </w:rPr>
        <w:t>一）</w:t>
      </w:r>
      <w:r>
        <w:rPr>
          <w:rFonts w:hint="eastAsia" w:ascii="仿宋" w:hAnsi="仿宋" w:eastAsia="仿宋" w:cs="仿宋"/>
          <w:b/>
          <w:bCs/>
          <w:color w:val="000000"/>
          <w:kern w:val="0"/>
          <w:sz w:val="30"/>
          <w:szCs w:val="30"/>
        </w:rPr>
        <w:t>绩效评价目的</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加强和改进新形势下赫山林业工作，进一步理清部门职责，规范林业资金管理，强化资金使用效益意识，提升林业资金管理水平。</w:t>
      </w:r>
    </w:p>
    <w:p>
      <w:pPr>
        <w:keepNext w:val="0"/>
        <w:keepLines w:val="0"/>
        <w:pageBreakBefore w:val="0"/>
        <w:widowControl/>
        <w:kinsoku/>
        <w:wordWrap/>
        <w:overflowPunct w:val="0"/>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lang w:eastAsia="zh-CN"/>
        </w:rPr>
        <w:t>（</w:t>
      </w:r>
      <w:r>
        <w:rPr>
          <w:rFonts w:hint="eastAsia" w:ascii="仿宋" w:hAnsi="仿宋" w:eastAsia="仿宋" w:cs="仿宋"/>
          <w:b/>
          <w:bCs/>
          <w:color w:val="000000"/>
          <w:kern w:val="0"/>
          <w:sz w:val="30"/>
          <w:szCs w:val="30"/>
          <w:lang w:val="en-US" w:eastAsia="zh-CN"/>
        </w:rPr>
        <w:t>二）</w:t>
      </w:r>
      <w:r>
        <w:rPr>
          <w:rFonts w:hint="eastAsia" w:ascii="仿宋" w:hAnsi="仿宋" w:eastAsia="仿宋" w:cs="仿宋"/>
          <w:b/>
          <w:bCs/>
          <w:color w:val="000000"/>
          <w:kern w:val="0"/>
          <w:sz w:val="30"/>
          <w:szCs w:val="30"/>
        </w:rPr>
        <w:t>绩效评价工作过程</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我局成立了局长为组长，业务分管领导为副组长，业务股室负责人为成员的绩效评价工作小组，主要负责森林公安局部门绩效自评工作的组织领导和具体实施。根据年初设定的绩效目标我们制定了切实可行的评价方案。根据各业务股室提交的工作计划、工作总结等资料，评价小组现场进行询查和核实，根据确定的评价指标、评价标准和评价方法统一打分，形成自评结论。部门整体支出绩效自评报告及其他按要求应公开的绩效信息均按要求在部门门户网站对外公开，接受社会监督。</w:t>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附件：</w:t>
      </w:r>
      <w:r>
        <w:rPr>
          <w:rFonts w:hint="eastAsia" w:ascii="仿宋" w:hAnsi="仿宋" w:eastAsia="仿宋" w:cs="仿宋"/>
          <w:color w:val="000000"/>
          <w:kern w:val="0"/>
          <w:sz w:val="30"/>
          <w:szCs w:val="30"/>
        </w:rPr>
        <w:fldChar w:fldCharType="begin"/>
      </w:r>
      <w:r>
        <w:rPr>
          <w:rFonts w:hint="eastAsia" w:ascii="仿宋" w:hAnsi="仿宋" w:eastAsia="仿宋" w:cs="仿宋"/>
          <w:color w:val="000000"/>
          <w:kern w:val="0"/>
          <w:sz w:val="30"/>
          <w:szCs w:val="30"/>
        </w:rPr>
        <w:instrText xml:space="preserve">HYPERLINK "http://www.yuanling.gov.cn/UploadFiles/ZWGK/2016/11/201611110829153640.xls"</w:instrText>
      </w:r>
      <w:r>
        <w:rPr>
          <w:rFonts w:hint="eastAsia" w:ascii="仿宋" w:hAnsi="仿宋" w:eastAsia="仿宋" w:cs="仿宋"/>
          <w:color w:val="000000"/>
          <w:kern w:val="0"/>
          <w:sz w:val="30"/>
          <w:szCs w:val="30"/>
        </w:rPr>
        <w:fldChar w:fldCharType="separate"/>
      </w:r>
      <w:r>
        <w:rPr>
          <w:rFonts w:hint="eastAsia" w:ascii="仿宋" w:hAnsi="仿宋" w:eastAsia="仿宋" w:cs="仿宋"/>
          <w:color w:val="000000"/>
          <w:kern w:val="0"/>
          <w:sz w:val="30"/>
          <w:szCs w:val="30"/>
        </w:rPr>
        <w:t>2021年度部门整体支出绩效自评指标计分表</w:t>
      </w:r>
      <w:r>
        <w:rPr>
          <w:rFonts w:hint="eastAsia" w:ascii="仿宋" w:hAnsi="仿宋" w:eastAsia="仿宋" w:cs="仿宋"/>
          <w:color w:val="000000"/>
          <w:kern w:val="0"/>
          <w:sz w:val="30"/>
          <w:szCs w:val="30"/>
        </w:rPr>
        <w:fldChar w:fldCharType="end"/>
      </w: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p>
    <w:p>
      <w:pPr>
        <w:keepNext w:val="0"/>
        <w:keepLines w:val="0"/>
        <w:pageBreakBefore w:val="0"/>
        <w:widowControl/>
        <w:kinsoku/>
        <w:wordWrap/>
        <w:overflowPunct w:val="0"/>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p>
    <w:p>
      <w:pPr>
        <w:keepNext w:val="0"/>
        <w:keepLines w:val="0"/>
        <w:pageBreakBefore w:val="0"/>
        <w:widowControl/>
        <w:kinsoku/>
        <w:wordWrap/>
        <w:overflowPunct w:val="0"/>
        <w:topLinePunct w:val="0"/>
        <w:autoSpaceDE/>
        <w:autoSpaceDN/>
        <w:bidi w:val="0"/>
        <w:adjustRightInd/>
        <w:snapToGrid/>
        <w:spacing w:line="600" w:lineRule="exact"/>
        <w:textAlignment w:val="auto"/>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rPr>
      </w:pPr>
      <w:bookmarkStart w:id="0" w:name="_GoBack"/>
      <w:bookmarkEnd w:id="0"/>
    </w:p>
    <w:p>
      <w:pPr>
        <w:keepNext w:val="0"/>
        <w:keepLines w:val="0"/>
        <w:pageBreakBefore w:val="0"/>
        <w:widowControl/>
        <w:kinsoku/>
        <w:wordWrap/>
        <w:topLinePunct w:val="0"/>
        <w:autoSpaceDE/>
        <w:autoSpaceDN/>
        <w:bidi w:val="0"/>
        <w:adjustRightInd/>
        <w:snapToGrid/>
        <w:spacing w:before="156" w:beforeLines="50" w:after="156" w:afterLines="50" w:line="600" w:lineRule="exact"/>
        <w:ind w:firstLine="600" w:firstLineChars="200"/>
        <w:jc w:val="center"/>
        <w:textAlignment w:val="auto"/>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737"/>
        <w:gridCol w:w="982"/>
        <w:gridCol w:w="737"/>
        <w:gridCol w:w="309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b/>
                <w:bCs/>
                <w:szCs w:val="21"/>
              </w:rPr>
            </w:pPr>
            <w:r>
              <w:rPr>
                <w:rFonts w:hint="eastAsia" w:ascii="宋体" w:hAnsi="宋体" w:cs="宋体"/>
                <w:b/>
                <w:bCs/>
              </w:rPr>
              <w:t>一级</w:t>
            </w:r>
            <w:r>
              <w:rPr>
                <w:rFonts w:hint="eastAsia" w:ascii="宋体"/>
                <w:b/>
                <w:bCs/>
              </w:rPr>
              <w:br w:type="textWrapping"/>
            </w:r>
            <w:r>
              <w:rPr>
                <w:rFonts w:hint="eastAsia" w:ascii="宋体" w:hAnsi="宋体" w:cs="宋体"/>
                <w:b/>
                <w:bCs/>
              </w:rPr>
              <w:t>指标</w:t>
            </w:r>
          </w:p>
        </w:tc>
        <w:tc>
          <w:tcPr>
            <w:tcW w:w="375"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right="-174" w:rightChars="-83"/>
              <w:jc w:val="center"/>
              <w:rPr>
                <w:rFonts w:ascii="宋体"/>
                <w:b/>
                <w:bCs/>
                <w:szCs w:val="21"/>
              </w:rPr>
            </w:pPr>
            <w:r>
              <w:rPr>
                <w:rFonts w:hint="eastAsia" w:ascii="宋体" w:hAnsi="宋体" w:cs="宋体"/>
                <w:b/>
                <w:bCs/>
              </w:rPr>
              <w:t>二级</w:t>
            </w:r>
          </w:p>
          <w:p>
            <w:pPr>
              <w:spacing w:line="240" w:lineRule="exact"/>
              <w:ind w:right="-174" w:rightChars="-83"/>
              <w:jc w:val="center"/>
              <w:rPr>
                <w:rFonts w:ascii="宋体"/>
                <w:b/>
                <w:bCs/>
                <w:szCs w:val="21"/>
              </w:rPr>
            </w:pPr>
            <w:r>
              <w:rPr>
                <w:rFonts w:hint="eastAsia" w:ascii="宋体" w:hAnsi="宋体" w:cs="宋体"/>
                <w:b/>
                <w:bCs/>
              </w:rPr>
              <w:t>指标</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b/>
                <w:bCs/>
                <w:szCs w:val="21"/>
              </w:rPr>
            </w:pPr>
            <w:r>
              <w:rPr>
                <w:rFonts w:hint="eastAsia" w:ascii="宋体" w:hAnsi="宋体" w:cs="宋体"/>
                <w:b/>
                <w:bCs/>
              </w:rPr>
              <w:t>三级</w:t>
            </w:r>
          </w:p>
          <w:p>
            <w:pPr>
              <w:spacing w:line="240" w:lineRule="exact"/>
              <w:jc w:val="center"/>
              <w:rPr>
                <w:rFonts w:ascii="宋体"/>
                <w:b/>
                <w:bCs/>
                <w:szCs w:val="21"/>
              </w:rPr>
            </w:pPr>
            <w:r>
              <w:rPr>
                <w:rFonts w:hint="eastAsia" w:ascii="宋体" w:hAnsi="宋体" w:cs="宋体"/>
                <w:b/>
                <w:bCs/>
              </w:rPr>
              <w:t>指标</w:t>
            </w:r>
          </w:p>
        </w:tc>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b/>
                <w:bCs/>
                <w:szCs w:val="21"/>
              </w:rPr>
            </w:pPr>
            <w:r>
              <w:rPr>
                <w:rFonts w:hint="eastAsia" w:ascii="宋体" w:hAnsi="宋体" w:cs="宋体"/>
                <w:b/>
                <w:bCs/>
              </w:rPr>
              <w:t>自评分</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b/>
                <w:bCs/>
                <w:szCs w:val="21"/>
              </w:rPr>
            </w:pPr>
            <w:r>
              <w:rPr>
                <w:rFonts w:hint="eastAsia" w:ascii="宋体" w:hAnsi="宋体" w:cs="宋体"/>
                <w:b/>
                <w:bCs/>
              </w:rPr>
              <w:t>指标解释</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b/>
                <w:bCs/>
                <w:szCs w:val="21"/>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cs="宋体"/>
              </w:rPr>
              <w:t>投   入（20分）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目标</w:t>
            </w:r>
            <w:r>
              <w:rPr>
                <w:rFonts w:hint="eastAsia" w:ascii="宋体"/>
              </w:rPr>
              <w:br w:type="textWrapping"/>
            </w:r>
            <w:r>
              <w:rPr>
                <w:rFonts w:hint="eastAsia" w:ascii="宋体" w:hAnsi="宋体" w:cs="宋体"/>
              </w:rPr>
              <w:t>设定（5分）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绩效目标</w:t>
            </w:r>
          </w:p>
          <w:p>
            <w:pPr>
              <w:spacing w:line="240" w:lineRule="exact"/>
              <w:jc w:val="center"/>
              <w:rPr>
                <w:rFonts w:ascii="宋体"/>
                <w:szCs w:val="21"/>
              </w:rPr>
            </w:pPr>
            <w:r>
              <w:rPr>
                <w:rFonts w:hint="eastAsia" w:ascii="宋体" w:hAnsi="宋体" w:cs="宋体"/>
              </w:rPr>
              <w:t>合理性（2分）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①是否符合国家法律法规、国民经济和社会发展总体规划；</w:t>
            </w:r>
            <w:r>
              <w:rPr>
                <w:rFonts w:hint="eastAsia" w:ascii="宋体"/>
              </w:rPr>
              <w:br w:type="textWrapping"/>
            </w:r>
            <w:r>
              <w:rPr>
                <w:rFonts w:hint="eastAsia" w:ascii="宋体" w:hAnsi="宋体" w:cs="宋体"/>
              </w:rPr>
              <w:t>②是否符合部门“三定”方案确定的职责；</w:t>
            </w:r>
            <w:r>
              <w:rPr>
                <w:rFonts w:hint="eastAsia" w:ascii="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绩效指标</w:t>
            </w:r>
          </w:p>
          <w:p>
            <w:pPr>
              <w:spacing w:line="240" w:lineRule="exact"/>
              <w:jc w:val="center"/>
              <w:rPr>
                <w:rFonts w:ascii="宋体"/>
                <w:szCs w:val="21"/>
              </w:rPr>
            </w:pPr>
            <w:r>
              <w:rPr>
                <w:rFonts w:hint="eastAsia" w:ascii="宋体" w:hAnsi="宋体" w:cs="宋体"/>
              </w:rPr>
              <w:t>明确性（3分）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3</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部门依据整体绩效目标所设定的绩效指标是否清晰、细化、可衡量，用以反映和考核部门整体绩效目标的明细化情况。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①是否将部门整体的绩效目标细化分解为具体的工作任务；</w:t>
            </w:r>
            <w:r>
              <w:rPr>
                <w:rFonts w:hint="eastAsia" w:ascii="宋体"/>
              </w:rPr>
              <w:br w:type="textWrapping"/>
            </w:r>
            <w:r>
              <w:rPr>
                <w:rFonts w:hint="eastAsia" w:ascii="宋体" w:hAnsi="宋体" w:cs="宋体"/>
              </w:rPr>
              <w:t>②是否通过清晰、可衡量的指标值予以体现。    ③是否与部门年度的任务数或计划数相对应；</w:t>
            </w:r>
            <w:r>
              <w:rPr>
                <w:rFonts w:hint="eastAsia" w:ascii="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预算</w:t>
            </w:r>
            <w:r>
              <w:rPr>
                <w:rFonts w:hint="eastAsia" w:ascii="宋体"/>
              </w:rPr>
              <w:br w:type="textWrapping"/>
            </w:r>
            <w:r>
              <w:rPr>
                <w:rFonts w:hint="eastAsia" w:ascii="宋体" w:hAnsi="宋体" w:cs="宋体"/>
              </w:rPr>
              <w:t>配置（15分）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在职人员</w:t>
            </w:r>
          </w:p>
          <w:p>
            <w:pPr>
              <w:spacing w:line="240" w:lineRule="exact"/>
              <w:jc w:val="center"/>
              <w:rPr>
                <w:rFonts w:ascii="宋体"/>
                <w:szCs w:val="21"/>
              </w:rPr>
            </w:pPr>
            <w:r>
              <w:rPr>
                <w:rFonts w:hint="eastAsia" w:ascii="宋体" w:hAnsi="宋体" w:cs="宋体"/>
              </w:rPr>
              <w:t>控制率（5分）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部门本年度实际在职人员数与编制数的比率，用以反映和考核部门对人员成本的控制程度。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在职人员控制率=（在职人员数/编制数）×100%。</w:t>
            </w:r>
            <w:r>
              <w:rPr>
                <w:rFonts w:hint="eastAsia" w:ascii="宋体"/>
              </w:rPr>
              <w:br w:type="textWrapping"/>
            </w:r>
            <w:r>
              <w:rPr>
                <w:rFonts w:hint="eastAsia" w:ascii="宋体" w:hAnsi="宋体" w:cs="宋体"/>
              </w:rPr>
              <w:t>在职人员数：部门实际在职人数，以财政部确定的部门决算编制口径为准。</w:t>
            </w:r>
            <w:r>
              <w:rPr>
                <w:rFonts w:hint="eastAsia" w:ascii="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“三公经费”</w:t>
            </w:r>
          </w:p>
          <w:p>
            <w:pPr>
              <w:spacing w:line="240" w:lineRule="exact"/>
              <w:jc w:val="center"/>
              <w:rPr>
                <w:rFonts w:ascii="宋体"/>
                <w:szCs w:val="21"/>
              </w:rPr>
            </w:pPr>
            <w:r>
              <w:rPr>
                <w:rFonts w:hint="eastAsia" w:ascii="宋体" w:hAnsi="宋体" w:cs="宋体"/>
              </w:rPr>
              <w:t>变动率（5分）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“三公经费”变动率=[（本年度“三公经费”总额</w:t>
            </w:r>
            <w:r>
              <w:rPr>
                <w:rFonts w:hint="eastAsia" w:ascii="宋体" w:cs="宋体"/>
              </w:rPr>
              <w:t>-</w:t>
            </w:r>
            <w:r>
              <w:rPr>
                <w:rFonts w:hint="eastAsia" w:ascii="宋体" w:hAnsi="宋体" w:cs="宋体"/>
              </w:rPr>
              <w:t>上年度“三公经费”总额）/上年度“三公经费”总额]×100%。</w:t>
            </w:r>
            <w:r>
              <w:rPr>
                <w:rFonts w:hint="eastAsia" w:ascii="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重点支出</w:t>
            </w:r>
          </w:p>
          <w:p>
            <w:pPr>
              <w:spacing w:line="240" w:lineRule="exact"/>
              <w:jc w:val="center"/>
              <w:rPr>
                <w:rFonts w:ascii="宋体"/>
                <w:szCs w:val="21"/>
              </w:rPr>
            </w:pPr>
            <w:r>
              <w:rPr>
                <w:rFonts w:hint="eastAsia" w:ascii="宋体" w:hAnsi="宋体" w:cs="宋体"/>
              </w:rPr>
              <w:t>安排率（5分）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重点支出安排率=（重点预算支出/预算总支出）×100%。</w:t>
            </w:r>
            <w:r>
              <w:rPr>
                <w:rFonts w:hint="eastAsia" w:ascii="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hint="eastAsia" w:ascii="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cs="宋体"/>
              </w:rPr>
              <w:t>过   程（30分）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预算</w:t>
            </w:r>
            <w:r>
              <w:rPr>
                <w:rFonts w:hint="eastAsia" w:ascii="宋体"/>
              </w:rPr>
              <w:br w:type="textWrapping"/>
            </w:r>
            <w:r>
              <w:rPr>
                <w:rFonts w:hint="eastAsia" w:ascii="宋体" w:hAnsi="宋体" w:cs="宋体"/>
              </w:rPr>
              <w:t>执行（20分）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预算</w:t>
            </w:r>
          </w:p>
          <w:p>
            <w:pPr>
              <w:spacing w:line="240" w:lineRule="exact"/>
              <w:jc w:val="center"/>
              <w:rPr>
                <w:rFonts w:ascii="宋体"/>
                <w:szCs w:val="21"/>
              </w:rPr>
            </w:pPr>
            <w:r>
              <w:rPr>
                <w:rFonts w:hint="eastAsia" w:ascii="宋体" w:hAnsi="宋体" w:cs="宋体"/>
              </w:rPr>
              <w:t>执行率（4分）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部门本年度预算完成数与预算数的比率，用以反映和考核部门预算完成程度。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预算执行率=（预算执行数/预算数）×100%。</w:t>
            </w:r>
            <w:r>
              <w:rPr>
                <w:rFonts w:hint="eastAsia" w:ascii="宋体"/>
              </w:rPr>
              <w:br w:type="textWrapping"/>
            </w:r>
            <w:r>
              <w:rPr>
                <w:rFonts w:hint="eastAsia" w:ascii="宋体" w:hAnsi="宋体" w:cs="宋体"/>
              </w:rPr>
              <w:t>预算执行数：部门本年度实际完成的预算数。</w:t>
            </w:r>
            <w:r>
              <w:rPr>
                <w:rFonts w:hint="eastAsia" w:ascii="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预算</w:t>
            </w:r>
          </w:p>
          <w:p>
            <w:pPr>
              <w:spacing w:line="240" w:lineRule="exact"/>
              <w:jc w:val="center"/>
              <w:rPr>
                <w:rFonts w:ascii="宋体"/>
                <w:szCs w:val="21"/>
              </w:rPr>
            </w:pPr>
            <w:r>
              <w:rPr>
                <w:rFonts w:hint="eastAsia" w:ascii="宋体" w:hAnsi="宋体" w:cs="宋体"/>
              </w:rPr>
              <w:t>调整率（2分）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部门本年度预算调整数与预算数的比率，用以反映和考核部门预算的调整程度。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预算调整率=（预算调整数/预算数）×100%。</w:t>
            </w:r>
            <w:r>
              <w:rPr>
                <w:rFonts w:hint="eastAsia" w:ascii="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支付</w:t>
            </w:r>
          </w:p>
          <w:p>
            <w:pPr>
              <w:spacing w:line="240" w:lineRule="exact"/>
              <w:jc w:val="center"/>
              <w:rPr>
                <w:rFonts w:ascii="宋体"/>
                <w:szCs w:val="21"/>
              </w:rPr>
            </w:pPr>
            <w:r>
              <w:rPr>
                <w:rFonts w:hint="eastAsia" w:ascii="宋体" w:hAnsi="宋体" w:cs="宋体"/>
              </w:rPr>
              <w:t>进度率（2分）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部门实际支付进度与既定支付进度的比率，用以反映和考核部门预算执行的及时性和均衡性程度。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支付进度率=（实际支付进度/既定支付进度）×100%。</w:t>
            </w:r>
            <w:r>
              <w:rPr>
                <w:rFonts w:hint="eastAsia" w:ascii="宋体"/>
              </w:rPr>
              <w:br w:type="textWrapping"/>
            </w:r>
            <w:r>
              <w:rPr>
                <w:rFonts w:hint="eastAsia" w:ascii="宋体" w:hAnsi="宋体" w:cs="宋体"/>
              </w:rPr>
              <w:t>实际支付进度：部门在某一时点的支出预算执行总数与年度支出预算数的比率。</w:t>
            </w:r>
            <w:r>
              <w:rPr>
                <w:rFonts w:hint="eastAsia" w:ascii="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结转</w:t>
            </w:r>
          </w:p>
          <w:p>
            <w:pPr>
              <w:spacing w:line="240" w:lineRule="exact"/>
              <w:jc w:val="center"/>
              <w:rPr>
                <w:rFonts w:ascii="宋体"/>
                <w:szCs w:val="21"/>
              </w:rPr>
            </w:pPr>
            <w:r>
              <w:rPr>
                <w:rFonts w:hint="eastAsia" w:ascii="宋体" w:hAnsi="宋体" w:cs="宋体"/>
              </w:rPr>
              <w:t>结余率（2分）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部门本年度结转结余总额与支出预算数的比率，用以反映和考核部门对本年度结转结余资金的实际控制程度。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结转结余率=结转结余总额/支出预算数×100%。</w:t>
            </w:r>
            <w:r>
              <w:rPr>
                <w:rFonts w:hint="eastAsia" w:ascii="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结转结余</w:t>
            </w:r>
          </w:p>
          <w:p>
            <w:pPr>
              <w:spacing w:line="240" w:lineRule="exact"/>
              <w:jc w:val="center"/>
              <w:rPr>
                <w:rFonts w:ascii="宋体"/>
                <w:szCs w:val="21"/>
              </w:rPr>
            </w:pPr>
            <w:r>
              <w:rPr>
                <w:rFonts w:hint="eastAsia" w:ascii="宋体" w:hAnsi="宋体" w:cs="宋体"/>
              </w:rPr>
              <w:t>变动率（2分）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结转结余变动率=[（本年度累计结转结余资金总额</w:t>
            </w:r>
            <w:r>
              <w:rPr>
                <w:rFonts w:hint="eastAsia" w:ascii="宋体" w:cs="宋体"/>
              </w:rPr>
              <w:t>-</w:t>
            </w:r>
            <w:r>
              <w:rPr>
                <w:rFonts w:hint="eastAsia" w:ascii="宋体" w:hAnsi="宋体" w:cs="宋体"/>
              </w:rPr>
              <w:t>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公用经费</w:t>
            </w:r>
          </w:p>
          <w:p>
            <w:pPr>
              <w:spacing w:line="240" w:lineRule="exact"/>
              <w:jc w:val="center"/>
              <w:rPr>
                <w:rFonts w:ascii="宋体"/>
                <w:szCs w:val="21"/>
              </w:rPr>
            </w:pPr>
            <w:r>
              <w:rPr>
                <w:rFonts w:hint="eastAsia" w:ascii="宋体" w:hAnsi="宋体" w:cs="宋体"/>
              </w:rPr>
              <w:t>控制率（2分）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“三公经费”控制率（2分）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部门本年度“三公经费”实际支出数与预算安排数的比率，用以反映和考核部门对“三公经费”的实际控制程度。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政府采购</w:t>
            </w:r>
          </w:p>
          <w:p>
            <w:pPr>
              <w:spacing w:line="240" w:lineRule="exact"/>
              <w:jc w:val="center"/>
              <w:rPr>
                <w:rFonts w:ascii="宋体"/>
                <w:szCs w:val="21"/>
              </w:rPr>
            </w:pPr>
            <w:r>
              <w:rPr>
                <w:rFonts w:hint="eastAsia" w:ascii="宋体" w:hAnsi="宋体" w:cs="宋体"/>
              </w:rPr>
              <w:t>执行率（4分）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部门本年度实际政府采购金额与年初政府采购预算的比率，用以反映和考核部门政府采购预算执行情况。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政府采购执行率=（实际政府采购金额/政府采购预算数）×100%；</w:t>
            </w:r>
            <w:r>
              <w:rPr>
                <w:rFonts w:hint="eastAsia" w:ascii="宋体"/>
              </w:rPr>
              <w:br w:type="textWrapping"/>
            </w:r>
            <w:r>
              <w:rPr>
                <w:rFonts w:hint="eastAsia" w:ascii="宋体" w:hAnsi="宋体" w:cs="宋体"/>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Cs w:val="21"/>
              </w:rPr>
            </w:pPr>
            <w:r>
              <w:rPr>
                <w:rFonts w:hint="eastAsia" w:ascii="宋体" w:hAnsi="宋体" w:cs="宋体"/>
              </w:rPr>
              <w:t>过</w:t>
            </w:r>
          </w:p>
          <w:p>
            <w:pPr>
              <w:spacing w:line="240" w:lineRule="exact"/>
              <w:jc w:val="center"/>
              <w:rPr>
                <w:rFonts w:ascii="宋体"/>
                <w:szCs w:val="21"/>
              </w:rPr>
            </w:pPr>
            <w:r>
              <w:rPr>
                <w:rFonts w:hint="eastAsia" w:ascii="宋体" w:hAnsi="宋体" w:cs="宋体"/>
              </w:rPr>
              <w:t>程（30分）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预算</w:t>
            </w:r>
            <w:r>
              <w:rPr>
                <w:rFonts w:hint="eastAsia" w:ascii="宋体"/>
              </w:rPr>
              <w:br w:type="textWrapping"/>
            </w:r>
            <w:r>
              <w:rPr>
                <w:rFonts w:hint="eastAsia" w:ascii="宋体" w:hAnsi="宋体" w:cs="宋体"/>
              </w:rPr>
              <w:t>管理（5分）</w:t>
            </w:r>
          </w:p>
          <w:p>
            <w:pPr>
              <w:spacing w:line="240" w:lineRule="exact"/>
              <w:jc w:val="center"/>
              <w:rPr>
                <w:rFonts w:ascii="宋体"/>
                <w:szCs w:val="21"/>
              </w:rPr>
            </w:pPr>
            <w:r>
              <w:rPr>
                <w:rFonts w:hint="eastAsia" w:ascii="宋体" w:hAnsi="宋体" w:cs="宋体"/>
              </w:rPr>
              <w:t>）</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管理制度</w:t>
            </w:r>
          </w:p>
          <w:p>
            <w:pPr>
              <w:spacing w:line="240" w:lineRule="exact"/>
              <w:jc w:val="center"/>
              <w:rPr>
                <w:rFonts w:ascii="宋体"/>
                <w:szCs w:val="21"/>
              </w:rPr>
            </w:pPr>
            <w:r>
              <w:rPr>
                <w:rFonts w:hint="eastAsia" w:ascii="宋体" w:hAnsi="宋体" w:cs="宋体"/>
              </w:rPr>
              <w:t>健全性（2分）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①是否已制定或具有预算资金管理办法、内部财务管理制度、会计核算制度等管理制度；</w:t>
            </w:r>
            <w:r>
              <w:rPr>
                <w:rFonts w:hint="eastAsia" w:ascii="宋体"/>
              </w:rPr>
              <w:br w:type="textWrapping"/>
            </w:r>
            <w:r>
              <w:rPr>
                <w:rFonts w:hint="eastAsia" w:ascii="宋体" w:hAnsi="宋体" w:cs="宋体"/>
              </w:rPr>
              <w:t>②相关管理制度是否合法、合规、完整；</w:t>
            </w:r>
            <w:r>
              <w:rPr>
                <w:rFonts w:hint="eastAsia" w:ascii="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资金使用</w:t>
            </w:r>
          </w:p>
          <w:p>
            <w:pPr>
              <w:spacing w:line="240" w:lineRule="exact"/>
              <w:jc w:val="center"/>
              <w:rPr>
                <w:rFonts w:ascii="宋体"/>
                <w:szCs w:val="21"/>
              </w:rPr>
            </w:pPr>
            <w:r>
              <w:rPr>
                <w:rFonts w:hint="eastAsia" w:ascii="宋体" w:hAnsi="宋体" w:cs="宋体"/>
              </w:rPr>
              <w:t>合规性（1分）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部门使用预算资金是否符合相关的预算财务管理制度的规定，用以反映和考核部门预算资金的规范运行情况。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①是否符合国家财经法规和财务管理制度规定以及有关预算支出管理办法的规定；</w:t>
            </w:r>
            <w:r>
              <w:rPr>
                <w:rFonts w:hint="eastAsia" w:ascii="宋体"/>
              </w:rPr>
              <w:br w:type="textWrapping"/>
            </w:r>
            <w:r>
              <w:rPr>
                <w:rFonts w:hint="eastAsia" w:ascii="宋体" w:hAnsi="宋体" w:cs="宋体"/>
              </w:rPr>
              <w:t>②资金的拨付是否有完整的审批程序和手续；</w:t>
            </w:r>
            <w:r>
              <w:rPr>
                <w:rFonts w:hint="eastAsia" w:ascii="宋体"/>
              </w:rPr>
              <w:br w:type="textWrapping"/>
            </w:r>
            <w:r>
              <w:rPr>
                <w:rFonts w:hint="eastAsia" w:ascii="宋体" w:hAnsi="宋体" w:cs="宋体"/>
              </w:rPr>
              <w:t>③预算支出的重大开支是否经过评估论证；</w:t>
            </w:r>
            <w:r>
              <w:rPr>
                <w:rFonts w:hint="eastAsia" w:ascii="宋体"/>
              </w:rPr>
              <w:br w:type="textWrapping"/>
            </w:r>
            <w:r>
              <w:rPr>
                <w:rFonts w:hint="eastAsia" w:ascii="宋体" w:hAnsi="宋体" w:cs="宋体"/>
              </w:rPr>
              <w:t>④是否符合部门预算批复的用途；</w:t>
            </w:r>
            <w:r>
              <w:rPr>
                <w:rFonts w:hint="eastAsia" w:ascii="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预决算信</w:t>
            </w:r>
          </w:p>
          <w:p>
            <w:pPr>
              <w:spacing w:line="240" w:lineRule="exact"/>
              <w:jc w:val="center"/>
              <w:rPr>
                <w:rFonts w:ascii="宋体"/>
                <w:szCs w:val="21"/>
              </w:rPr>
            </w:pPr>
            <w:r>
              <w:rPr>
                <w:rFonts w:hint="eastAsia" w:ascii="宋体" w:hAnsi="宋体" w:cs="宋体"/>
              </w:rPr>
              <w:t>息公开性（1分）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部门是否按照政府信息公开有关规定公开相关预决算信息，用以反映和考核部门预决算管理的公开透明情况。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①是否按规定内容公开预决算信息；</w:t>
            </w:r>
            <w:r>
              <w:rPr>
                <w:rFonts w:hint="eastAsia" w:ascii="宋体"/>
              </w:rPr>
              <w:br w:type="textWrapping"/>
            </w:r>
            <w:r>
              <w:rPr>
                <w:rFonts w:hint="eastAsia" w:ascii="宋体" w:hAnsi="宋体" w:cs="宋体"/>
              </w:rPr>
              <w:t>②是否按规定时限公开预决算信息。</w:t>
            </w:r>
            <w:r>
              <w:rPr>
                <w:rFonts w:hint="eastAsia" w:ascii="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基础信息</w:t>
            </w:r>
          </w:p>
          <w:p>
            <w:pPr>
              <w:spacing w:line="240" w:lineRule="exact"/>
              <w:jc w:val="center"/>
              <w:rPr>
                <w:rFonts w:ascii="宋体"/>
                <w:szCs w:val="21"/>
              </w:rPr>
            </w:pPr>
            <w:r>
              <w:rPr>
                <w:rFonts w:hint="eastAsia" w:ascii="宋体" w:hAnsi="宋体" w:cs="宋体"/>
              </w:rPr>
              <w:t>完善性（1分）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部门基础信息是否完善，用以反映和考核基础信息对预算管理工作的支撑情况。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①基础数据信息和会计信息资料是否真实；</w:t>
            </w:r>
            <w:r>
              <w:rPr>
                <w:rFonts w:hint="eastAsia" w:ascii="宋体"/>
              </w:rPr>
              <w:br w:type="textWrapping"/>
            </w:r>
            <w:r>
              <w:rPr>
                <w:rFonts w:hint="eastAsia" w:ascii="宋体" w:hAnsi="宋体" w:cs="宋体"/>
              </w:rPr>
              <w:t>②基础数据信息和会计信息资料是否完整；</w:t>
            </w:r>
            <w:r>
              <w:rPr>
                <w:rFonts w:hint="eastAsia" w:ascii="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资产</w:t>
            </w:r>
            <w:r>
              <w:rPr>
                <w:rFonts w:hint="eastAsia" w:ascii="宋体"/>
              </w:rPr>
              <w:br w:type="textWrapping"/>
            </w:r>
            <w:r>
              <w:rPr>
                <w:rFonts w:hint="eastAsia" w:ascii="宋体" w:hAnsi="宋体" w:cs="宋体"/>
              </w:rPr>
              <w:t>管理（5分）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管理制度</w:t>
            </w:r>
          </w:p>
          <w:p>
            <w:pPr>
              <w:spacing w:line="240" w:lineRule="exact"/>
              <w:jc w:val="center"/>
              <w:rPr>
                <w:rFonts w:ascii="宋体"/>
                <w:szCs w:val="21"/>
              </w:rPr>
            </w:pPr>
            <w:r>
              <w:rPr>
                <w:rFonts w:hint="eastAsia" w:ascii="宋体" w:hAnsi="宋体" w:cs="宋体"/>
              </w:rPr>
              <w:t>健全性（2分）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①是否已制定或具有资产管理制度；           ②相关资金管理制度是否合法、合规、完整；</w:t>
            </w:r>
            <w:r>
              <w:rPr>
                <w:rFonts w:hint="eastAsia" w:ascii="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资产管理</w:t>
            </w:r>
          </w:p>
          <w:p>
            <w:pPr>
              <w:spacing w:line="240" w:lineRule="exact"/>
              <w:jc w:val="center"/>
              <w:rPr>
                <w:rFonts w:ascii="宋体"/>
                <w:szCs w:val="21"/>
              </w:rPr>
            </w:pPr>
            <w:r>
              <w:rPr>
                <w:rFonts w:hint="eastAsia" w:ascii="宋体" w:hAnsi="宋体" w:cs="宋体"/>
              </w:rPr>
              <w:t>安全性（2分）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761"/>
                <w:tab w:val="left" w:pos="2604"/>
              </w:tabs>
              <w:spacing w:line="240" w:lineRule="exact"/>
              <w:ind w:left="105" w:leftChars="50" w:right="105" w:rightChars="50" w:firstLine="96" w:firstLineChars="46"/>
              <w:jc w:val="center"/>
              <w:rPr>
                <w:rFonts w:ascii="宋体"/>
                <w:szCs w:val="21"/>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szCs w:val="21"/>
              </w:rPr>
            </w:pPr>
            <w:r>
              <w:rPr>
                <w:rFonts w:hint="eastAsia" w:ascii="宋体" w:hAnsi="宋体" w:cs="宋体"/>
              </w:rPr>
              <w:t>部门的资产是否保存完整、使用合规、配置合理、处置规范、收入及时足额上缴，用以反映和考核部门资产安全运行情况。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评价要点：</w:t>
            </w:r>
            <w:r>
              <w:rPr>
                <w:rFonts w:hint="eastAsia" w:ascii="宋体"/>
              </w:rPr>
              <w:br w:type="textWrapping"/>
            </w:r>
            <w:r>
              <w:rPr>
                <w:rFonts w:hint="eastAsia" w:ascii="宋体" w:hAnsi="宋体" w:cs="宋体"/>
              </w:rPr>
              <w:t>①资产保存是否完整；</w:t>
            </w:r>
            <w:r>
              <w:rPr>
                <w:rFonts w:hint="eastAsia" w:ascii="宋体"/>
              </w:rPr>
              <w:br w:type="textWrapping"/>
            </w:r>
            <w:r>
              <w:rPr>
                <w:rFonts w:hint="eastAsia" w:ascii="宋体" w:hAnsi="宋体" w:cs="宋体"/>
              </w:rPr>
              <w:t>②资产配置是否合理；</w:t>
            </w:r>
            <w:r>
              <w:rPr>
                <w:rFonts w:hint="eastAsia" w:ascii="宋体"/>
              </w:rPr>
              <w:br w:type="textWrapping"/>
            </w:r>
            <w:r>
              <w:rPr>
                <w:rFonts w:hint="eastAsia" w:ascii="宋体" w:hAnsi="宋体" w:cs="宋体"/>
              </w:rPr>
              <w:t>③资产处置是否规范；</w:t>
            </w:r>
            <w:r>
              <w:rPr>
                <w:rFonts w:hint="eastAsia" w:ascii="宋体"/>
              </w:rPr>
              <w:br w:type="textWrapping"/>
            </w:r>
            <w:r>
              <w:rPr>
                <w:rFonts w:hint="eastAsia" w:ascii="宋体" w:hAnsi="宋体" w:cs="宋体"/>
              </w:rPr>
              <w:t>④资产账务管理是否合规，是否帐实相符；</w:t>
            </w:r>
            <w:r>
              <w:rPr>
                <w:rFonts w:hint="eastAsia" w:ascii="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固定资产</w:t>
            </w:r>
          </w:p>
          <w:p>
            <w:pPr>
              <w:spacing w:line="240" w:lineRule="exact"/>
              <w:jc w:val="center"/>
              <w:rPr>
                <w:rFonts w:ascii="宋体"/>
                <w:szCs w:val="21"/>
              </w:rPr>
            </w:pPr>
            <w:r>
              <w:rPr>
                <w:rFonts w:hint="eastAsia" w:ascii="宋体" w:hAnsi="宋体" w:cs="宋体"/>
              </w:rPr>
              <w:t>利用率（1分）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部门实际在用固定资产总额与所有固定资产总额的比率，用以反映和考核部门固定资产使用效率程度。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cs="宋体"/>
              </w:rPr>
              <w:t>产   出（30分）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职责</w:t>
            </w:r>
            <w:r>
              <w:rPr>
                <w:rFonts w:hint="eastAsia" w:ascii="宋体"/>
              </w:rPr>
              <w:br w:type="textWrapping"/>
            </w:r>
            <w:r>
              <w:rPr>
                <w:rFonts w:hint="eastAsia" w:ascii="宋体" w:hAnsi="宋体" w:cs="宋体"/>
              </w:rPr>
              <w:t>履行（30分）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实际</w:t>
            </w:r>
          </w:p>
          <w:p>
            <w:pPr>
              <w:spacing w:line="240" w:lineRule="exact"/>
              <w:jc w:val="center"/>
              <w:rPr>
                <w:rFonts w:hint="eastAsia" w:ascii="宋体"/>
              </w:rPr>
            </w:pPr>
            <w:r>
              <w:rPr>
                <w:rFonts w:hint="eastAsia" w:ascii="宋体" w:hAnsi="宋体" w:cs="宋体"/>
              </w:rPr>
              <w:t>完成率</w:t>
            </w:r>
          </w:p>
          <w:p>
            <w:pPr>
              <w:spacing w:line="240" w:lineRule="exact"/>
              <w:jc w:val="center"/>
              <w:rPr>
                <w:rFonts w:ascii="宋体"/>
                <w:szCs w:val="21"/>
              </w:rPr>
            </w:pPr>
            <w:r>
              <w:rPr>
                <w:rFonts w:hint="eastAsia" w:ascii="宋体" w:hAnsi="宋体" w:cs="宋体"/>
              </w:rPr>
              <w:t>（8分）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8</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部门履行职责而实际完成工作数与计划工作数的比率，用以反映和考核部门履职工作任务目标的实现程度。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实际完成率=（实际完成工作数/计划工作数）×100%。</w:t>
            </w:r>
            <w:r>
              <w:rPr>
                <w:rFonts w:hint="eastAsia" w:ascii="宋体"/>
              </w:rPr>
              <w:br w:type="textWrapping"/>
            </w:r>
            <w:r>
              <w:rPr>
                <w:rFonts w:hint="eastAsia" w:ascii="宋体" w:hAnsi="宋体" w:cs="宋体"/>
              </w:rPr>
              <w:t>实际完成工作数：一定时期（年度或规划期）内部门实际完成工作任务的数量。</w:t>
            </w:r>
            <w:r>
              <w:rPr>
                <w:rFonts w:hint="eastAsia" w:ascii="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完成</w:t>
            </w:r>
          </w:p>
          <w:p>
            <w:pPr>
              <w:spacing w:line="240" w:lineRule="exact"/>
              <w:jc w:val="center"/>
              <w:rPr>
                <w:rFonts w:hint="eastAsia" w:ascii="宋体"/>
              </w:rPr>
            </w:pPr>
            <w:r>
              <w:rPr>
                <w:rFonts w:hint="eastAsia" w:ascii="宋体" w:hAnsi="宋体" w:cs="宋体"/>
              </w:rPr>
              <w:t>及时率</w:t>
            </w:r>
          </w:p>
          <w:p>
            <w:pPr>
              <w:spacing w:line="240" w:lineRule="exact"/>
              <w:jc w:val="center"/>
              <w:rPr>
                <w:rFonts w:ascii="宋体"/>
                <w:szCs w:val="21"/>
              </w:rPr>
            </w:pPr>
            <w:r>
              <w:rPr>
                <w:rFonts w:hint="eastAsia" w:ascii="宋体" w:hAnsi="宋体" w:cs="宋体"/>
              </w:rPr>
              <w:t>（4分）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部门在规定时限内及时完成的实际工作数与计划工作数的比率</w:t>
            </w:r>
            <w:r>
              <w:rPr>
                <w:rFonts w:hint="eastAsia" w:ascii="宋体" w:cs="宋体"/>
              </w:rPr>
              <w:t>,</w:t>
            </w:r>
            <w:r>
              <w:rPr>
                <w:rFonts w:hint="eastAsia" w:ascii="宋体" w:hAnsi="宋体" w:cs="宋体"/>
              </w:rPr>
              <w:t>用以反映和考核部门履职时效目标的实现程度。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完成及时率=（及时完成实际工作数/计划工作数）×100%。</w:t>
            </w:r>
            <w:r>
              <w:rPr>
                <w:rFonts w:hint="eastAsia" w:ascii="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质量</w:t>
            </w:r>
          </w:p>
          <w:p>
            <w:pPr>
              <w:spacing w:line="240" w:lineRule="exact"/>
              <w:jc w:val="center"/>
              <w:rPr>
                <w:rFonts w:hint="eastAsia" w:ascii="宋体"/>
              </w:rPr>
            </w:pPr>
            <w:r>
              <w:rPr>
                <w:rFonts w:hint="eastAsia" w:ascii="宋体" w:hAnsi="宋体" w:cs="宋体"/>
              </w:rPr>
              <w:t>达标率</w:t>
            </w:r>
          </w:p>
          <w:p>
            <w:pPr>
              <w:spacing w:line="240" w:lineRule="exact"/>
              <w:jc w:val="center"/>
              <w:rPr>
                <w:rFonts w:ascii="宋体"/>
                <w:szCs w:val="21"/>
              </w:rPr>
            </w:pPr>
            <w:r>
              <w:rPr>
                <w:rFonts w:hint="eastAsia" w:ascii="宋体" w:hAnsi="宋体" w:cs="宋体"/>
              </w:rPr>
              <w:t>（8分）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8</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达到质量标准（绩效标准值）的实际工作数与计划工作数的比率</w:t>
            </w:r>
            <w:r>
              <w:rPr>
                <w:rFonts w:hint="eastAsia" w:ascii="宋体" w:cs="宋体"/>
              </w:rPr>
              <w:t>,</w:t>
            </w:r>
            <w:r>
              <w:rPr>
                <w:rFonts w:hint="eastAsia" w:ascii="宋体" w:hAnsi="宋体" w:cs="宋体"/>
              </w:rPr>
              <w:t>用以反映和考核部门履职质量目标的实现程度。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质量达标率=（质量达标实际工作数/计划工作数）×100%。</w:t>
            </w:r>
            <w:r>
              <w:rPr>
                <w:rFonts w:hint="eastAsia" w:ascii="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重点工作</w:t>
            </w:r>
          </w:p>
          <w:p>
            <w:pPr>
              <w:spacing w:line="240" w:lineRule="exact"/>
              <w:jc w:val="center"/>
              <w:rPr>
                <w:rFonts w:ascii="宋体"/>
                <w:szCs w:val="21"/>
              </w:rPr>
            </w:pPr>
            <w:r>
              <w:rPr>
                <w:rFonts w:hint="eastAsia" w:ascii="宋体" w:hAnsi="宋体" w:cs="宋体"/>
              </w:rPr>
              <w:t>办结率（10分）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10</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部门年度重点工作实际完成数与交办或下达数的比率，用以反映部门对重点工作的办理落实程度。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重点工作办结率=（重点工作实际完成数/交办或下达数）×100%。</w:t>
            </w:r>
            <w:r>
              <w:rPr>
                <w:rFonts w:hint="eastAsia" w:ascii="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cs="宋体"/>
              </w:rPr>
              <w:t>效   果（20分）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履职</w:t>
            </w:r>
            <w:r>
              <w:rPr>
                <w:rFonts w:hint="eastAsia" w:ascii="宋体"/>
              </w:rPr>
              <w:br w:type="textWrapping"/>
            </w:r>
            <w:r>
              <w:rPr>
                <w:rFonts w:hint="eastAsia" w:ascii="宋体" w:hAnsi="宋体" w:cs="宋体"/>
              </w:rPr>
              <w:t>效益（20分）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经济效益（5分）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部门履行职责对经济发展所带来的直接或间接影响。</w:t>
            </w:r>
          </w:p>
        </w:tc>
        <w:tc>
          <w:tcPr>
            <w:tcW w:w="1867"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社会效益（5分）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部门履行职责对社会发展所带来的直接或间接影响。</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生态效益（5分）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部门履行职责对生态环境所带来的直接或间接影响。</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cs="宋体"/>
              </w:rPr>
              <w:t>社会公众</w:t>
            </w:r>
          </w:p>
          <w:p>
            <w:pPr>
              <w:spacing w:line="240" w:lineRule="exact"/>
              <w:jc w:val="center"/>
              <w:rPr>
                <w:rFonts w:hint="eastAsia" w:ascii="宋体"/>
              </w:rPr>
            </w:pPr>
            <w:r>
              <w:rPr>
                <w:rFonts w:hint="eastAsia" w:ascii="宋体" w:hAnsi="宋体" w:cs="宋体"/>
              </w:rPr>
              <w:t>或服务对</w:t>
            </w:r>
          </w:p>
          <w:p>
            <w:pPr>
              <w:spacing w:line="240" w:lineRule="exact"/>
              <w:jc w:val="center"/>
              <w:rPr>
                <w:rFonts w:ascii="宋体"/>
                <w:szCs w:val="21"/>
              </w:rPr>
            </w:pPr>
            <w:r>
              <w:rPr>
                <w:rFonts w:hint="eastAsia" w:ascii="宋体" w:hAnsi="宋体" w:cs="宋体"/>
              </w:rPr>
              <w:t>象满意度（5分）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r>
              <w:rPr>
                <w:rFonts w:hint="eastAsia" w:ascii="宋体" w:hAnsi="宋体" w:cs="宋体"/>
              </w:rPr>
              <w:t>社会公众或部门的服务对象对部门履职效果的满意程度。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Cs w:val="21"/>
              </w:rPr>
            </w:pPr>
            <w:r>
              <w:rPr>
                <w:rFonts w:hint="eastAsia" w:ascii="宋体" w:hAnsi="宋体" w:cs="宋体"/>
              </w:rPr>
              <w:t>总分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Cs w:val="21"/>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Cs w:val="21"/>
              </w:rPr>
            </w:pPr>
          </w:p>
        </w:tc>
        <w:tc>
          <w:tcPr>
            <w:tcW w:w="375" w:type="pct"/>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ind w:left="105" w:leftChars="50" w:right="105" w:rightChars="50" w:firstLine="96" w:firstLineChars="46"/>
              <w:jc w:val="center"/>
              <w:rPr>
                <w:rFonts w:ascii="宋体"/>
                <w:szCs w:val="21"/>
              </w:rPr>
            </w:pPr>
            <w:r>
              <w:rPr>
                <w:rFonts w:hint="eastAsia" w:ascii="宋体" w:cs="宋体"/>
              </w:rPr>
              <w:t>95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szCs w:val="21"/>
              </w:rPr>
            </w:pP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p>
        </w:tc>
      </w:tr>
    </w:tbl>
    <w:p>
      <w:pPr>
        <w:rPr>
          <w:rFonts w:hint="eastAsia"/>
          <w:szCs w:val="21"/>
        </w:rPr>
      </w:pPr>
    </w:p>
    <w:p>
      <w:pPr>
        <w:overflowPunct w:val="0"/>
        <w:spacing w:line="600" w:lineRule="exact"/>
        <w:rPr>
          <w:rFonts w:hint="eastAsia" w:ascii="仿宋_GB2312" w:hAnsi="宋体" w:eastAsia="仿宋_GB2312"/>
          <w:color w:val="000000"/>
          <w:kern w:val="0"/>
          <w:sz w:val="32"/>
          <w:szCs w:val="32"/>
          <w:lang w:val="zh-CN" w:eastAsia="zh-CN"/>
        </w:rPr>
      </w:pPr>
    </w:p>
    <w:p/>
    <w:sectPr>
      <w:pgSz w:w="12240" w:h="15840"/>
      <w:pgMar w:top="1134" w:right="1531" w:bottom="1134" w:left="1531" w:header="720" w:footer="720"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EA510C"/>
    <w:multiLevelType w:val="singleLevel"/>
    <w:tmpl w:val="66EA51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A61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Autospacing="0" w:after="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vertAlign w:val="baseline"/>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szCs w:val="24"/>
    </w:r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2023-06-20T05:47:58Z</dcterms:created>
  <dc:creator>admin-3</dc:creator>
  <cp:lastModifiedBy>admin-3</cp:lastModifiedBy>
  <dcterms:modified xsi:type="dcterms:W3CDTF">2023-06-20T05:48:42Z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0CE3DCE39242453C8B1AD51D1F5E42F9_12</vt:lpwstr>
  </property>
</Properties>
</file>