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黑体"/>
          <w:sz w:val="36"/>
          <w:szCs w:val="36"/>
        </w:rPr>
      </w:pPr>
      <w:r>
        <w:rPr>
          <w:rFonts w:hint="eastAsia" w:ascii="黑体" w:hAnsi="黑体" w:eastAsia="黑体" w:cs="黑体"/>
          <w:sz w:val="36"/>
          <w:szCs w:val="36"/>
        </w:rPr>
        <w:t>益阳市赫山区精神病医院2021年度重大传染病防控经费项目支出绩效评价报告</w:t>
      </w:r>
    </w:p>
    <w:p>
      <w:pPr>
        <w:tabs>
          <w:tab w:val="left" w:pos="3435"/>
        </w:tabs>
        <w:spacing w:line="600" w:lineRule="exact"/>
        <w:ind w:firstLine="600" w:firstLineChars="200"/>
        <w:rPr>
          <w:rFonts w:ascii="仿宋" w:hAnsi="仿宋" w:eastAsia="仿宋" w:cs="仿宋"/>
          <w:kern w:val="0"/>
          <w:sz w:val="30"/>
          <w:szCs w:val="30"/>
        </w:rPr>
      </w:pPr>
      <w:r>
        <w:rPr>
          <w:rFonts w:hint="eastAsia" w:ascii="仿宋" w:hAnsi="仿宋" w:eastAsia="仿宋" w:cs="仿宋"/>
          <w:kern w:val="0"/>
          <w:sz w:val="30"/>
          <w:szCs w:val="30"/>
        </w:rPr>
        <w:tab/>
      </w:r>
    </w:p>
    <w:p>
      <w:pPr>
        <w:spacing w:line="600" w:lineRule="exact"/>
        <w:ind w:left="-10" w:firstLine="600" w:firstLineChars="200"/>
        <w:rPr>
          <w:rFonts w:ascii="黑体" w:hAnsi="黑体" w:eastAsia="黑体" w:cs="黑体"/>
          <w:sz w:val="30"/>
          <w:szCs w:val="30"/>
        </w:rPr>
      </w:pPr>
      <w:r>
        <w:rPr>
          <w:rFonts w:hint="eastAsia" w:ascii="黑体" w:hAnsi="黑体" w:eastAsia="黑体" w:cs="黑体"/>
          <w:sz w:val="30"/>
          <w:szCs w:val="30"/>
        </w:rPr>
        <w:t>一、预算支出基本情况</w:t>
      </w:r>
    </w:p>
    <w:p>
      <w:pPr>
        <w:spacing w:line="600" w:lineRule="exact"/>
        <w:ind w:firstLine="600" w:firstLineChars="200"/>
        <w:rPr>
          <w:rFonts w:ascii="仿宋" w:hAnsi="仿宋" w:eastAsia="仿宋" w:cs="仿宋"/>
          <w:b/>
          <w:bCs/>
          <w:sz w:val="30"/>
          <w:szCs w:val="30"/>
        </w:rPr>
      </w:pPr>
      <w:r>
        <w:rPr>
          <w:rFonts w:hint="eastAsia" w:ascii="仿宋" w:hAnsi="仿宋" w:eastAsia="仿宋" w:cs="仿宋"/>
          <w:b/>
          <w:bCs/>
          <w:sz w:val="30"/>
          <w:szCs w:val="30"/>
        </w:rPr>
        <w:t>（一）预算支出概况</w:t>
      </w:r>
    </w:p>
    <w:p>
      <w:pPr>
        <w:spacing w:line="60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sz w:val="30"/>
          <w:szCs w:val="30"/>
        </w:rPr>
        <w:t>精神病是一种慢性疾病，治愈率较低，复发性高，需要终身服药治疗，由于患者无法就业，亲属又要长期对其监护照料无法工作，所以，一方面失去经济来源，另一方面又要长期治疗开支，导致精神病患者家庭普遍贫困，有些家庭无钱放弃治疗，一些重性精神病患者因得不到治疗及家属监管不力，导致各类精神病患者暴力伤人事件频频发生，给社会平安和谐造成隐患。为了使这些患者得到适当的治疗，</w:t>
      </w:r>
      <w:r>
        <w:rPr>
          <w:rFonts w:hint="eastAsia" w:ascii="仿宋" w:hAnsi="仿宋" w:eastAsia="仿宋" w:cs="仿宋"/>
          <w:color w:val="000000" w:themeColor="text1"/>
          <w:sz w:val="30"/>
          <w:szCs w:val="30"/>
          <w14:textFill>
            <w14:solidFill>
              <w14:schemeClr w14:val="tx1"/>
            </w14:solidFill>
          </w14:textFill>
        </w:rPr>
        <w:t>我院成立专门的下乡精卫小组。</w:t>
      </w:r>
    </w:p>
    <w:p>
      <w:pPr>
        <w:widowControl/>
        <w:spacing w:line="600" w:lineRule="exact"/>
        <w:ind w:firstLine="600" w:firstLineChars="200"/>
        <w:rPr>
          <w:rFonts w:ascii="仿宋" w:hAnsi="仿宋" w:eastAsia="仿宋" w:cs="仿宋"/>
          <w:sz w:val="30"/>
          <w:szCs w:val="30"/>
        </w:rPr>
      </w:pPr>
      <w:r>
        <w:rPr>
          <w:rFonts w:hint="eastAsia" w:ascii="仿宋" w:hAnsi="仿宋" w:eastAsia="仿宋" w:cs="仿宋"/>
          <w:color w:val="000000" w:themeColor="text1"/>
          <w:sz w:val="30"/>
          <w:szCs w:val="30"/>
          <w14:textFill>
            <w14:solidFill>
              <w14:schemeClr w14:val="tx1"/>
            </w14:solidFill>
          </w14:textFill>
        </w:rPr>
        <w:t>我院</w:t>
      </w:r>
      <w:r>
        <w:rPr>
          <w:rFonts w:hint="eastAsia" w:ascii="仿宋" w:hAnsi="仿宋" w:eastAsia="仿宋" w:cs="仿宋"/>
          <w:sz w:val="30"/>
          <w:szCs w:val="30"/>
        </w:rPr>
        <w:t>于2021年5月收到精神疾病防治项目经费111200元，12月收到严重精神障碍管理治疗项目经费17900元，心理健康促进行动主要指标调查项目经费56000元。</w:t>
      </w:r>
    </w:p>
    <w:p>
      <w:pPr>
        <w:spacing w:line="600" w:lineRule="exact"/>
        <w:ind w:firstLine="600" w:firstLineChars="200"/>
        <w:rPr>
          <w:rFonts w:ascii="仿宋" w:hAnsi="仿宋" w:eastAsia="仿宋" w:cs="仿宋"/>
          <w:sz w:val="30"/>
          <w:szCs w:val="30"/>
        </w:rPr>
      </w:pPr>
      <w:r>
        <w:rPr>
          <w:rFonts w:hint="eastAsia" w:ascii="仿宋" w:hAnsi="仿宋" w:eastAsia="仿宋" w:cs="仿宋"/>
          <w:sz w:val="30"/>
          <w:szCs w:val="30"/>
        </w:rPr>
        <w:t>主要用于：心理健康促进及严重精神病患者管理治疗工作补助35870元；精神卫生宣传资料49947元，下乡交通补贴51039元，下乡人员工资及补助48244元。</w:t>
      </w:r>
    </w:p>
    <w:p>
      <w:pPr>
        <w:numPr>
          <w:ilvl w:val="0"/>
          <w:numId w:val="1"/>
        </w:numPr>
        <w:spacing w:line="600" w:lineRule="exact"/>
        <w:ind w:firstLine="600" w:firstLineChars="200"/>
        <w:rPr>
          <w:rFonts w:ascii="仿宋" w:hAnsi="仿宋" w:eastAsia="仿宋" w:cs="仿宋"/>
          <w:b/>
          <w:bCs/>
          <w:sz w:val="30"/>
          <w:szCs w:val="30"/>
        </w:rPr>
      </w:pPr>
      <w:r>
        <w:rPr>
          <w:rFonts w:hint="eastAsia" w:ascii="仿宋" w:hAnsi="仿宋" w:eastAsia="仿宋" w:cs="仿宋"/>
          <w:b/>
          <w:bCs/>
          <w:sz w:val="30"/>
          <w:szCs w:val="30"/>
        </w:rPr>
        <w:t>预算资金使用管理情况。</w:t>
      </w:r>
    </w:p>
    <w:p>
      <w:pPr>
        <w:spacing w:line="600" w:lineRule="exact"/>
        <w:ind w:firstLine="600" w:firstLineChars="200"/>
        <w:rPr>
          <w:rFonts w:ascii="仿宋" w:hAnsi="仿宋" w:eastAsia="仿宋" w:cs="仿宋"/>
          <w:b/>
          <w:bCs/>
          <w:sz w:val="30"/>
          <w:szCs w:val="30"/>
        </w:rPr>
      </w:pPr>
      <w:r>
        <w:rPr>
          <w:rFonts w:hint="eastAsia" w:ascii="仿宋" w:hAnsi="仿宋" w:eastAsia="仿宋" w:cs="仿宋"/>
          <w:sz w:val="30"/>
          <w:szCs w:val="30"/>
        </w:rPr>
        <w:t>根据有关专项资金管理规定和财务制度，该项目资金做到了专款专用，使用支付合法合规，资金管理到位，没有虚列、截留、挤占、挪用等问题。</w:t>
      </w:r>
    </w:p>
    <w:p>
      <w:pPr>
        <w:numPr>
          <w:ilvl w:val="0"/>
          <w:numId w:val="2"/>
        </w:numPr>
        <w:spacing w:line="600" w:lineRule="exact"/>
        <w:ind w:firstLine="600" w:firstLineChars="200"/>
        <w:rPr>
          <w:rFonts w:ascii="仿宋" w:hAnsi="仿宋" w:eastAsia="仿宋" w:cs="仿宋"/>
          <w:b/>
          <w:bCs/>
          <w:sz w:val="30"/>
          <w:szCs w:val="30"/>
        </w:rPr>
      </w:pPr>
      <w:r>
        <w:rPr>
          <w:rFonts w:hint="eastAsia" w:ascii="仿宋" w:hAnsi="仿宋" w:eastAsia="仿宋" w:cs="仿宋"/>
          <w:b/>
          <w:bCs/>
          <w:sz w:val="30"/>
          <w:szCs w:val="30"/>
        </w:rPr>
        <w:t>预算支出绩效目标完成程度。</w:t>
      </w:r>
    </w:p>
    <w:p>
      <w:pPr>
        <w:spacing w:line="60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2021年度绩效目标完成程度：1.预算完成率100%  2.资金到位率100%  3.专款专用率100% </w:t>
      </w:r>
    </w:p>
    <w:p>
      <w:pPr>
        <w:spacing w:line="600" w:lineRule="exact"/>
        <w:ind w:left="-10" w:firstLine="600" w:firstLineChars="200"/>
        <w:rPr>
          <w:rFonts w:ascii="黑体" w:hAnsi="黑体" w:eastAsia="黑体" w:cs="黑体"/>
          <w:sz w:val="30"/>
          <w:szCs w:val="30"/>
        </w:rPr>
      </w:pPr>
      <w:r>
        <w:rPr>
          <w:rFonts w:hint="eastAsia" w:ascii="黑体" w:hAnsi="黑体" w:eastAsia="黑体" w:cs="黑体"/>
          <w:sz w:val="30"/>
          <w:szCs w:val="30"/>
        </w:rPr>
        <w:t>二、绩效评价工作情况</w:t>
      </w:r>
    </w:p>
    <w:p>
      <w:pPr>
        <w:spacing w:line="600" w:lineRule="exact"/>
        <w:ind w:firstLine="600" w:firstLineChars="200"/>
        <w:jc w:val="left"/>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1.通过每月定点“送医送药下乡”活动，协助各乡镇、街道对辖区内首发、病情不稳定、监护人或者患者行动不便、路程遥远等有特殊需求的106名精神障碍患者进行上门面访、病情评估、健康体检、心理疏导、用药指导等服务。2021年度，全年共收治门诊患者8817人次。</w:t>
      </w:r>
    </w:p>
    <w:p>
      <w:pPr>
        <w:widowControl/>
        <w:spacing w:line="600" w:lineRule="exact"/>
        <w:ind w:firstLine="600" w:firstLineChars="200"/>
        <w:jc w:val="left"/>
        <w:rPr>
          <w:rFonts w:ascii="仿宋" w:hAnsi="仿宋" w:eastAsia="仿宋" w:cs="仿宋"/>
          <w:sz w:val="30"/>
          <w:szCs w:val="30"/>
        </w:rPr>
      </w:pPr>
      <w:r>
        <w:rPr>
          <w:rFonts w:hint="eastAsia" w:ascii="仿宋" w:hAnsi="仿宋" w:eastAsia="仿宋" w:cs="仿宋"/>
          <w:sz w:val="30"/>
          <w:szCs w:val="30"/>
        </w:rPr>
        <w:t>2.本单位在规定的时间内对湖南省居民心理健康促进主要指标调查平台采用系统抽样及随机抽样方式抽取的336名调查对象及时开展调查，对抽取的11名复核对象进行复核调查。</w:t>
      </w:r>
    </w:p>
    <w:p>
      <w:pPr>
        <w:spacing w:line="600" w:lineRule="exact"/>
        <w:ind w:firstLine="600" w:firstLineChars="200"/>
        <w:jc w:val="left"/>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3.截止2021年12月31日，我区严重精神障碍患者建档率达4.82‰，在册患者人数，管理人数3750人，规范管理人数3671人，管理率99.89%，规范管理率97.89%,面访率99.9%。</w:t>
      </w:r>
    </w:p>
    <w:p>
      <w:pPr>
        <w:spacing w:line="600" w:lineRule="exact"/>
        <w:ind w:firstLine="600" w:firstLineChars="200"/>
        <w:jc w:val="left"/>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4.以“世界精神卫生日”为契机，在全区范围内开展了以“青春之心灵、青春之少年”为主题的宣传活动。通过义诊、健康知识讲座、团建活动、上门服务、发放宣传资料等方式，让广大群众、在校学生、精神障碍患者及家属对精神卫生知识、心理健康有了一定的认识，同时也懂得了心理健康及时治疗的重要性。</w:t>
      </w:r>
    </w:p>
    <w:p>
      <w:pPr>
        <w:spacing w:line="600" w:lineRule="exact"/>
        <w:ind w:left="-10" w:firstLine="600" w:firstLineChars="200"/>
        <w:rPr>
          <w:rFonts w:ascii="黑体" w:hAnsi="黑体" w:eastAsia="黑体" w:cs="黑体"/>
          <w:sz w:val="30"/>
          <w:szCs w:val="30"/>
        </w:rPr>
      </w:pPr>
      <w:r>
        <w:rPr>
          <w:rFonts w:hint="eastAsia" w:ascii="黑体" w:hAnsi="黑体" w:eastAsia="黑体" w:cs="黑体"/>
          <w:sz w:val="30"/>
          <w:szCs w:val="30"/>
        </w:rPr>
        <w:t>三、主要经验及做法</w:t>
      </w:r>
    </w:p>
    <w:p>
      <w:pPr>
        <w:spacing w:line="600" w:lineRule="exact"/>
        <w:ind w:firstLine="600" w:firstLineChars="200"/>
        <w:rPr>
          <w:rFonts w:ascii="仿宋" w:hAnsi="仿宋" w:eastAsia="仿宋" w:cs="仿宋"/>
          <w:sz w:val="30"/>
          <w:szCs w:val="30"/>
        </w:rPr>
      </w:pPr>
      <w:r>
        <w:rPr>
          <w:rFonts w:hint="eastAsia" w:ascii="仿宋" w:hAnsi="仿宋" w:eastAsia="仿宋" w:cs="仿宋"/>
          <w:color w:val="000000" w:themeColor="text1"/>
          <w:sz w:val="30"/>
          <w:szCs w:val="30"/>
          <w14:textFill>
            <w14:solidFill>
              <w14:schemeClr w14:val="tx1"/>
            </w14:solidFill>
          </w14:textFill>
        </w:rPr>
        <w:t>一是为优化服务体系，为有需要的患者提供有效的帮助，使其在认知、情感和态度上有所变化。充分发挥专业优势，利用送医送药下乡活动每月对各单位进行点对点的现场技术指导、督导与培训，并建立网络管理体系，共享资源；二是扩大了精神卫生工作及严重精神障碍管理服务宣传。</w:t>
      </w:r>
    </w:p>
    <w:p>
      <w:pPr>
        <w:spacing w:line="600" w:lineRule="exact"/>
        <w:ind w:left="-10" w:firstLine="600" w:firstLineChars="200"/>
        <w:rPr>
          <w:rFonts w:ascii="黑体" w:hAnsi="黑体" w:eastAsia="黑体" w:cs="黑体"/>
          <w:sz w:val="30"/>
          <w:szCs w:val="30"/>
        </w:rPr>
      </w:pPr>
      <w:r>
        <w:rPr>
          <w:rFonts w:hint="eastAsia" w:ascii="黑体" w:hAnsi="黑体" w:eastAsia="黑体" w:cs="黑体"/>
          <w:sz w:val="30"/>
          <w:szCs w:val="30"/>
        </w:rPr>
        <w:t>四、存在的问题</w:t>
      </w:r>
    </w:p>
    <w:p>
      <w:pPr>
        <w:spacing w:line="600" w:lineRule="exact"/>
        <w:ind w:firstLine="600" w:firstLineChars="200"/>
        <w:rPr>
          <w:rFonts w:ascii="仿宋" w:hAnsi="仿宋" w:eastAsia="仿宋" w:cs="仿宋"/>
          <w:sz w:val="30"/>
          <w:szCs w:val="30"/>
        </w:rPr>
      </w:pPr>
      <w:r>
        <w:rPr>
          <w:rFonts w:hint="eastAsia" w:ascii="仿宋" w:hAnsi="仿宋" w:eastAsia="仿宋" w:cs="仿宋"/>
          <w:color w:val="000000" w:themeColor="text1"/>
          <w:sz w:val="30"/>
          <w:szCs w:val="30"/>
          <w:shd w:val="clear" w:color="auto" w:fill="FFFFFF"/>
          <w14:textFill>
            <w14:solidFill>
              <w14:schemeClr w14:val="tx1"/>
            </w14:solidFill>
          </w14:textFill>
        </w:rPr>
        <w:t>社会环境不太利于精神疾病患者康复，虽然社会在进步，但是小环境下，广大群众对于精神卫生知识等一些常见的精神障碍问题认知率低，对于精神类病人存在明显歧视，将精神类疾病患者简单划分“疯子”、“高风险人群”，很少愿意善意对待，进一步加剧患者的病情。</w:t>
      </w:r>
    </w:p>
    <w:p>
      <w:pPr>
        <w:spacing w:line="600" w:lineRule="exact"/>
        <w:ind w:left="-10" w:firstLine="600" w:firstLineChars="200"/>
        <w:rPr>
          <w:rFonts w:ascii="黑体" w:hAnsi="黑体" w:eastAsia="黑体" w:cs="黑体"/>
          <w:sz w:val="30"/>
          <w:szCs w:val="30"/>
        </w:rPr>
      </w:pPr>
      <w:r>
        <w:rPr>
          <w:rFonts w:hint="eastAsia" w:ascii="黑体" w:hAnsi="黑体" w:eastAsia="黑体" w:cs="黑体"/>
          <w:sz w:val="30"/>
          <w:szCs w:val="30"/>
        </w:rPr>
        <w:t>五、有关建议</w:t>
      </w:r>
    </w:p>
    <w:p>
      <w:pPr>
        <w:spacing w:line="600" w:lineRule="exact"/>
        <w:ind w:firstLine="600" w:firstLineChars="200"/>
        <w:rPr>
          <w:rFonts w:ascii="仿宋" w:hAnsi="仿宋" w:eastAsia="仿宋" w:cs="仿宋"/>
          <w:sz w:val="30"/>
          <w:szCs w:val="30"/>
        </w:rPr>
      </w:pPr>
      <w:r>
        <w:rPr>
          <w:rFonts w:hint="eastAsia" w:ascii="仿宋" w:hAnsi="仿宋" w:eastAsia="仿宋" w:cs="仿宋"/>
          <w:sz w:val="30"/>
          <w:szCs w:val="30"/>
        </w:rPr>
        <w:t>1.进一步加强宣传倡导。进一步加大宣传力度，让广大城乡居民更全面了解项目的益处，要将精神病防治、管理服务与日常居民健康管理工作结合起来，主动提供精神病防治项目相关咨询服务，普及基本精神病防治知识，提高群众知晓率，鼓励群众积极参与，消除偏见，配合项目工作开展。</w:t>
      </w:r>
    </w:p>
    <w:p>
      <w:pPr>
        <w:spacing w:line="600" w:lineRule="exact"/>
        <w:ind w:firstLine="600" w:firstLineChars="200"/>
        <w:rPr>
          <w:rFonts w:ascii="仿宋" w:hAnsi="仿宋" w:eastAsia="仿宋" w:cs="仿宋"/>
          <w:sz w:val="30"/>
          <w:szCs w:val="30"/>
        </w:rPr>
      </w:pPr>
      <w:r>
        <w:rPr>
          <w:rFonts w:hint="eastAsia" w:ascii="仿宋" w:hAnsi="仿宋" w:eastAsia="仿宋" w:cs="仿宋"/>
          <w:sz w:val="30"/>
          <w:szCs w:val="30"/>
        </w:rPr>
        <w:t>2.加大投入，保证“病能有医，疯能有控”。建立部门联合救助机制，“应助尽助”全面提高救助水平。要把精神病患者作为特殊的弱势群体，建立救助精神病人机制。通过完善各类救治救助保障，建立健全由政府、社会、家庭三方共同构成的“三位一体”帮扶救助体系，用好社保、低保、救助、捐助、补贴等政策，及时解决严重精神疾病患者在就医、家庭生活等方面的实际困难。创造一个有利他们就医、康复和回归社会的良好环境，增强精神病人家属对精神病人监护的信心，减轻精神病人病情的复发和加重，充分体现各级党委政府的人文关怀。</w:t>
      </w:r>
    </w:p>
    <w:p>
      <w:pPr>
        <w:spacing w:line="600" w:lineRule="exact"/>
        <w:ind w:firstLine="600" w:firstLineChars="200"/>
        <w:rPr>
          <w:rFonts w:ascii="仿宋" w:hAnsi="仿宋" w:eastAsia="仿宋" w:cs="仿宋"/>
          <w:sz w:val="30"/>
          <w:szCs w:val="30"/>
        </w:rPr>
      </w:pPr>
      <w:r>
        <w:rPr>
          <w:rFonts w:hint="eastAsia" w:ascii="仿宋" w:hAnsi="仿宋" w:eastAsia="仿宋" w:cs="仿宋"/>
          <w:sz w:val="30"/>
          <w:szCs w:val="30"/>
        </w:rPr>
        <w:t>3.强化督导、考核。加强项目、资金使用监管，同时认真开展项目资金绩效评价。制定切实可行的绩效目标，对照项目管理要求、考核标准，实行专款专用，奖罚兑现，督促、指导各乡镇、村工作，促进全区精神病防治管理工作再上新台阶。</w:t>
      </w:r>
    </w:p>
    <w:p>
      <w:pPr>
        <w:spacing w:line="600" w:lineRule="exact"/>
        <w:ind w:firstLine="600" w:firstLineChars="200"/>
        <w:rPr>
          <w:rFonts w:ascii="仿宋" w:hAnsi="仿宋" w:eastAsia="仿宋" w:cs="仿宋"/>
          <w:sz w:val="30"/>
          <w:szCs w:val="30"/>
        </w:rPr>
      </w:pPr>
      <w:r>
        <w:rPr>
          <w:rFonts w:hint="eastAsia" w:ascii="仿宋" w:hAnsi="仿宋" w:eastAsia="仿宋" w:cs="仿宋"/>
          <w:sz w:val="30"/>
          <w:szCs w:val="30"/>
        </w:rPr>
        <w:t>附件：2021年度项目支出绩效自评指标计分表</w:t>
      </w:r>
    </w:p>
    <w:p>
      <w:pPr>
        <w:spacing w:line="600" w:lineRule="exact"/>
        <w:ind w:firstLine="600" w:firstLineChars="200"/>
        <w:rPr>
          <w:rFonts w:ascii="仿宋" w:hAnsi="仿宋" w:eastAsia="仿宋" w:cs="仿宋"/>
          <w:sz w:val="30"/>
          <w:szCs w:val="30"/>
        </w:rPr>
      </w:pPr>
    </w:p>
    <w:p>
      <w:pPr>
        <w:spacing w:line="600" w:lineRule="exact"/>
        <w:ind w:firstLine="600" w:firstLineChars="200"/>
        <w:rPr>
          <w:rFonts w:ascii="仿宋" w:hAnsi="仿宋" w:eastAsia="仿宋" w:cs="仿宋"/>
          <w:sz w:val="30"/>
          <w:szCs w:val="30"/>
        </w:rPr>
      </w:pPr>
    </w:p>
    <w:p>
      <w:pPr>
        <w:spacing w:line="600" w:lineRule="exact"/>
        <w:ind w:firstLine="600" w:firstLineChars="200"/>
        <w:rPr>
          <w:rFonts w:ascii="仿宋" w:hAnsi="仿宋" w:eastAsia="仿宋" w:cs="仿宋"/>
          <w:sz w:val="30"/>
          <w:szCs w:val="30"/>
        </w:rPr>
      </w:pPr>
    </w:p>
    <w:p>
      <w:pPr>
        <w:spacing w:line="600" w:lineRule="exact"/>
        <w:ind w:firstLine="600" w:firstLineChars="200"/>
        <w:rPr>
          <w:rFonts w:ascii="仿宋" w:hAnsi="仿宋" w:eastAsia="仿宋" w:cs="仿宋"/>
          <w:sz w:val="30"/>
          <w:szCs w:val="30"/>
        </w:rPr>
      </w:pPr>
    </w:p>
    <w:p>
      <w:pPr>
        <w:spacing w:line="600" w:lineRule="exact"/>
        <w:ind w:firstLine="600" w:firstLineChars="200"/>
        <w:rPr>
          <w:rFonts w:ascii="仿宋" w:hAnsi="仿宋" w:eastAsia="仿宋" w:cs="仿宋"/>
          <w:sz w:val="30"/>
          <w:szCs w:val="30"/>
        </w:rPr>
      </w:pPr>
    </w:p>
    <w:p>
      <w:pPr>
        <w:spacing w:line="600" w:lineRule="exact"/>
        <w:ind w:firstLine="600" w:firstLineChars="200"/>
        <w:rPr>
          <w:rFonts w:ascii="仿宋" w:hAnsi="仿宋" w:eastAsia="仿宋" w:cs="仿宋"/>
          <w:sz w:val="30"/>
          <w:szCs w:val="30"/>
        </w:rPr>
      </w:pPr>
    </w:p>
    <w:p>
      <w:pPr>
        <w:spacing w:line="600" w:lineRule="exact"/>
        <w:ind w:firstLine="600" w:firstLineChars="200"/>
        <w:rPr>
          <w:rFonts w:ascii="仿宋" w:hAnsi="仿宋" w:eastAsia="仿宋" w:cs="仿宋"/>
          <w:sz w:val="30"/>
          <w:szCs w:val="30"/>
        </w:rPr>
      </w:pPr>
    </w:p>
    <w:p>
      <w:pPr>
        <w:spacing w:line="600" w:lineRule="exact"/>
        <w:ind w:firstLine="600" w:firstLineChars="200"/>
        <w:rPr>
          <w:rFonts w:ascii="仿宋" w:hAnsi="仿宋" w:eastAsia="仿宋" w:cs="仿宋"/>
          <w:sz w:val="30"/>
          <w:szCs w:val="30"/>
        </w:rPr>
      </w:pPr>
    </w:p>
    <w:p>
      <w:pPr>
        <w:spacing w:line="600" w:lineRule="exact"/>
        <w:ind w:firstLine="600" w:firstLineChars="200"/>
        <w:rPr>
          <w:rFonts w:ascii="仿宋" w:hAnsi="仿宋" w:eastAsia="仿宋" w:cs="仿宋"/>
          <w:sz w:val="30"/>
          <w:szCs w:val="30"/>
        </w:rPr>
      </w:pPr>
    </w:p>
    <w:p>
      <w:pPr>
        <w:spacing w:line="600" w:lineRule="exact"/>
        <w:ind w:firstLine="600" w:firstLineChars="200"/>
        <w:rPr>
          <w:rFonts w:ascii="仿宋" w:hAnsi="仿宋" w:eastAsia="仿宋" w:cs="仿宋"/>
          <w:sz w:val="30"/>
          <w:szCs w:val="30"/>
        </w:rPr>
      </w:pPr>
    </w:p>
    <w:p>
      <w:pPr>
        <w:spacing w:line="600" w:lineRule="exact"/>
        <w:ind w:firstLine="600" w:firstLineChars="200"/>
        <w:rPr>
          <w:rFonts w:ascii="仿宋" w:hAnsi="仿宋" w:eastAsia="仿宋" w:cs="仿宋"/>
          <w:sz w:val="30"/>
          <w:szCs w:val="30"/>
        </w:rPr>
      </w:pPr>
    </w:p>
    <w:p>
      <w:pPr>
        <w:spacing w:line="600" w:lineRule="exact"/>
        <w:ind w:firstLine="600" w:firstLineChars="200"/>
        <w:rPr>
          <w:rFonts w:ascii="仿宋" w:hAnsi="仿宋" w:eastAsia="仿宋" w:cs="仿宋"/>
          <w:sz w:val="30"/>
          <w:szCs w:val="30"/>
        </w:rPr>
      </w:pPr>
    </w:p>
    <w:p>
      <w:pPr>
        <w:spacing w:after="156" w:afterLines="50" w:line="600" w:lineRule="exact"/>
        <w:ind w:firstLine="600" w:firstLineChars="200"/>
        <w:jc w:val="center"/>
        <w:rPr>
          <w:rFonts w:ascii="仿宋" w:hAnsi="仿宋" w:eastAsia="仿宋" w:cs="仿宋"/>
          <w:sz w:val="30"/>
          <w:szCs w:val="30"/>
        </w:rPr>
      </w:pPr>
    </w:p>
    <w:p>
      <w:pPr>
        <w:spacing w:after="156" w:afterLines="50" w:line="600" w:lineRule="exact"/>
        <w:ind w:firstLine="600" w:firstLineChars="200"/>
        <w:jc w:val="center"/>
        <w:rPr>
          <w:rFonts w:ascii="仿宋" w:hAnsi="仿宋" w:eastAsia="仿宋" w:cs="仿宋"/>
          <w:sz w:val="30"/>
          <w:szCs w:val="30"/>
        </w:rPr>
      </w:pPr>
    </w:p>
    <w:p>
      <w:pPr>
        <w:spacing w:after="156" w:afterLines="50" w:line="600" w:lineRule="exact"/>
        <w:ind w:firstLine="600" w:firstLineChars="200"/>
        <w:jc w:val="center"/>
        <w:rPr>
          <w:rFonts w:ascii="仿宋" w:hAnsi="仿宋" w:eastAsia="仿宋" w:cs="仿宋"/>
          <w:sz w:val="30"/>
          <w:szCs w:val="30"/>
        </w:rPr>
      </w:pPr>
    </w:p>
    <w:p>
      <w:pPr>
        <w:spacing w:after="156" w:afterLines="50" w:line="600" w:lineRule="exact"/>
        <w:ind w:firstLine="600" w:firstLineChars="200"/>
        <w:jc w:val="center"/>
        <w:rPr>
          <w:rFonts w:ascii="仿宋" w:hAnsi="仿宋" w:eastAsia="仿宋" w:cs="仿宋"/>
          <w:sz w:val="30"/>
          <w:szCs w:val="30"/>
        </w:rPr>
      </w:pPr>
    </w:p>
    <w:p>
      <w:pPr>
        <w:spacing w:after="156" w:afterLines="50" w:line="600" w:lineRule="exact"/>
        <w:ind w:firstLine="600" w:firstLineChars="200"/>
        <w:jc w:val="center"/>
        <w:rPr>
          <w:rFonts w:ascii="仿宋" w:hAnsi="仿宋" w:eastAsia="仿宋" w:cs="仿宋"/>
          <w:sz w:val="30"/>
          <w:szCs w:val="30"/>
        </w:rPr>
      </w:pPr>
    </w:p>
    <w:p>
      <w:pPr>
        <w:spacing w:after="156" w:afterLines="50" w:line="600" w:lineRule="exact"/>
        <w:ind w:firstLine="600" w:firstLineChars="200"/>
        <w:jc w:val="center"/>
        <w:rPr>
          <w:rFonts w:ascii="仿宋" w:hAnsi="仿宋" w:eastAsia="仿宋" w:cs="仿宋"/>
          <w:sz w:val="30"/>
          <w:szCs w:val="30"/>
        </w:rPr>
      </w:pPr>
    </w:p>
    <w:p>
      <w:pPr>
        <w:spacing w:after="156" w:afterLines="50" w:line="600" w:lineRule="exact"/>
        <w:ind w:firstLine="600" w:firstLineChars="200"/>
        <w:jc w:val="center"/>
        <w:rPr>
          <w:rFonts w:ascii="仿宋" w:hAnsi="仿宋" w:eastAsia="仿宋" w:cs="仿宋"/>
          <w:sz w:val="30"/>
          <w:szCs w:val="30"/>
        </w:rPr>
      </w:pPr>
    </w:p>
    <w:p>
      <w:pPr>
        <w:spacing w:after="156" w:afterLines="50" w:line="600" w:lineRule="exact"/>
        <w:ind w:firstLine="600" w:firstLineChars="200"/>
        <w:jc w:val="center"/>
        <w:rPr>
          <w:rFonts w:ascii="黑体" w:hAnsi="黑体" w:eastAsia="黑体" w:cs="黑体"/>
          <w:sz w:val="30"/>
          <w:szCs w:val="30"/>
        </w:rPr>
      </w:pPr>
      <w:r>
        <w:rPr>
          <w:rFonts w:hint="eastAsia" w:ascii="黑体" w:hAnsi="黑体" w:eastAsia="黑体" w:cs="黑体"/>
          <w:sz w:val="30"/>
          <w:szCs w:val="30"/>
        </w:rPr>
        <w:t>2021年度项目支出绩效自评指标计分表</w:t>
      </w:r>
    </w:p>
    <w:tbl>
      <w:tblPr>
        <w:tblStyle w:val="4"/>
        <w:tblW w:w="518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543"/>
        <w:gridCol w:w="448"/>
        <w:gridCol w:w="831"/>
        <w:gridCol w:w="539"/>
        <w:gridCol w:w="2627"/>
        <w:gridCol w:w="41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295" w:type="pct"/>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一级</w:t>
            </w:r>
            <w:r>
              <w:rPr>
                <w:rFonts w:ascii="宋体"/>
                <w:b/>
                <w:bCs/>
              </w:rPr>
              <w:br w:type="textWrapping"/>
            </w:r>
            <w:r>
              <w:rPr>
                <w:rFonts w:hint="eastAsia" w:ascii="宋体" w:hAnsi="宋体" w:cs="宋体"/>
                <w:b/>
                <w:bCs/>
              </w:rPr>
              <w:t>指标</w:t>
            </w:r>
          </w:p>
        </w:tc>
        <w:tc>
          <w:tcPr>
            <w:tcW w:w="244" w:type="pct"/>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二级</w:t>
            </w:r>
            <w:r>
              <w:rPr>
                <w:rFonts w:ascii="宋体"/>
                <w:b/>
                <w:bCs/>
              </w:rPr>
              <w:br w:type="textWrapping"/>
            </w:r>
            <w:r>
              <w:rPr>
                <w:rFonts w:hint="eastAsia" w:ascii="宋体" w:hAnsi="宋体" w:cs="宋体"/>
                <w:b/>
                <w:bCs/>
              </w:rPr>
              <w:t>指标</w:t>
            </w:r>
          </w:p>
        </w:tc>
        <w:tc>
          <w:tcPr>
            <w:tcW w:w="452" w:type="pct"/>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三级指标</w:t>
            </w:r>
          </w:p>
        </w:tc>
        <w:tc>
          <w:tcPr>
            <w:tcW w:w="293" w:type="pct"/>
          </w:tcPr>
          <w:p>
            <w:pPr>
              <w:spacing w:line="240" w:lineRule="exact"/>
              <w:jc w:val="center"/>
              <w:rPr>
                <w:rFonts w:ascii="宋体"/>
                <w:b/>
                <w:bCs/>
              </w:rPr>
            </w:pPr>
            <w:r>
              <w:rPr>
                <w:rFonts w:hint="eastAsia" w:ascii="宋体" w:hAnsi="宋体" w:cs="宋体"/>
                <w:b/>
                <w:bCs/>
              </w:rPr>
              <w:t>自评分</w:t>
            </w:r>
          </w:p>
        </w:tc>
        <w:tc>
          <w:tcPr>
            <w:tcW w:w="1429" w:type="pct"/>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指标解释</w:t>
            </w:r>
          </w:p>
        </w:tc>
        <w:tc>
          <w:tcPr>
            <w:tcW w:w="2284" w:type="pct"/>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指标说明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restart"/>
            <w:noWrap/>
            <w:tcMar>
              <w:top w:w="10" w:type="dxa"/>
              <w:left w:w="10" w:type="dxa"/>
              <w:bottom w:w="0" w:type="dxa"/>
              <w:right w:w="10" w:type="dxa"/>
            </w:tcMar>
            <w:textDirection w:val="tbRlV"/>
            <w:vAlign w:val="center"/>
          </w:tcPr>
          <w:p>
            <w:pPr>
              <w:spacing w:line="240" w:lineRule="exact"/>
              <w:jc w:val="center"/>
              <w:rPr>
                <w:rFonts w:ascii="宋体"/>
              </w:rPr>
            </w:pPr>
            <w:r>
              <w:rPr>
                <w:rFonts w:hint="eastAsia" w:ascii="宋体" w:hAnsi="宋体" w:cs="宋体"/>
              </w:rPr>
              <w:t>决</w:t>
            </w:r>
            <w:r>
              <w:rPr>
                <w:rFonts w:ascii="宋体" w:hAnsi="宋体" w:cs="宋体"/>
              </w:rPr>
              <w:t xml:space="preserve">  </w:t>
            </w:r>
            <w:r>
              <w:rPr>
                <w:rFonts w:hint="eastAsia" w:ascii="宋体" w:hAnsi="宋体" w:cs="宋体"/>
              </w:rPr>
              <w:t>策（</w:t>
            </w:r>
            <w:r>
              <w:rPr>
                <w:rFonts w:ascii="宋体" w:hAnsi="宋体" w:cs="宋体"/>
              </w:rPr>
              <w:t>20</w:t>
            </w:r>
            <w:r>
              <w:rPr>
                <w:rFonts w:hint="eastAsia" w:ascii="宋体" w:hAnsi="宋体" w:cs="宋体"/>
              </w:rPr>
              <w:t>分）</w:t>
            </w:r>
          </w:p>
        </w:tc>
        <w:tc>
          <w:tcPr>
            <w:tcW w:w="244" w:type="pct"/>
            <w:vMerge w:val="restart"/>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预算支出决策</w:t>
            </w:r>
          </w:p>
          <w:p>
            <w:pPr>
              <w:spacing w:line="240" w:lineRule="exact"/>
              <w:jc w:val="center"/>
              <w:rPr>
                <w:rFonts w:ascii="宋体"/>
              </w:rPr>
            </w:pPr>
            <w:r>
              <w:rPr>
                <w:rFonts w:hint="eastAsia" w:ascii="宋体" w:hAnsi="宋体" w:cs="宋体"/>
              </w:rPr>
              <w:t>（项目立项）（</w:t>
            </w:r>
            <w:r>
              <w:rPr>
                <w:rFonts w:ascii="宋体" w:hAnsi="宋体" w:cs="宋体"/>
              </w:rPr>
              <w:t>8</w:t>
            </w:r>
            <w:r>
              <w:rPr>
                <w:rFonts w:hint="eastAsia" w:ascii="宋体" w:hAnsi="宋体" w:cs="宋体"/>
              </w:rPr>
              <w:t>分）</w:t>
            </w:r>
          </w:p>
        </w:tc>
        <w:tc>
          <w:tcPr>
            <w:tcW w:w="452" w:type="pct"/>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预算支出决策（项目立项）依据</w:t>
            </w:r>
          </w:p>
          <w:p>
            <w:pPr>
              <w:spacing w:line="240" w:lineRule="exact"/>
              <w:ind w:left="105" w:leftChars="50" w:right="105" w:rightChars="50"/>
              <w:jc w:val="center"/>
              <w:rPr>
                <w:rFonts w:ascii="宋体"/>
              </w:rPr>
            </w:pPr>
            <w:r>
              <w:rPr>
                <w:rFonts w:hint="eastAsia" w:ascii="宋体" w:hAnsi="宋体" w:cs="宋体"/>
              </w:rPr>
              <w:t>充分性（</w:t>
            </w:r>
            <w:r>
              <w:rPr>
                <w:rFonts w:ascii="宋体" w:hAnsi="宋体" w:cs="宋体"/>
              </w:rPr>
              <w:t>4</w:t>
            </w:r>
            <w:r>
              <w:rPr>
                <w:rFonts w:hint="eastAsia" w:ascii="宋体" w:hAnsi="宋体" w:cs="宋体"/>
              </w:rPr>
              <w:t>分）</w:t>
            </w:r>
          </w:p>
        </w:tc>
        <w:tc>
          <w:tcPr>
            <w:tcW w:w="293" w:type="pct"/>
          </w:tcPr>
          <w:p>
            <w:pPr>
              <w:spacing w:line="240" w:lineRule="exact"/>
              <w:ind w:left="105" w:leftChars="50" w:right="105" w:rightChars="50"/>
              <w:rPr>
                <w:rFonts w:ascii="宋体"/>
              </w:rPr>
            </w:pPr>
          </w:p>
          <w:p>
            <w:pPr>
              <w:spacing w:line="240" w:lineRule="exact"/>
              <w:ind w:left="105" w:leftChars="50" w:right="105" w:rightChars="50"/>
              <w:rPr>
                <w:rFonts w:ascii="宋体"/>
              </w:rPr>
            </w:pPr>
          </w:p>
          <w:p>
            <w:pPr>
              <w:spacing w:line="240" w:lineRule="exact"/>
              <w:ind w:left="105" w:leftChars="50" w:right="105" w:rightChars="50"/>
              <w:rPr>
                <w:rFonts w:ascii="宋体"/>
              </w:rPr>
            </w:pPr>
          </w:p>
          <w:p>
            <w:pPr>
              <w:spacing w:line="240" w:lineRule="exact"/>
              <w:ind w:left="105" w:leftChars="50" w:right="105" w:rightChars="50"/>
              <w:rPr>
                <w:rFonts w:ascii="宋体"/>
              </w:rPr>
            </w:pPr>
          </w:p>
          <w:p>
            <w:pPr>
              <w:spacing w:line="240" w:lineRule="exact"/>
              <w:ind w:left="105" w:leftChars="50" w:right="105" w:rightChars="50"/>
              <w:rPr>
                <w:rFonts w:ascii="宋体"/>
              </w:rPr>
            </w:pPr>
          </w:p>
          <w:p>
            <w:pPr>
              <w:spacing w:line="240" w:lineRule="exact"/>
              <w:ind w:right="105" w:rightChars="50" w:firstLine="210" w:firstLineChars="100"/>
              <w:rPr>
                <w:rFonts w:ascii="宋体" w:eastAsia="宋体"/>
              </w:rPr>
            </w:pPr>
            <w:r>
              <w:rPr>
                <w:rFonts w:hint="eastAsia" w:ascii="宋体"/>
              </w:rPr>
              <w:t>4</w:t>
            </w:r>
          </w:p>
        </w:tc>
        <w:tc>
          <w:tcPr>
            <w:tcW w:w="1429"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预算支出决策（项目立项）是否符合法律法规、相关政策、发展规划以及部门职责，用以反映和考核决策（立项）的依据情况。</w:t>
            </w:r>
          </w:p>
        </w:tc>
        <w:tc>
          <w:tcPr>
            <w:tcW w:w="2284"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r>
              <w:rPr>
                <w:rFonts w:ascii="宋体"/>
              </w:rPr>
              <w:br w:type="textWrapping"/>
            </w:r>
            <w:r>
              <w:rPr>
                <w:rFonts w:hint="eastAsia" w:ascii="宋体" w:hAnsi="宋体" w:cs="宋体"/>
              </w:rPr>
              <w:t>①决策（立项）是否符合国家相关法律法规、国民经济发展规划和相关政策；</w:t>
            </w:r>
            <w:r>
              <w:rPr>
                <w:rFonts w:ascii="宋体"/>
              </w:rPr>
              <w:br w:type="textWrapping"/>
            </w:r>
            <w:r>
              <w:rPr>
                <w:rFonts w:hint="eastAsia" w:ascii="宋体" w:hAnsi="宋体" w:cs="宋体"/>
              </w:rPr>
              <w:t>②决策（立项）是否符合行业发展规划和政策要求；</w:t>
            </w:r>
            <w:r>
              <w:rPr>
                <w:rFonts w:ascii="宋体"/>
              </w:rPr>
              <w:br w:type="textWrapping"/>
            </w:r>
            <w:r>
              <w:rPr>
                <w:rFonts w:hint="eastAsia" w:ascii="宋体" w:hAnsi="宋体" w:cs="宋体"/>
              </w:rPr>
              <w:t>③决策（立项）是否与部门职责范围相符，属于部门履职所需；</w:t>
            </w:r>
            <w:r>
              <w:rPr>
                <w:rFonts w:ascii="宋体"/>
              </w:rPr>
              <w:br w:type="textWrapping"/>
            </w:r>
            <w:r>
              <w:rPr>
                <w:rFonts w:hint="eastAsia" w:ascii="宋体" w:hAnsi="宋体" w:cs="宋体"/>
              </w:rPr>
              <w:t>④预算支出是否属于公共财政支持范围，是否符合中央、地方事权支出责任划分原则；</w:t>
            </w:r>
          </w:p>
          <w:p>
            <w:pPr>
              <w:spacing w:line="240" w:lineRule="exact"/>
              <w:ind w:left="105" w:leftChars="50" w:right="105" w:rightChars="50"/>
              <w:rPr>
                <w:rFonts w:ascii="宋体"/>
              </w:rPr>
            </w:pPr>
            <w:r>
              <w:rPr>
                <w:rFonts w:hint="eastAsia" w:ascii="宋体" w:hAnsi="宋体" w:cs="宋体"/>
              </w:rPr>
              <w:t>⑤预算支出是否与相关部门同类预算支出或部门内部相关预算支出重复。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30" w:hRule="atLeast"/>
          <w:jc w:val="center"/>
        </w:trPr>
        <w:tc>
          <w:tcPr>
            <w:tcW w:w="295" w:type="pct"/>
            <w:vMerge w:val="continue"/>
            <w:noWrap/>
            <w:tcMar>
              <w:top w:w="10" w:type="dxa"/>
              <w:left w:w="10" w:type="dxa"/>
              <w:bottom w:w="0" w:type="dxa"/>
              <w:right w:w="10" w:type="dxa"/>
            </w:tcMar>
            <w:textDirection w:val="tbRlV"/>
            <w:vAlign w:val="center"/>
          </w:tcPr>
          <w:p>
            <w:pPr>
              <w:spacing w:line="240" w:lineRule="exact"/>
              <w:jc w:val="center"/>
              <w:rPr>
                <w:rFonts w:ascii="宋体"/>
              </w:rPr>
            </w:pPr>
          </w:p>
        </w:tc>
        <w:tc>
          <w:tcPr>
            <w:tcW w:w="244" w:type="pct"/>
            <w:vMerge w:val="continue"/>
            <w:tcMar>
              <w:top w:w="10" w:type="dxa"/>
              <w:left w:w="10" w:type="dxa"/>
              <w:bottom w:w="0" w:type="dxa"/>
              <w:right w:w="10" w:type="dxa"/>
            </w:tcMar>
            <w:vAlign w:val="center"/>
          </w:tcPr>
          <w:p>
            <w:pPr>
              <w:spacing w:line="240" w:lineRule="exact"/>
              <w:jc w:val="center"/>
              <w:rPr>
                <w:rFonts w:ascii="宋体"/>
              </w:rPr>
            </w:pPr>
          </w:p>
        </w:tc>
        <w:tc>
          <w:tcPr>
            <w:tcW w:w="452" w:type="pct"/>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决策(立项）程序规范性(</w:t>
            </w:r>
            <w:r>
              <w:rPr>
                <w:rFonts w:ascii="宋体" w:hAnsi="宋体" w:cs="宋体"/>
              </w:rPr>
              <w:t>4</w:t>
            </w:r>
            <w:r>
              <w:rPr>
                <w:rFonts w:hint="eastAsia" w:ascii="宋体" w:hAnsi="宋体" w:cs="宋体"/>
              </w:rPr>
              <w:t>分)</w:t>
            </w:r>
          </w:p>
        </w:tc>
        <w:tc>
          <w:tcPr>
            <w:tcW w:w="293" w:type="pct"/>
          </w:tcPr>
          <w:p>
            <w:pPr>
              <w:spacing w:line="240" w:lineRule="exact"/>
              <w:ind w:right="105" w:rightChars="50"/>
              <w:rPr>
                <w:rFonts w:ascii="宋体"/>
              </w:rPr>
            </w:pPr>
          </w:p>
          <w:p>
            <w:pPr>
              <w:spacing w:line="240" w:lineRule="exact"/>
              <w:ind w:right="105" w:rightChars="50"/>
              <w:rPr>
                <w:rFonts w:ascii="宋体"/>
              </w:rPr>
            </w:pPr>
          </w:p>
          <w:p>
            <w:pPr>
              <w:spacing w:line="240" w:lineRule="exact"/>
              <w:ind w:right="105" w:rightChars="50"/>
              <w:rPr>
                <w:rFonts w:ascii="宋体" w:eastAsia="宋体"/>
              </w:rPr>
            </w:pPr>
            <w:r>
              <w:rPr>
                <w:rFonts w:hint="eastAsia" w:ascii="宋体"/>
              </w:rPr>
              <w:t xml:space="preserve">  4</w:t>
            </w:r>
          </w:p>
        </w:tc>
        <w:tc>
          <w:tcPr>
            <w:tcW w:w="1429"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预算支出申请、设立过程是否符合相关要求，用以反映和考核决策（立项）的规范情况。</w:t>
            </w:r>
          </w:p>
        </w:tc>
        <w:tc>
          <w:tcPr>
            <w:tcW w:w="2284"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p>
          <w:p>
            <w:pPr>
              <w:spacing w:line="240" w:lineRule="exact"/>
              <w:ind w:left="105" w:leftChars="50"/>
              <w:rPr>
                <w:rFonts w:ascii="宋体"/>
              </w:rPr>
            </w:pPr>
            <w:r>
              <w:rPr>
                <w:rFonts w:hint="eastAsia" w:ascii="宋体" w:hAnsi="宋体" w:cs="宋体"/>
              </w:rPr>
              <w:t>①预算支出是否按照规定的程序申请设立；</w:t>
            </w:r>
          </w:p>
          <w:p>
            <w:pPr>
              <w:spacing w:line="240" w:lineRule="exact"/>
              <w:ind w:left="105" w:leftChars="50"/>
              <w:rPr>
                <w:rFonts w:ascii="宋体"/>
              </w:rPr>
            </w:pPr>
            <w:r>
              <w:rPr>
                <w:rFonts w:hint="eastAsia" w:ascii="宋体" w:hAnsi="宋体" w:cs="宋体"/>
              </w:rPr>
              <w:t>②审批文件、材料是否符合相关要求；</w:t>
            </w:r>
          </w:p>
          <w:p>
            <w:pPr>
              <w:spacing w:line="240" w:lineRule="exact"/>
              <w:ind w:left="105" w:leftChars="50"/>
              <w:rPr>
                <w:rFonts w:ascii="宋体"/>
              </w:rPr>
            </w:pPr>
            <w:r>
              <w:rPr>
                <w:rFonts w:hint="eastAsia" w:ascii="宋体" w:hAnsi="宋体" w:cs="宋体"/>
              </w:rPr>
              <w:t>③事前是否已经过必要的可行性研究、专家论证、风险评估、绩效评估、集体决策。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22" w:hRule="atLeast"/>
          <w:jc w:val="center"/>
        </w:trPr>
        <w:tc>
          <w:tcPr>
            <w:tcW w:w="295" w:type="pct"/>
            <w:vMerge w:val="continue"/>
            <w:vAlign w:val="center"/>
          </w:tcPr>
          <w:p>
            <w:pPr>
              <w:spacing w:line="240" w:lineRule="exact"/>
              <w:rPr>
                <w:rFonts w:ascii="宋体"/>
              </w:rPr>
            </w:pPr>
          </w:p>
        </w:tc>
        <w:tc>
          <w:tcPr>
            <w:tcW w:w="244" w:type="pct"/>
            <w:vMerge w:val="restart"/>
            <w:vAlign w:val="center"/>
          </w:tcPr>
          <w:p>
            <w:pPr>
              <w:spacing w:line="240" w:lineRule="exact"/>
              <w:jc w:val="center"/>
              <w:rPr>
                <w:rFonts w:ascii="宋体"/>
              </w:rPr>
            </w:pPr>
            <w:r>
              <w:rPr>
                <w:rFonts w:hint="eastAsia" w:ascii="宋体" w:hAnsi="宋体" w:cs="宋体"/>
              </w:rPr>
              <w:t>绩效</w:t>
            </w:r>
          </w:p>
          <w:p>
            <w:pPr>
              <w:spacing w:line="240" w:lineRule="exact"/>
              <w:jc w:val="center"/>
              <w:rPr>
                <w:rFonts w:ascii="宋体"/>
              </w:rPr>
            </w:pPr>
            <w:r>
              <w:rPr>
                <w:rFonts w:hint="eastAsia" w:ascii="宋体" w:hAnsi="宋体" w:cs="宋体"/>
              </w:rPr>
              <w:t>目标（</w:t>
            </w:r>
            <w:r>
              <w:rPr>
                <w:rFonts w:ascii="宋体" w:hAnsi="宋体" w:cs="宋体"/>
              </w:rPr>
              <w:t>6</w:t>
            </w:r>
            <w:r>
              <w:rPr>
                <w:rFonts w:hint="eastAsia" w:ascii="宋体" w:hAnsi="宋体" w:cs="宋体"/>
              </w:rPr>
              <w:t>分）</w:t>
            </w:r>
          </w:p>
        </w:tc>
        <w:tc>
          <w:tcPr>
            <w:tcW w:w="452" w:type="pct"/>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绩效目标</w:t>
            </w:r>
          </w:p>
          <w:p>
            <w:pPr>
              <w:spacing w:line="240" w:lineRule="exact"/>
              <w:ind w:left="105" w:leftChars="50" w:right="105" w:rightChars="50"/>
              <w:jc w:val="center"/>
              <w:rPr>
                <w:rFonts w:ascii="宋体"/>
              </w:rPr>
            </w:pPr>
            <w:r>
              <w:rPr>
                <w:rFonts w:hint="eastAsia" w:ascii="宋体" w:hAnsi="宋体" w:cs="宋体"/>
              </w:rPr>
              <w:t>合理性（</w:t>
            </w:r>
            <w:r>
              <w:rPr>
                <w:rFonts w:ascii="宋体" w:hAnsi="宋体" w:cs="宋体"/>
              </w:rPr>
              <w:t>3</w:t>
            </w:r>
            <w:r>
              <w:rPr>
                <w:rFonts w:hint="eastAsia" w:ascii="宋体" w:hAnsi="宋体" w:cs="宋体"/>
              </w:rPr>
              <w:t>分）</w:t>
            </w:r>
          </w:p>
        </w:tc>
        <w:tc>
          <w:tcPr>
            <w:tcW w:w="293" w:type="pct"/>
          </w:tcPr>
          <w:p>
            <w:pPr>
              <w:spacing w:line="240" w:lineRule="exact"/>
              <w:ind w:left="105" w:leftChars="50" w:right="105" w:rightChars="50"/>
              <w:rPr>
                <w:rFonts w:ascii="宋体"/>
              </w:rPr>
            </w:pPr>
          </w:p>
          <w:p>
            <w:pPr>
              <w:spacing w:line="240" w:lineRule="exact"/>
              <w:ind w:left="105" w:leftChars="50" w:right="105" w:rightChars="50"/>
              <w:rPr>
                <w:rFonts w:ascii="宋体"/>
              </w:rPr>
            </w:pPr>
          </w:p>
          <w:p>
            <w:pPr>
              <w:spacing w:line="240" w:lineRule="exact"/>
              <w:ind w:left="105" w:leftChars="50" w:right="105" w:rightChars="50"/>
              <w:rPr>
                <w:rFonts w:ascii="宋体"/>
              </w:rPr>
            </w:pPr>
          </w:p>
          <w:p>
            <w:pPr>
              <w:spacing w:line="240" w:lineRule="exact"/>
              <w:ind w:left="105" w:leftChars="50" w:right="105" w:rightChars="50"/>
              <w:rPr>
                <w:rFonts w:ascii="宋体"/>
              </w:rPr>
            </w:pPr>
          </w:p>
          <w:p>
            <w:pPr>
              <w:spacing w:line="240" w:lineRule="exact"/>
              <w:ind w:right="105" w:rightChars="50" w:firstLine="210" w:firstLineChars="100"/>
              <w:rPr>
                <w:rFonts w:ascii="宋体" w:eastAsia="宋体"/>
              </w:rPr>
            </w:pPr>
            <w:r>
              <w:rPr>
                <w:rFonts w:hint="eastAsia" w:ascii="宋体"/>
              </w:rPr>
              <w:t>3</w:t>
            </w:r>
          </w:p>
        </w:tc>
        <w:tc>
          <w:tcPr>
            <w:tcW w:w="1429"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预算支出所设定的绩效目标是否依据充分，是否符合客观实际，用以反映和考核预算支出绩效目标与预算支出实施的相符情况。</w:t>
            </w:r>
          </w:p>
        </w:tc>
        <w:tc>
          <w:tcPr>
            <w:tcW w:w="2284"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p>
          <w:p>
            <w:pPr>
              <w:spacing w:line="240" w:lineRule="exact"/>
              <w:ind w:left="105" w:leftChars="50" w:right="105" w:rightChars="50"/>
              <w:rPr>
                <w:rFonts w:ascii="宋体"/>
              </w:rPr>
            </w:pPr>
            <w:r>
              <w:rPr>
                <w:rFonts w:hint="eastAsia" w:ascii="宋体" w:hAnsi="宋体" w:cs="宋体"/>
              </w:rPr>
              <w:t>（如未设定预算绩效目标，也可考核其他工作任务目标）</w:t>
            </w:r>
          </w:p>
          <w:p>
            <w:pPr>
              <w:spacing w:line="240" w:lineRule="exact"/>
              <w:ind w:left="105" w:leftChars="50" w:right="105" w:rightChars="50"/>
              <w:rPr>
                <w:rFonts w:ascii="宋体"/>
              </w:rPr>
            </w:pPr>
            <w:r>
              <w:rPr>
                <w:rFonts w:hint="eastAsia" w:ascii="宋体" w:hAnsi="宋体" w:cs="宋体"/>
              </w:rPr>
              <w:t>①预算支出是否有绩效目标；</w:t>
            </w:r>
          </w:p>
          <w:p>
            <w:pPr>
              <w:spacing w:line="240" w:lineRule="exact"/>
              <w:ind w:left="105" w:leftChars="50" w:right="105" w:rightChars="50"/>
              <w:rPr>
                <w:rFonts w:ascii="宋体"/>
              </w:rPr>
            </w:pPr>
            <w:r>
              <w:rPr>
                <w:rFonts w:hint="eastAsia" w:ascii="宋体" w:hAnsi="宋体" w:cs="宋体"/>
              </w:rPr>
              <w:t>②预算支出绩效目标与实际工作内容是否具有相关性；</w:t>
            </w:r>
          </w:p>
          <w:p>
            <w:pPr>
              <w:spacing w:line="240" w:lineRule="exact"/>
              <w:ind w:left="105" w:leftChars="50" w:right="105" w:rightChars="50"/>
              <w:rPr>
                <w:rFonts w:ascii="宋体"/>
              </w:rPr>
            </w:pPr>
            <w:r>
              <w:rPr>
                <w:rFonts w:hint="eastAsia" w:ascii="宋体" w:hAnsi="宋体" w:cs="宋体"/>
              </w:rPr>
              <w:t>③预算支出预期产出效益和效果是否符合正常的业绩水平；是否与预算确定的预算支出投资额或资金量相匹配。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continue"/>
            <w:vAlign w:val="center"/>
          </w:tcPr>
          <w:p>
            <w:pPr>
              <w:spacing w:line="240" w:lineRule="exact"/>
              <w:rPr>
                <w:rFonts w:ascii="宋体"/>
              </w:rPr>
            </w:pPr>
          </w:p>
        </w:tc>
        <w:tc>
          <w:tcPr>
            <w:tcW w:w="244" w:type="pct"/>
            <w:vMerge w:val="continue"/>
            <w:vAlign w:val="center"/>
          </w:tcPr>
          <w:p>
            <w:pPr>
              <w:spacing w:line="240" w:lineRule="exact"/>
              <w:jc w:val="center"/>
              <w:rPr>
                <w:rFonts w:ascii="宋体"/>
              </w:rPr>
            </w:pPr>
          </w:p>
        </w:tc>
        <w:tc>
          <w:tcPr>
            <w:tcW w:w="452" w:type="pct"/>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绩效指标</w:t>
            </w:r>
          </w:p>
          <w:p>
            <w:pPr>
              <w:spacing w:line="240" w:lineRule="exact"/>
              <w:ind w:left="105" w:leftChars="50" w:right="105" w:rightChars="50"/>
              <w:jc w:val="center"/>
              <w:rPr>
                <w:rFonts w:ascii="宋体"/>
              </w:rPr>
            </w:pPr>
            <w:r>
              <w:rPr>
                <w:rFonts w:hint="eastAsia" w:ascii="宋体" w:hAnsi="宋体" w:cs="宋体"/>
              </w:rPr>
              <w:t>明确性（</w:t>
            </w:r>
            <w:r>
              <w:rPr>
                <w:rFonts w:ascii="宋体" w:hAnsi="宋体" w:cs="宋体"/>
              </w:rPr>
              <w:t>3</w:t>
            </w:r>
            <w:r>
              <w:rPr>
                <w:rFonts w:hint="eastAsia" w:ascii="宋体" w:hAnsi="宋体" w:cs="宋体"/>
              </w:rPr>
              <w:t>分）</w:t>
            </w:r>
          </w:p>
        </w:tc>
        <w:tc>
          <w:tcPr>
            <w:tcW w:w="293" w:type="pct"/>
          </w:tcPr>
          <w:p>
            <w:pPr>
              <w:spacing w:line="240" w:lineRule="exact"/>
              <w:ind w:left="105" w:leftChars="50" w:right="105" w:rightChars="50"/>
              <w:rPr>
                <w:rFonts w:ascii="宋体"/>
              </w:rPr>
            </w:pPr>
          </w:p>
          <w:p>
            <w:pPr>
              <w:spacing w:line="240" w:lineRule="exact"/>
              <w:ind w:left="105" w:leftChars="50" w:right="105" w:rightChars="50"/>
              <w:rPr>
                <w:rFonts w:ascii="宋体"/>
              </w:rPr>
            </w:pPr>
          </w:p>
          <w:p>
            <w:pPr>
              <w:spacing w:line="240" w:lineRule="exact"/>
              <w:ind w:left="105" w:leftChars="50" w:right="105" w:rightChars="50"/>
              <w:rPr>
                <w:rFonts w:ascii="宋体"/>
              </w:rPr>
            </w:pPr>
          </w:p>
          <w:p>
            <w:pPr>
              <w:spacing w:line="240" w:lineRule="exact"/>
              <w:ind w:right="105" w:rightChars="50" w:firstLine="210" w:firstLineChars="100"/>
              <w:rPr>
                <w:rFonts w:ascii="宋体" w:eastAsia="宋体"/>
              </w:rPr>
            </w:pPr>
            <w:r>
              <w:rPr>
                <w:rFonts w:hint="eastAsia" w:ascii="宋体"/>
              </w:rPr>
              <w:t>3</w:t>
            </w:r>
          </w:p>
        </w:tc>
        <w:tc>
          <w:tcPr>
            <w:tcW w:w="1429"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依据绩效目标设定的绩效指标是否清晰、细化、可衡量等，用以反映和考核预算支出绩效目标的明细化情况。</w:t>
            </w:r>
          </w:p>
        </w:tc>
        <w:tc>
          <w:tcPr>
            <w:tcW w:w="2284"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r>
              <w:rPr>
                <w:rFonts w:ascii="宋体"/>
              </w:rPr>
              <w:br w:type="textWrapping"/>
            </w:r>
            <w:r>
              <w:rPr>
                <w:rFonts w:hint="eastAsia" w:ascii="宋体" w:hAnsi="宋体" w:cs="宋体"/>
              </w:rPr>
              <w:t>①是否将预算支出绩效目标细化分解为具体的绩效指标；</w:t>
            </w:r>
            <w:r>
              <w:rPr>
                <w:rFonts w:ascii="宋体"/>
              </w:rPr>
              <w:br w:type="textWrapping"/>
            </w:r>
            <w:r>
              <w:rPr>
                <w:rFonts w:hint="eastAsia" w:ascii="宋体" w:hAnsi="宋体" w:cs="宋体"/>
              </w:rPr>
              <w:t>②是否通过清晰、可衡量的指标值予以体现；</w:t>
            </w:r>
            <w:r>
              <w:rPr>
                <w:rFonts w:ascii="宋体"/>
              </w:rPr>
              <w:br w:type="textWrapping"/>
            </w:r>
            <w:r>
              <w:rPr>
                <w:rFonts w:hint="eastAsia" w:ascii="宋体" w:hAnsi="宋体" w:cs="宋体"/>
              </w:rPr>
              <w:t>③是否与预算支出目标任务数或计划数相对应。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00" w:hRule="atLeast"/>
          <w:jc w:val="center"/>
        </w:trPr>
        <w:tc>
          <w:tcPr>
            <w:tcW w:w="295" w:type="pct"/>
            <w:vMerge w:val="continue"/>
            <w:vAlign w:val="center"/>
          </w:tcPr>
          <w:p>
            <w:pPr>
              <w:spacing w:line="240" w:lineRule="exact"/>
              <w:rPr>
                <w:rFonts w:ascii="宋体"/>
              </w:rPr>
            </w:pPr>
          </w:p>
        </w:tc>
        <w:tc>
          <w:tcPr>
            <w:tcW w:w="244" w:type="pct"/>
            <w:vMerge w:val="restart"/>
            <w:vAlign w:val="center"/>
          </w:tcPr>
          <w:p>
            <w:pPr>
              <w:spacing w:line="240" w:lineRule="exact"/>
              <w:jc w:val="center"/>
              <w:rPr>
                <w:rFonts w:ascii="宋体"/>
              </w:rPr>
            </w:pPr>
            <w:r>
              <w:rPr>
                <w:rFonts w:hint="eastAsia" w:ascii="宋体" w:hAnsi="宋体" w:cs="宋体"/>
              </w:rPr>
              <w:t>资金</w:t>
            </w:r>
          </w:p>
          <w:p>
            <w:pPr>
              <w:spacing w:line="240" w:lineRule="exact"/>
              <w:jc w:val="center"/>
              <w:rPr>
                <w:rFonts w:ascii="宋体"/>
              </w:rPr>
            </w:pPr>
            <w:r>
              <w:rPr>
                <w:rFonts w:hint="eastAsia" w:ascii="宋体" w:hAnsi="宋体" w:cs="宋体"/>
              </w:rPr>
              <w:t>投入（</w:t>
            </w:r>
            <w:r>
              <w:rPr>
                <w:rFonts w:ascii="宋体" w:hAnsi="宋体" w:cs="宋体"/>
              </w:rPr>
              <w:t>6</w:t>
            </w:r>
            <w:r>
              <w:rPr>
                <w:rFonts w:hint="eastAsia" w:ascii="宋体" w:hAnsi="宋体" w:cs="宋体"/>
              </w:rPr>
              <w:t>分）</w:t>
            </w:r>
          </w:p>
        </w:tc>
        <w:tc>
          <w:tcPr>
            <w:tcW w:w="452" w:type="pct"/>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预算编制</w:t>
            </w:r>
          </w:p>
          <w:p>
            <w:pPr>
              <w:spacing w:line="240" w:lineRule="exact"/>
              <w:ind w:left="105" w:leftChars="50" w:right="105" w:rightChars="50"/>
              <w:jc w:val="center"/>
              <w:rPr>
                <w:rFonts w:ascii="宋体"/>
              </w:rPr>
            </w:pPr>
            <w:r>
              <w:rPr>
                <w:rFonts w:hint="eastAsia" w:ascii="宋体" w:hAnsi="宋体" w:cs="宋体"/>
              </w:rPr>
              <w:t>科学性（</w:t>
            </w:r>
            <w:r>
              <w:rPr>
                <w:rFonts w:ascii="宋体" w:hAnsi="宋体" w:cs="宋体"/>
              </w:rPr>
              <w:t>3</w:t>
            </w:r>
            <w:r>
              <w:rPr>
                <w:rFonts w:hint="eastAsia" w:ascii="宋体" w:hAnsi="宋体" w:cs="宋体"/>
              </w:rPr>
              <w:t>分）</w:t>
            </w:r>
          </w:p>
        </w:tc>
        <w:tc>
          <w:tcPr>
            <w:tcW w:w="293" w:type="pct"/>
          </w:tcPr>
          <w:p>
            <w:pPr>
              <w:spacing w:line="240" w:lineRule="exact"/>
              <w:ind w:left="105" w:leftChars="50" w:right="105" w:rightChars="50"/>
              <w:rPr>
                <w:rFonts w:ascii="宋体"/>
              </w:rPr>
            </w:pPr>
          </w:p>
          <w:p>
            <w:pPr>
              <w:spacing w:line="240" w:lineRule="exact"/>
              <w:ind w:left="105" w:leftChars="50" w:right="105" w:rightChars="50"/>
              <w:rPr>
                <w:rFonts w:ascii="宋体"/>
              </w:rPr>
            </w:pPr>
          </w:p>
          <w:p>
            <w:pPr>
              <w:spacing w:line="240" w:lineRule="exact"/>
              <w:ind w:left="105" w:leftChars="50" w:right="105" w:rightChars="50"/>
              <w:rPr>
                <w:rFonts w:ascii="宋体"/>
              </w:rPr>
            </w:pPr>
          </w:p>
          <w:p>
            <w:pPr>
              <w:spacing w:line="240" w:lineRule="exact"/>
              <w:ind w:right="105" w:rightChars="50" w:firstLine="210" w:firstLineChars="100"/>
              <w:rPr>
                <w:rFonts w:ascii="宋体" w:eastAsia="宋体"/>
              </w:rPr>
            </w:pPr>
            <w:r>
              <w:rPr>
                <w:rFonts w:hint="eastAsia" w:ascii="宋体"/>
              </w:rPr>
              <w:t>3</w:t>
            </w:r>
          </w:p>
        </w:tc>
        <w:tc>
          <w:tcPr>
            <w:tcW w:w="1429"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预算编制是否经过科学论证、有明确标准，资金额度与年度目标是否相适应，用以反映和考核预算支出预算编制的科学性、合理性情况。</w:t>
            </w:r>
          </w:p>
        </w:tc>
        <w:tc>
          <w:tcPr>
            <w:tcW w:w="2284" w:type="pct"/>
            <w:tcMar>
              <w:top w:w="10" w:type="dxa"/>
              <w:left w:w="10" w:type="dxa"/>
              <w:bottom w:w="0" w:type="dxa"/>
              <w:right w:w="10" w:type="dxa"/>
            </w:tcMar>
            <w:vAlign w:val="center"/>
          </w:tcPr>
          <w:p>
            <w:pPr>
              <w:spacing w:line="220" w:lineRule="exact"/>
              <w:ind w:left="105" w:leftChars="50" w:right="105" w:rightChars="50"/>
              <w:rPr>
                <w:rFonts w:ascii="宋体"/>
              </w:rPr>
            </w:pPr>
            <w:r>
              <w:rPr>
                <w:rFonts w:hint="eastAsia" w:ascii="宋体" w:hAnsi="宋体" w:cs="宋体"/>
              </w:rPr>
              <w:t>评价要点：</w:t>
            </w:r>
          </w:p>
          <w:p>
            <w:pPr>
              <w:spacing w:line="220" w:lineRule="exact"/>
              <w:ind w:left="105" w:leftChars="50" w:right="105" w:rightChars="50"/>
              <w:rPr>
                <w:rFonts w:ascii="宋体"/>
              </w:rPr>
            </w:pPr>
            <w:r>
              <w:rPr>
                <w:rFonts w:hint="eastAsia" w:ascii="宋体" w:hAnsi="宋体" w:cs="宋体"/>
              </w:rPr>
              <w:t>①预算编制是否经过科学论证；</w:t>
            </w:r>
          </w:p>
          <w:p>
            <w:pPr>
              <w:spacing w:line="220" w:lineRule="exact"/>
              <w:ind w:left="105" w:leftChars="50" w:right="105" w:rightChars="50"/>
              <w:rPr>
                <w:rFonts w:ascii="宋体"/>
              </w:rPr>
            </w:pPr>
            <w:r>
              <w:rPr>
                <w:rFonts w:hint="eastAsia" w:ascii="宋体" w:hAnsi="宋体" w:cs="宋体"/>
              </w:rPr>
              <w:t>②预算内容与支出内容是否匹配；</w:t>
            </w:r>
          </w:p>
          <w:p>
            <w:pPr>
              <w:spacing w:line="220" w:lineRule="exact"/>
              <w:ind w:left="105" w:leftChars="50" w:right="105" w:rightChars="50"/>
              <w:rPr>
                <w:rFonts w:ascii="宋体"/>
              </w:rPr>
            </w:pPr>
            <w:r>
              <w:rPr>
                <w:rFonts w:hint="eastAsia" w:ascii="宋体" w:hAnsi="宋体" w:cs="宋体"/>
              </w:rPr>
              <w:t>③预算额度测算依据是否充分，是否按照标准编制；</w:t>
            </w:r>
          </w:p>
          <w:p>
            <w:pPr>
              <w:spacing w:line="220" w:lineRule="exact"/>
              <w:ind w:left="105" w:leftChars="50" w:right="105" w:rightChars="50"/>
              <w:rPr>
                <w:rFonts w:ascii="宋体"/>
              </w:rPr>
            </w:pPr>
            <w:r>
              <w:rPr>
                <w:rFonts w:hint="eastAsia" w:ascii="宋体" w:hAnsi="宋体" w:cs="宋体"/>
              </w:rPr>
              <w:t>④预算确定的预算支出投资额或资金量是否与工作任务相匹配。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continue"/>
            <w:vAlign w:val="center"/>
          </w:tcPr>
          <w:p>
            <w:pPr>
              <w:spacing w:line="240" w:lineRule="exact"/>
              <w:rPr>
                <w:rFonts w:ascii="宋体"/>
              </w:rPr>
            </w:pPr>
          </w:p>
        </w:tc>
        <w:tc>
          <w:tcPr>
            <w:tcW w:w="244" w:type="pct"/>
            <w:vMerge w:val="continue"/>
            <w:vAlign w:val="center"/>
          </w:tcPr>
          <w:p>
            <w:pPr>
              <w:spacing w:line="240" w:lineRule="exact"/>
              <w:jc w:val="center"/>
              <w:rPr>
                <w:rFonts w:ascii="宋体"/>
              </w:rPr>
            </w:pPr>
          </w:p>
        </w:tc>
        <w:tc>
          <w:tcPr>
            <w:tcW w:w="452" w:type="pct"/>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资金分配</w:t>
            </w:r>
          </w:p>
          <w:p>
            <w:pPr>
              <w:spacing w:line="240" w:lineRule="exact"/>
              <w:ind w:left="105" w:leftChars="50" w:right="105" w:rightChars="50"/>
              <w:jc w:val="center"/>
              <w:rPr>
                <w:rFonts w:ascii="宋体"/>
              </w:rPr>
            </w:pPr>
            <w:r>
              <w:rPr>
                <w:rFonts w:hint="eastAsia" w:ascii="宋体" w:hAnsi="宋体" w:cs="宋体"/>
              </w:rPr>
              <w:t>合理性（</w:t>
            </w:r>
            <w:r>
              <w:rPr>
                <w:rFonts w:ascii="宋体" w:hAnsi="宋体" w:cs="宋体"/>
              </w:rPr>
              <w:t>3</w:t>
            </w:r>
            <w:r>
              <w:rPr>
                <w:rFonts w:hint="eastAsia" w:ascii="宋体" w:hAnsi="宋体" w:cs="宋体"/>
              </w:rPr>
              <w:t>分）</w:t>
            </w:r>
          </w:p>
        </w:tc>
        <w:tc>
          <w:tcPr>
            <w:tcW w:w="293" w:type="pct"/>
          </w:tcPr>
          <w:p>
            <w:pPr>
              <w:spacing w:line="240" w:lineRule="exact"/>
              <w:ind w:left="105" w:leftChars="50" w:right="105" w:rightChars="50"/>
              <w:rPr>
                <w:rFonts w:ascii="宋体"/>
              </w:rPr>
            </w:pPr>
            <w:r>
              <w:rPr>
                <w:rFonts w:ascii="宋体"/>
              </w:rPr>
              <w:br w:type="textWrapping"/>
            </w:r>
          </w:p>
          <w:p>
            <w:pPr>
              <w:spacing w:line="240" w:lineRule="exact"/>
              <w:ind w:right="105" w:rightChars="50" w:firstLine="210" w:firstLineChars="100"/>
              <w:rPr>
                <w:rFonts w:ascii="宋体" w:eastAsia="宋体"/>
              </w:rPr>
            </w:pPr>
            <w:r>
              <w:rPr>
                <w:rFonts w:hint="eastAsia" w:ascii="宋体"/>
              </w:rPr>
              <w:t>3</w:t>
            </w:r>
          </w:p>
        </w:tc>
        <w:tc>
          <w:tcPr>
            <w:tcW w:w="1429"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预算资金分配是否有测算依据，与补助单位或地方实际是否相适应，用以反映和考核预算支出预算资金分配的科学性、合理性情况。</w:t>
            </w:r>
          </w:p>
        </w:tc>
        <w:tc>
          <w:tcPr>
            <w:tcW w:w="2284"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p>
          <w:p>
            <w:pPr>
              <w:spacing w:line="240" w:lineRule="exact"/>
              <w:ind w:right="105" w:rightChars="50" w:firstLine="105" w:firstLineChars="50"/>
              <w:rPr>
                <w:rFonts w:ascii="宋体"/>
              </w:rPr>
            </w:pPr>
            <w:r>
              <w:rPr>
                <w:rFonts w:hint="eastAsia" w:ascii="宋体" w:hAnsi="宋体" w:cs="宋体"/>
              </w:rPr>
              <w:t>①预算资金分配依据是否充分；</w:t>
            </w:r>
          </w:p>
          <w:p>
            <w:pPr>
              <w:spacing w:line="240" w:lineRule="exact"/>
              <w:ind w:left="105" w:leftChars="50" w:right="105" w:rightChars="50"/>
              <w:rPr>
                <w:rFonts w:ascii="宋体"/>
              </w:rPr>
            </w:pPr>
            <w:r>
              <w:rPr>
                <w:rFonts w:hint="eastAsia" w:ascii="宋体" w:hAnsi="宋体" w:cs="宋体"/>
              </w:rPr>
              <w:t>②资金分配额度是否合理，与项目实施单位或地方实际是否相适应。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33" w:hRule="atLeast"/>
          <w:jc w:val="center"/>
        </w:trPr>
        <w:tc>
          <w:tcPr>
            <w:tcW w:w="295" w:type="pct"/>
            <w:vMerge w:val="restart"/>
            <w:vAlign w:val="center"/>
          </w:tcPr>
          <w:p>
            <w:pPr>
              <w:spacing w:line="240" w:lineRule="exact"/>
              <w:jc w:val="center"/>
              <w:rPr>
                <w:rFonts w:ascii="宋体"/>
              </w:rPr>
            </w:pPr>
            <w:r>
              <w:rPr>
                <w:rFonts w:hint="eastAsia" w:ascii="宋体" w:hAnsi="宋体" w:cs="宋体"/>
              </w:rPr>
              <w:t>过</w:t>
            </w:r>
          </w:p>
          <w:p>
            <w:pPr>
              <w:spacing w:line="240" w:lineRule="exact"/>
              <w:jc w:val="center"/>
              <w:rPr>
                <w:rFonts w:ascii="宋体"/>
              </w:rPr>
            </w:pPr>
          </w:p>
          <w:p>
            <w:pPr>
              <w:spacing w:line="240" w:lineRule="exact"/>
              <w:jc w:val="center"/>
              <w:rPr>
                <w:rFonts w:ascii="宋体"/>
              </w:rPr>
            </w:pPr>
          </w:p>
          <w:p>
            <w:pPr>
              <w:spacing w:line="240" w:lineRule="exact"/>
              <w:jc w:val="center"/>
              <w:rPr>
                <w:rFonts w:ascii="宋体"/>
              </w:rPr>
            </w:pPr>
            <w:r>
              <w:rPr>
                <w:rFonts w:hint="eastAsia" w:ascii="宋体" w:hAnsi="宋体" w:cs="宋体"/>
              </w:rPr>
              <w:t>程（</w:t>
            </w:r>
            <w:r>
              <w:rPr>
                <w:rFonts w:ascii="宋体" w:hAnsi="宋体" w:cs="宋体"/>
              </w:rPr>
              <w:t>20</w:t>
            </w:r>
            <w:r>
              <w:rPr>
                <w:rFonts w:hint="eastAsia" w:ascii="宋体" w:hAnsi="宋体" w:cs="宋体"/>
              </w:rPr>
              <w:t>分）</w:t>
            </w:r>
          </w:p>
        </w:tc>
        <w:tc>
          <w:tcPr>
            <w:tcW w:w="244" w:type="pct"/>
            <w:vMerge w:val="restart"/>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资金</w:t>
            </w:r>
            <w:r>
              <w:rPr>
                <w:rFonts w:ascii="宋体"/>
              </w:rPr>
              <w:br w:type="textWrapping"/>
            </w:r>
            <w:r>
              <w:rPr>
                <w:rFonts w:hint="eastAsia" w:ascii="宋体" w:hAnsi="宋体" w:cs="宋体"/>
              </w:rPr>
              <w:t>管理（</w:t>
            </w:r>
            <w:r>
              <w:rPr>
                <w:rFonts w:ascii="宋体" w:hAnsi="宋体" w:cs="宋体"/>
              </w:rPr>
              <w:t>12</w:t>
            </w:r>
            <w:r>
              <w:rPr>
                <w:rFonts w:hint="eastAsia" w:ascii="宋体" w:hAnsi="宋体" w:cs="宋体"/>
              </w:rPr>
              <w:t>分）</w:t>
            </w:r>
          </w:p>
        </w:tc>
        <w:tc>
          <w:tcPr>
            <w:tcW w:w="452" w:type="pct"/>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资金</w:t>
            </w:r>
          </w:p>
          <w:p>
            <w:pPr>
              <w:spacing w:line="240" w:lineRule="exact"/>
              <w:ind w:left="105" w:leftChars="50" w:right="105" w:rightChars="50"/>
              <w:jc w:val="center"/>
              <w:rPr>
                <w:rFonts w:ascii="宋体"/>
              </w:rPr>
            </w:pPr>
            <w:r>
              <w:rPr>
                <w:rFonts w:hint="eastAsia" w:ascii="宋体" w:hAnsi="宋体" w:cs="宋体"/>
              </w:rPr>
              <w:t>到位率（</w:t>
            </w:r>
            <w:r>
              <w:rPr>
                <w:rFonts w:ascii="宋体" w:hAnsi="宋体" w:cs="宋体"/>
              </w:rPr>
              <w:t>4</w:t>
            </w:r>
            <w:r>
              <w:rPr>
                <w:rFonts w:hint="eastAsia" w:ascii="宋体" w:hAnsi="宋体" w:cs="宋体"/>
              </w:rPr>
              <w:t>分）</w:t>
            </w:r>
          </w:p>
        </w:tc>
        <w:tc>
          <w:tcPr>
            <w:tcW w:w="293" w:type="pct"/>
          </w:tcPr>
          <w:p>
            <w:pPr>
              <w:spacing w:line="240" w:lineRule="exact"/>
              <w:ind w:left="105" w:leftChars="50" w:right="105" w:rightChars="50"/>
              <w:rPr>
                <w:rFonts w:ascii="宋体"/>
              </w:rPr>
            </w:pPr>
          </w:p>
          <w:p>
            <w:pPr>
              <w:spacing w:line="240" w:lineRule="exact"/>
              <w:ind w:left="105" w:leftChars="50" w:right="105" w:rightChars="50"/>
              <w:rPr>
                <w:rFonts w:ascii="宋体"/>
              </w:rPr>
            </w:pPr>
          </w:p>
          <w:p>
            <w:pPr>
              <w:spacing w:line="240" w:lineRule="exact"/>
              <w:ind w:right="105" w:rightChars="50" w:firstLine="210" w:firstLineChars="100"/>
              <w:rPr>
                <w:rFonts w:ascii="宋体" w:eastAsia="宋体"/>
              </w:rPr>
            </w:pPr>
            <w:r>
              <w:rPr>
                <w:rFonts w:hint="eastAsia" w:ascii="宋体"/>
              </w:rPr>
              <w:t>4</w:t>
            </w:r>
          </w:p>
        </w:tc>
        <w:tc>
          <w:tcPr>
            <w:tcW w:w="1429"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实际到位资金与预算资金的比率，用以反映和考核资金落实情况对预算支出实施的总体保障程度。</w:t>
            </w:r>
          </w:p>
        </w:tc>
        <w:tc>
          <w:tcPr>
            <w:tcW w:w="2284"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资金到位率</w:t>
            </w:r>
            <w:r>
              <w:rPr>
                <w:rFonts w:ascii="宋体" w:hAnsi="宋体" w:cs="宋体"/>
              </w:rPr>
              <w:t>=</w:t>
            </w:r>
            <w:r>
              <w:rPr>
                <w:rFonts w:hint="eastAsia" w:ascii="宋体" w:hAnsi="宋体" w:cs="宋体"/>
              </w:rPr>
              <w:t>（实际到位资金</w:t>
            </w:r>
            <w:r>
              <w:rPr>
                <w:rFonts w:ascii="宋体" w:hAnsi="宋体" w:cs="宋体"/>
              </w:rPr>
              <w:t>/</w:t>
            </w:r>
            <w:r>
              <w:rPr>
                <w:rFonts w:hint="eastAsia" w:ascii="宋体" w:hAnsi="宋体" w:cs="宋体"/>
              </w:rPr>
              <w:t>预算资金）×</w:t>
            </w:r>
            <w:r>
              <w:rPr>
                <w:rFonts w:ascii="宋体" w:hAnsi="宋体" w:cs="宋体"/>
              </w:rPr>
              <w:t>100%</w:t>
            </w:r>
            <w:r>
              <w:rPr>
                <w:rFonts w:hint="eastAsia" w:ascii="宋体" w:hAnsi="宋体" w:cs="宋体"/>
              </w:rPr>
              <w:t>。</w:t>
            </w:r>
            <w:r>
              <w:rPr>
                <w:rFonts w:ascii="宋体"/>
              </w:rPr>
              <w:br w:type="textWrapping"/>
            </w:r>
            <w:r>
              <w:rPr>
                <w:rFonts w:hint="eastAsia" w:ascii="宋体" w:hAnsi="宋体" w:cs="宋体"/>
              </w:rPr>
              <w:t>实际到位资金：一定时期（本年度或预算支出期）内落实到具体预算支出的资金。</w:t>
            </w:r>
            <w:r>
              <w:rPr>
                <w:rFonts w:ascii="宋体"/>
              </w:rPr>
              <w:br w:type="textWrapping"/>
            </w:r>
            <w:r>
              <w:rPr>
                <w:rFonts w:hint="eastAsia" w:ascii="宋体" w:hAnsi="宋体" w:cs="宋体"/>
              </w:rPr>
              <w:t>预算资金：一定时期（本年度或预算支出期）内预算安排到具体预算支出的资金。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295" w:type="pct"/>
            <w:vMerge w:val="continue"/>
            <w:vAlign w:val="center"/>
          </w:tcPr>
          <w:p>
            <w:pPr>
              <w:spacing w:line="240" w:lineRule="exact"/>
              <w:jc w:val="center"/>
              <w:rPr>
                <w:rFonts w:ascii="宋体"/>
              </w:rPr>
            </w:pPr>
          </w:p>
        </w:tc>
        <w:tc>
          <w:tcPr>
            <w:tcW w:w="244" w:type="pct"/>
            <w:vMerge w:val="continue"/>
            <w:tcMar>
              <w:top w:w="10" w:type="dxa"/>
              <w:left w:w="10" w:type="dxa"/>
              <w:bottom w:w="0" w:type="dxa"/>
              <w:right w:w="10" w:type="dxa"/>
            </w:tcMar>
            <w:vAlign w:val="center"/>
          </w:tcPr>
          <w:p>
            <w:pPr>
              <w:spacing w:line="240" w:lineRule="exact"/>
              <w:jc w:val="center"/>
              <w:rPr>
                <w:rFonts w:ascii="宋体"/>
              </w:rPr>
            </w:pPr>
          </w:p>
        </w:tc>
        <w:tc>
          <w:tcPr>
            <w:tcW w:w="452" w:type="pct"/>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预算</w:t>
            </w:r>
          </w:p>
          <w:p>
            <w:pPr>
              <w:spacing w:line="240" w:lineRule="exact"/>
              <w:ind w:left="105" w:leftChars="50" w:right="105" w:rightChars="50"/>
              <w:jc w:val="center"/>
              <w:rPr>
                <w:rFonts w:ascii="宋体"/>
              </w:rPr>
            </w:pPr>
            <w:r>
              <w:rPr>
                <w:rFonts w:hint="eastAsia" w:ascii="宋体" w:hAnsi="宋体" w:cs="宋体"/>
              </w:rPr>
              <w:t>执行率（</w:t>
            </w:r>
            <w:r>
              <w:rPr>
                <w:rFonts w:ascii="宋体" w:hAnsi="宋体" w:cs="宋体"/>
              </w:rPr>
              <w:t>4</w:t>
            </w:r>
            <w:r>
              <w:rPr>
                <w:rFonts w:hint="eastAsia" w:ascii="宋体" w:hAnsi="宋体" w:cs="宋体"/>
              </w:rPr>
              <w:t>分）</w:t>
            </w:r>
          </w:p>
        </w:tc>
        <w:tc>
          <w:tcPr>
            <w:tcW w:w="293" w:type="pct"/>
          </w:tcPr>
          <w:p>
            <w:pPr>
              <w:spacing w:line="240" w:lineRule="exact"/>
              <w:ind w:left="105" w:leftChars="50" w:right="105" w:rightChars="50"/>
              <w:rPr>
                <w:rFonts w:ascii="宋体"/>
              </w:rPr>
            </w:pPr>
          </w:p>
          <w:p>
            <w:pPr>
              <w:spacing w:line="240" w:lineRule="exact"/>
              <w:ind w:left="105" w:leftChars="50" w:right="105" w:rightChars="50"/>
              <w:rPr>
                <w:rFonts w:ascii="宋体"/>
              </w:rPr>
            </w:pPr>
          </w:p>
          <w:p>
            <w:pPr>
              <w:spacing w:line="240" w:lineRule="exact"/>
              <w:ind w:right="105" w:rightChars="50" w:firstLine="210" w:firstLineChars="100"/>
              <w:rPr>
                <w:rFonts w:ascii="宋体" w:eastAsia="宋体"/>
              </w:rPr>
            </w:pPr>
            <w:r>
              <w:rPr>
                <w:rFonts w:hint="eastAsia" w:ascii="宋体"/>
              </w:rPr>
              <w:t>4</w:t>
            </w:r>
          </w:p>
        </w:tc>
        <w:tc>
          <w:tcPr>
            <w:tcW w:w="1429"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预算资金是否按照计划执行，用以反映或考核预算支出预算执行情况。</w:t>
            </w:r>
          </w:p>
        </w:tc>
        <w:tc>
          <w:tcPr>
            <w:tcW w:w="2284"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预算执行率</w:t>
            </w:r>
            <w:r>
              <w:rPr>
                <w:rFonts w:ascii="宋体" w:hAnsi="宋体" w:cs="宋体"/>
              </w:rPr>
              <w:t>=</w:t>
            </w:r>
            <w:r>
              <w:rPr>
                <w:rFonts w:hint="eastAsia" w:ascii="宋体" w:hAnsi="宋体" w:cs="宋体"/>
              </w:rPr>
              <w:t>（实际支出资金</w:t>
            </w:r>
            <w:r>
              <w:rPr>
                <w:rFonts w:ascii="宋体" w:hAnsi="宋体" w:cs="宋体"/>
              </w:rPr>
              <w:t>/</w:t>
            </w:r>
            <w:r>
              <w:rPr>
                <w:rFonts w:hint="eastAsia" w:ascii="宋体" w:hAnsi="宋体" w:cs="宋体"/>
              </w:rPr>
              <w:t>实际到位资金）×</w:t>
            </w:r>
            <w:r>
              <w:rPr>
                <w:rFonts w:ascii="宋体" w:hAnsi="宋体" w:cs="宋体"/>
              </w:rPr>
              <w:t>100%</w:t>
            </w:r>
            <w:r>
              <w:rPr>
                <w:rFonts w:hint="eastAsia" w:ascii="宋体" w:hAnsi="宋体" w:cs="宋体"/>
              </w:rPr>
              <w:t>。</w:t>
            </w:r>
          </w:p>
          <w:p>
            <w:pPr>
              <w:spacing w:line="240" w:lineRule="exact"/>
              <w:ind w:left="105" w:leftChars="50" w:right="105" w:rightChars="50"/>
              <w:rPr>
                <w:rFonts w:ascii="宋体"/>
              </w:rPr>
            </w:pPr>
            <w:r>
              <w:rPr>
                <w:rFonts w:hint="eastAsia" w:ascii="宋体" w:hAnsi="宋体" w:cs="宋体"/>
              </w:rPr>
              <w:t>实际支出资金：一定时期（本年度或预算支出期）内预算支出实际拨付的资金。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continue"/>
            <w:vAlign w:val="center"/>
          </w:tcPr>
          <w:p>
            <w:pPr>
              <w:spacing w:line="240" w:lineRule="exact"/>
              <w:jc w:val="center"/>
              <w:rPr>
                <w:rFonts w:ascii="宋体"/>
              </w:rPr>
            </w:pPr>
          </w:p>
        </w:tc>
        <w:tc>
          <w:tcPr>
            <w:tcW w:w="244" w:type="pct"/>
            <w:vMerge w:val="continue"/>
            <w:vAlign w:val="center"/>
          </w:tcPr>
          <w:p>
            <w:pPr>
              <w:spacing w:line="240" w:lineRule="exact"/>
              <w:rPr>
                <w:rFonts w:ascii="宋体"/>
              </w:rPr>
            </w:pPr>
          </w:p>
        </w:tc>
        <w:tc>
          <w:tcPr>
            <w:tcW w:w="452" w:type="pct"/>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资金使用</w:t>
            </w:r>
          </w:p>
          <w:p>
            <w:pPr>
              <w:spacing w:line="240" w:lineRule="exact"/>
              <w:ind w:left="105" w:leftChars="50" w:right="105" w:rightChars="50"/>
              <w:jc w:val="center"/>
              <w:rPr>
                <w:rFonts w:ascii="宋体"/>
              </w:rPr>
            </w:pPr>
            <w:r>
              <w:rPr>
                <w:rFonts w:hint="eastAsia" w:ascii="宋体" w:hAnsi="宋体" w:cs="宋体"/>
              </w:rPr>
              <w:t>合规性（</w:t>
            </w:r>
            <w:r>
              <w:rPr>
                <w:rFonts w:ascii="宋体" w:hAnsi="宋体" w:cs="宋体"/>
              </w:rPr>
              <w:t>4</w:t>
            </w:r>
            <w:r>
              <w:rPr>
                <w:rFonts w:hint="eastAsia" w:ascii="宋体" w:hAnsi="宋体" w:cs="宋体"/>
              </w:rPr>
              <w:t>分）</w:t>
            </w:r>
          </w:p>
        </w:tc>
        <w:tc>
          <w:tcPr>
            <w:tcW w:w="293" w:type="pct"/>
          </w:tcPr>
          <w:p>
            <w:pPr>
              <w:spacing w:line="240" w:lineRule="exact"/>
              <w:ind w:left="105" w:leftChars="50" w:right="105" w:rightChars="50"/>
              <w:rPr>
                <w:rFonts w:ascii="宋体"/>
              </w:rPr>
            </w:pPr>
          </w:p>
          <w:p>
            <w:pPr>
              <w:spacing w:line="240" w:lineRule="exact"/>
              <w:ind w:left="105" w:leftChars="50" w:right="105" w:rightChars="50"/>
              <w:rPr>
                <w:rFonts w:ascii="宋体"/>
              </w:rPr>
            </w:pPr>
          </w:p>
          <w:p>
            <w:pPr>
              <w:spacing w:line="240" w:lineRule="exact"/>
              <w:ind w:left="105" w:leftChars="50" w:right="105" w:rightChars="50"/>
              <w:rPr>
                <w:rFonts w:ascii="宋体"/>
              </w:rPr>
            </w:pPr>
          </w:p>
          <w:p>
            <w:pPr>
              <w:spacing w:line="240" w:lineRule="exact"/>
              <w:ind w:left="105" w:leftChars="50" w:right="105" w:rightChars="50"/>
              <w:rPr>
                <w:rFonts w:ascii="宋体"/>
              </w:rPr>
            </w:pPr>
          </w:p>
          <w:p>
            <w:pPr>
              <w:spacing w:line="240" w:lineRule="exact"/>
              <w:ind w:right="105" w:rightChars="50" w:firstLine="210" w:firstLineChars="100"/>
              <w:rPr>
                <w:rFonts w:ascii="宋体" w:eastAsia="宋体"/>
              </w:rPr>
            </w:pPr>
            <w:r>
              <w:rPr>
                <w:rFonts w:hint="eastAsia" w:ascii="宋体"/>
              </w:rPr>
              <w:t>4</w:t>
            </w:r>
          </w:p>
        </w:tc>
        <w:tc>
          <w:tcPr>
            <w:tcW w:w="1429"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预算资金使用是否符合相关的财务管理制度规定，用以反映和考核预算资金的规范运行情况。</w:t>
            </w:r>
          </w:p>
        </w:tc>
        <w:tc>
          <w:tcPr>
            <w:tcW w:w="2284"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p>
          <w:p>
            <w:pPr>
              <w:spacing w:line="240" w:lineRule="exact"/>
              <w:ind w:left="105" w:leftChars="50" w:right="105" w:rightChars="50"/>
              <w:rPr>
                <w:rFonts w:ascii="宋体"/>
              </w:rPr>
            </w:pPr>
            <w:r>
              <w:rPr>
                <w:rFonts w:hint="eastAsia" w:ascii="宋体" w:hAnsi="宋体" w:cs="宋体"/>
              </w:rPr>
              <w:t>①是否符合国家财经法规和财务管理制度以及有关专项资金管理办法的规定；</w:t>
            </w:r>
          </w:p>
          <w:p>
            <w:pPr>
              <w:spacing w:line="240" w:lineRule="exact"/>
              <w:ind w:right="105" w:rightChars="50" w:firstLine="105" w:firstLineChars="50"/>
              <w:rPr>
                <w:rFonts w:ascii="宋体"/>
              </w:rPr>
            </w:pPr>
            <w:r>
              <w:rPr>
                <w:rFonts w:hint="eastAsia" w:ascii="宋体" w:hAnsi="宋体" w:cs="宋体"/>
              </w:rPr>
              <w:t>②资金的拨付是否有完整的审批程序和手续；</w:t>
            </w:r>
          </w:p>
          <w:p>
            <w:pPr>
              <w:spacing w:line="240" w:lineRule="exact"/>
              <w:ind w:right="105" w:rightChars="50" w:firstLine="105" w:firstLineChars="50"/>
              <w:rPr>
                <w:rFonts w:ascii="宋体"/>
              </w:rPr>
            </w:pPr>
            <w:r>
              <w:rPr>
                <w:rFonts w:hint="eastAsia" w:ascii="宋体" w:hAnsi="宋体" w:cs="宋体"/>
              </w:rPr>
              <w:t>③是否符合预算支出预算批复或合同规定的用途；</w:t>
            </w:r>
          </w:p>
          <w:p>
            <w:pPr>
              <w:spacing w:line="240" w:lineRule="exact"/>
              <w:ind w:left="105" w:leftChars="50" w:right="105" w:rightChars="50"/>
              <w:rPr>
                <w:rFonts w:ascii="宋体"/>
              </w:rPr>
            </w:pPr>
            <w:r>
              <w:rPr>
                <w:rFonts w:hint="eastAsia" w:ascii="宋体" w:hAnsi="宋体" w:cs="宋体"/>
              </w:rPr>
              <w:t>④是否存在截留、挤占、挪用、虐列支出等情况。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continue"/>
            <w:noWrap/>
            <w:tcMar>
              <w:top w:w="10" w:type="dxa"/>
              <w:left w:w="10" w:type="dxa"/>
              <w:bottom w:w="0" w:type="dxa"/>
              <w:right w:w="10" w:type="dxa"/>
            </w:tcMar>
            <w:textDirection w:val="tbRlV"/>
            <w:vAlign w:val="center"/>
          </w:tcPr>
          <w:p>
            <w:pPr>
              <w:spacing w:line="240" w:lineRule="exact"/>
              <w:jc w:val="center"/>
              <w:rPr>
                <w:rFonts w:ascii="宋体"/>
              </w:rPr>
            </w:pPr>
          </w:p>
        </w:tc>
        <w:tc>
          <w:tcPr>
            <w:tcW w:w="244" w:type="pct"/>
            <w:vMerge w:val="restart"/>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组织</w:t>
            </w:r>
          </w:p>
          <w:p>
            <w:pPr>
              <w:spacing w:line="240" w:lineRule="exact"/>
              <w:jc w:val="center"/>
              <w:rPr>
                <w:rFonts w:ascii="宋体"/>
              </w:rPr>
            </w:pPr>
            <w:r>
              <w:rPr>
                <w:rFonts w:hint="eastAsia" w:ascii="宋体" w:hAnsi="宋体" w:cs="宋体"/>
              </w:rPr>
              <w:t>实施（</w:t>
            </w:r>
            <w:r>
              <w:rPr>
                <w:rFonts w:ascii="宋体" w:hAnsi="宋体" w:cs="宋体"/>
              </w:rPr>
              <w:t>8</w:t>
            </w:r>
            <w:r>
              <w:rPr>
                <w:rFonts w:hint="eastAsia" w:ascii="宋体" w:hAnsi="宋体" w:cs="宋体"/>
              </w:rPr>
              <w:t>分）</w:t>
            </w:r>
          </w:p>
        </w:tc>
        <w:tc>
          <w:tcPr>
            <w:tcW w:w="452" w:type="pct"/>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管理制度</w:t>
            </w:r>
          </w:p>
          <w:p>
            <w:pPr>
              <w:spacing w:line="240" w:lineRule="exact"/>
              <w:ind w:left="105" w:leftChars="50" w:right="105" w:rightChars="50"/>
              <w:jc w:val="center"/>
              <w:rPr>
                <w:rFonts w:ascii="宋体"/>
              </w:rPr>
            </w:pPr>
            <w:r>
              <w:rPr>
                <w:rFonts w:hint="eastAsia" w:ascii="宋体" w:hAnsi="宋体" w:cs="宋体"/>
              </w:rPr>
              <w:t>健全性（</w:t>
            </w:r>
            <w:r>
              <w:rPr>
                <w:rFonts w:ascii="宋体" w:hAnsi="宋体" w:cs="宋体"/>
              </w:rPr>
              <w:t>4</w:t>
            </w:r>
            <w:r>
              <w:rPr>
                <w:rFonts w:hint="eastAsia" w:ascii="宋体" w:hAnsi="宋体" w:cs="宋体"/>
              </w:rPr>
              <w:t>分）</w:t>
            </w:r>
          </w:p>
        </w:tc>
        <w:tc>
          <w:tcPr>
            <w:tcW w:w="293" w:type="pct"/>
          </w:tcPr>
          <w:p>
            <w:pPr>
              <w:spacing w:line="240" w:lineRule="exact"/>
              <w:ind w:left="105" w:leftChars="50" w:right="105" w:rightChars="50"/>
              <w:rPr>
                <w:rFonts w:ascii="宋体" w:eastAsia="宋体"/>
              </w:rPr>
            </w:pPr>
          </w:p>
          <w:p>
            <w:pPr>
              <w:spacing w:line="240" w:lineRule="exact"/>
              <w:ind w:left="105" w:leftChars="50" w:right="105" w:rightChars="50"/>
              <w:rPr>
                <w:rFonts w:ascii="宋体" w:eastAsia="宋体"/>
              </w:rPr>
            </w:pPr>
          </w:p>
          <w:p>
            <w:pPr>
              <w:spacing w:line="240" w:lineRule="exact"/>
              <w:ind w:left="105" w:leftChars="50" w:right="105" w:rightChars="50"/>
              <w:rPr>
                <w:rFonts w:ascii="宋体" w:eastAsia="宋体"/>
              </w:rPr>
            </w:pPr>
            <w:r>
              <w:rPr>
                <w:rFonts w:hint="eastAsia" w:ascii="宋体"/>
              </w:rPr>
              <w:t xml:space="preserve"> 4</w:t>
            </w:r>
          </w:p>
        </w:tc>
        <w:tc>
          <w:tcPr>
            <w:tcW w:w="1429"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预算支出实施单位的财务和业务管理制度是否健全，用以反映和考核财务和业务管理制度对预算支出顺利实施的保障情况。</w:t>
            </w:r>
          </w:p>
        </w:tc>
        <w:tc>
          <w:tcPr>
            <w:tcW w:w="2284"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r>
              <w:rPr>
                <w:rFonts w:ascii="宋体"/>
              </w:rPr>
              <w:br w:type="textWrapping"/>
            </w:r>
            <w:r>
              <w:rPr>
                <w:rFonts w:hint="eastAsia" w:ascii="宋体" w:hAnsi="宋体" w:cs="宋体"/>
              </w:rPr>
              <w:t>①是否已制定或具有相应的业务管理制度；</w:t>
            </w:r>
            <w:r>
              <w:rPr>
                <w:rFonts w:ascii="宋体"/>
              </w:rPr>
              <w:br w:type="textWrapping"/>
            </w:r>
            <w:r>
              <w:rPr>
                <w:rFonts w:hint="eastAsia" w:ascii="宋体" w:hAnsi="宋体" w:cs="宋体"/>
              </w:rPr>
              <w:t>②财务和业务管理制度是否合法、合规、完整。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continue"/>
            <w:vAlign w:val="center"/>
          </w:tcPr>
          <w:p>
            <w:pPr>
              <w:spacing w:line="240" w:lineRule="exact"/>
              <w:rPr>
                <w:rFonts w:ascii="宋体"/>
              </w:rPr>
            </w:pPr>
          </w:p>
        </w:tc>
        <w:tc>
          <w:tcPr>
            <w:tcW w:w="244" w:type="pct"/>
            <w:vMerge w:val="continue"/>
            <w:vAlign w:val="center"/>
          </w:tcPr>
          <w:p>
            <w:pPr>
              <w:spacing w:line="240" w:lineRule="exact"/>
              <w:rPr>
                <w:rFonts w:ascii="宋体"/>
              </w:rPr>
            </w:pPr>
          </w:p>
        </w:tc>
        <w:tc>
          <w:tcPr>
            <w:tcW w:w="452" w:type="pct"/>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制度执行</w:t>
            </w:r>
          </w:p>
          <w:p>
            <w:pPr>
              <w:spacing w:line="240" w:lineRule="exact"/>
              <w:ind w:left="105" w:leftChars="50" w:right="105" w:rightChars="50"/>
              <w:jc w:val="center"/>
              <w:rPr>
                <w:rFonts w:ascii="宋体"/>
              </w:rPr>
            </w:pPr>
            <w:r>
              <w:rPr>
                <w:rFonts w:hint="eastAsia" w:ascii="宋体" w:hAnsi="宋体" w:cs="宋体"/>
              </w:rPr>
              <w:t>有效性（</w:t>
            </w:r>
            <w:r>
              <w:rPr>
                <w:rFonts w:ascii="宋体" w:hAnsi="宋体" w:cs="宋体"/>
              </w:rPr>
              <w:t>4</w:t>
            </w:r>
            <w:r>
              <w:rPr>
                <w:rFonts w:hint="eastAsia" w:ascii="宋体" w:hAnsi="宋体" w:cs="宋体"/>
              </w:rPr>
              <w:t>分）</w:t>
            </w:r>
          </w:p>
        </w:tc>
        <w:tc>
          <w:tcPr>
            <w:tcW w:w="293" w:type="pct"/>
          </w:tcPr>
          <w:p>
            <w:pPr>
              <w:spacing w:line="240" w:lineRule="exact"/>
              <w:ind w:left="105" w:leftChars="50" w:right="105" w:rightChars="50"/>
              <w:rPr>
                <w:rFonts w:ascii="宋体"/>
              </w:rPr>
            </w:pPr>
          </w:p>
          <w:p>
            <w:pPr>
              <w:spacing w:line="240" w:lineRule="exact"/>
              <w:ind w:left="105" w:leftChars="50" w:right="105" w:rightChars="50"/>
              <w:rPr>
                <w:rFonts w:ascii="宋体"/>
              </w:rPr>
            </w:pPr>
          </w:p>
          <w:p>
            <w:pPr>
              <w:spacing w:line="240" w:lineRule="exact"/>
              <w:ind w:left="105" w:leftChars="50" w:right="105" w:rightChars="50"/>
              <w:rPr>
                <w:rFonts w:ascii="宋体"/>
              </w:rPr>
            </w:pPr>
          </w:p>
          <w:p>
            <w:pPr>
              <w:spacing w:line="240" w:lineRule="exact"/>
              <w:ind w:right="105" w:rightChars="50" w:firstLine="210" w:firstLineChars="100"/>
              <w:rPr>
                <w:rFonts w:ascii="宋体" w:eastAsia="宋体"/>
              </w:rPr>
            </w:pPr>
            <w:r>
              <w:rPr>
                <w:rFonts w:hint="eastAsia" w:ascii="宋体"/>
              </w:rPr>
              <w:t>4</w:t>
            </w:r>
          </w:p>
          <w:p>
            <w:pPr>
              <w:spacing w:line="240" w:lineRule="exact"/>
              <w:ind w:left="105" w:leftChars="50" w:right="105" w:rightChars="50"/>
              <w:rPr>
                <w:rFonts w:ascii="宋体" w:eastAsia="宋体"/>
              </w:rPr>
            </w:pPr>
          </w:p>
        </w:tc>
        <w:tc>
          <w:tcPr>
            <w:tcW w:w="1429"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预算支出实施是否符合相关业务管理规定，用以反映和考核业务管理制度的有效执行情况。</w:t>
            </w:r>
          </w:p>
        </w:tc>
        <w:tc>
          <w:tcPr>
            <w:tcW w:w="2284"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r>
              <w:rPr>
                <w:rFonts w:ascii="宋体"/>
              </w:rPr>
              <w:br w:type="textWrapping"/>
            </w:r>
            <w:r>
              <w:rPr>
                <w:rFonts w:hint="eastAsia" w:ascii="宋体" w:hAnsi="宋体" w:cs="宋体"/>
              </w:rPr>
              <w:t>①是否遵守相关法律法规和相关管理规定；</w:t>
            </w:r>
            <w:r>
              <w:rPr>
                <w:rFonts w:ascii="宋体"/>
              </w:rPr>
              <w:br w:type="textWrapping"/>
            </w:r>
            <w:r>
              <w:rPr>
                <w:rFonts w:hint="eastAsia" w:ascii="宋体" w:hAnsi="宋体" w:cs="宋体"/>
              </w:rPr>
              <w:t>②预算支出调整及支出调整手续是否完备；</w:t>
            </w:r>
            <w:r>
              <w:rPr>
                <w:rFonts w:ascii="宋体"/>
              </w:rPr>
              <w:br w:type="textWrapping"/>
            </w:r>
            <w:r>
              <w:rPr>
                <w:rFonts w:hint="eastAsia" w:ascii="宋体" w:hAnsi="宋体" w:cs="宋体"/>
              </w:rPr>
              <w:t>③预算支出合同书、验收报告、技术鉴定等资料是否齐全并及时归档；</w:t>
            </w:r>
            <w:r>
              <w:rPr>
                <w:rFonts w:ascii="宋体"/>
              </w:rPr>
              <w:br w:type="textWrapping"/>
            </w:r>
            <w:r>
              <w:rPr>
                <w:rFonts w:hint="eastAsia" w:ascii="宋体" w:hAnsi="宋体" w:cs="宋体"/>
              </w:rPr>
              <w:t>④预算支出实施的人员条件、场地设备、信息支撑等是否落实到位。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295" w:type="pct"/>
            <w:vMerge w:val="restart"/>
            <w:noWrap/>
            <w:tcMar>
              <w:top w:w="10" w:type="dxa"/>
              <w:left w:w="10" w:type="dxa"/>
              <w:bottom w:w="0" w:type="dxa"/>
              <w:right w:w="10" w:type="dxa"/>
            </w:tcMar>
            <w:textDirection w:val="tbRlV"/>
            <w:vAlign w:val="center"/>
          </w:tcPr>
          <w:p>
            <w:pPr>
              <w:spacing w:line="240" w:lineRule="exact"/>
              <w:jc w:val="center"/>
              <w:rPr>
                <w:rFonts w:ascii="宋体"/>
              </w:rPr>
            </w:pPr>
            <w:r>
              <w:rPr>
                <w:rFonts w:hint="eastAsia" w:ascii="宋体" w:hAnsi="宋体" w:cs="宋体"/>
              </w:rPr>
              <w:t>产</w:t>
            </w:r>
            <w:r>
              <w:rPr>
                <w:rFonts w:ascii="宋体" w:hAnsi="宋体" w:cs="宋体"/>
              </w:rPr>
              <w:t xml:space="preserve">   </w:t>
            </w:r>
            <w:r>
              <w:rPr>
                <w:rFonts w:hint="eastAsia" w:ascii="宋体" w:hAnsi="宋体" w:cs="宋体"/>
              </w:rPr>
              <w:t>出（</w:t>
            </w:r>
            <w:r>
              <w:rPr>
                <w:rFonts w:ascii="宋体" w:hAnsi="宋体" w:cs="宋体"/>
              </w:rPr>
              <w:t>40</w:t>
            </w:r>
            <w:r>
              <w:rPr>
                <w:rFonts w:hint="eastAsia" w:ascii="宋体" w:hAnsi="宋体" w:cs="宋体"/>
              </w:rPr>
              <w:t>分）</w:t>
            </w:r>
          </w:p>
        </w:tc>
        <w:tc>
          <w:tcPr>
            <w:tcW w:w="244" w:type="pct"/>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数量（</w:t>
            </w:r>
            <w:r>
              <w:rPr>
                <w:rFonts w:ascii="宋体" w:hAnsi="宋体" w:cs="宋体"/>
              </w:rPr>
              <w:t>10</w:t>
            </w:r>
            <w:r>
              <w:rPr>
                <w:rFonts w:hint="eastAsia" w:ascii="宋体" w:hAnsi="宋体" w:cs="宋体"/>
              </w:rPr>
              <w:t>分）</w:t>
            </w:r>
          </w:p>
        </w:tc>
        <w:tc>
          <w:tcPr>
            <w:tcW w:w="452" w:type="pct"/>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实际</w:t>
            </w:r>
          </w:p>
          <w:p>
            <w:pPr>
              <w:spacing w:line="240" w:lineRule="exact"/>
              <w:ind w:left="105" w:leftChars="50" w:right="105" w:rightChars="50"/>
              <w:jc w:val="center"/>
              <w:rPr>
                <w:rFonts w:ascii="宋体"/>
              </w:rPr>
            </w:pPr>
            <w:r>
              <w:rPr>
                <w:rFonts w:hint="eastAsia" w:ascii="宋体" w:hAnsi="宋体" w:cs="宋体"/>
              </w:rPr>
              <w:t>完成率（</w:t>
            </w:r>
            <w:r>
              <w:rPr>
                <w:rFonts w:ascii="宋体" w:hAnsi="宋体" w:cs="宋体"/>
              </w:rPr>
              <w:t>10</w:t>
            </w:r>
            <w:r>
              <w:rPr>
                <w:rFonts w:hint="eastAsia" w:ascii="宋体" w:hAnsi="宋体" w:cs="宋体"/>
              </w:rPr>
              <w:t>分）</w:t>
            </w:r>
          </w:p>
        </w:tc>
        <w:tc>
          <w:tcPr>
            <w:tcW w:w="293" w:type="pct"/>
          </w:tcPr>
          <w:p>
            <w:pPr>
              <w:spacing w:line="240" w:lineRule="exact"/>
              <w:ind w:left="105" w:leftChars="50" w:right="105" w:rightChars="50"/>
              <w:rPr>
                <w:rFonts w:ascii="宋体"/>
              </w:rPr>
            </w:pPr>
          </w:p>
          <w:p>
            <w:pPr>
              <w:spacing w:line="240" w:lineRule="exact"/>
              <w:ind w:left="105" w:leftChars="50" w:right="105" w:rightChars="50"/>
              <w:rPr>
                <w:rFonts w:ascii="宋体"/>
              </w:rPr>
            </w:pPr>
          </w:p>
          <w:p>
            <w:pPr>
              <w:spacing w:line="240" w:lineRule="exact"/>
              <w:ind w:left="105" w:leftChars="50" w:right="105" w:rightChars="50"/>
              <w:rPr>
                <w:rFonts w:ascii="宋体"/>
              </w:rPr>
            </w:pPr>
          </w:p>
          <w:p>
            <w:pPr>
              <w:spacing w:line="240" w:lineRule="exact"/>
              <w:ind w:right="105" w:rightChars="50"/>
              <w:rPr>
                <w:rFonts w:ascii="宋体" w:eastAsia="宋体"/>
              </w:rPr>
            </w:pPr>
            <w:r>
              <w:rPr>
                <w:rFonts w:hint="eastAsia" w:ascii="宋体"/>
              </w:rPr>
              <w:t xml:space="preserve"> 10</w:t>
            </w:r>
          </w:p>
        </w:tc>
        <w:tc>
          <w:tcPr>
            <w:tcW w:w="1429"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预算支出实施的实际产出数与计划产出数的比率，用以反映和考核预算支出产出数量目标的实现程度。</w:t>
            </w:r>
          </w:p>
        </w:tc>
        <w:tc>
          <w:tcPr>
            <w:tcW w:w="2284"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实际完成率</w:t>
            </w:r>
            <w:r>
              <w:rPr>
                <w:rFonts w:ascii="宋体" w:hAnsi="宋体" w:cs="宋体"/>
              </w:rPr>
              <w:t>=</w:t>
            </w:r>
            <w:r>
              <w:rPr>
                <w:rFonts w:hint="eastAsia" w:ascii="宋体" w:hAnsi="宋体" w:cs="宋体"/>
              </w:rPr>
              <w:t>（实际产出数</w:t>
            </w:r>
            <w:r>
              <w:rPr>
                <w:rFonts w:ascii="宋体" w:hAnsi="宋体" w:cs="宋体"/>
              </w:rPr>
              <w:t>/</w:t>
            </w:r>
            <w:r>
              <w:rPr>
                <w:rFonts w:hint="eastAsia" w:ascii="宋体" w:hAnsi="宋体" w:cs="宋体"/>
              </w:rPr>
              <w:t>计划产出数）×</w:t>
            </w:r>
            <w:r>
              <w:rPr>
                <w:rFonts w:ascii="宋体" w:hAnsi="宋体" w:cs="宋体"/>
              </w:rPr>
              <w:t>100%</w:t>
            </w:r>
            <w:r>
              <w:rPr>
                <w:rFonts w:hint="eastAsia" w:ascii="宋体" w:hAnsi="宋体" w:cs="宋体"/>
              </w:rPr>
              <w:t>。</w:t>
            </w:r>
            <w:r>
              <w:rPr>
                <w:rFonts w:ascii="宋体"/>
              </w:rPr>
              <w:br w:type="textWrapping"/>
            </w:r>
            <w:r>
              <w:rPr>
                <w:rFonts w:hint="eastAsia" w:ascii="宋体" w:hAnsi="宋体" w:cs="宋体"/>
              </w:rPr>
              <w:t>实际产出数：一定时期（本年度或预算支出期）内预算支出实际产出的产品或提供的服务数量。</w:t>
            </w:r>
            <w:r>
              <w:rPr>
                <w:rFonts w:ascii="宋体"/>
              </w:rPr>
              <w:br w:type="textWrapping"/>
            </w:r>
            <w:r>
              <w:rPr>
                <w:rFonts w:hint="eastAsia" w:ascii="宋体" w:hAnsi="宋体" w:cs="宋体"/>
              </w:rPr>
              <w:t>计划产出数：预算支出绩效目标确定的在一定时期（本年度或预算支出期）内计划产出的产品或提供的服务数量。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295" w:type="pct"/>
            <w:vMerge w:val="continue"/>
            <w:noWrap/>
            <w:tcMar>
              <w:top w:w="10" w:type="dxa"/>
              <w:left w:w="10" w:type="dxa"/>
              <w:bottom w:w="0" w:type="dxa"/>
              <w:right w:w="10" w:type="dxa"/>
            </w:tcMar>
            <w:textDirection w:val="tbRlV"/>
            <w:vAlign w:val="center"/>
          </w:tcPr>
          <w:p>
            <w:pPr>
              <w:spacing w:line="240" w:lineRule="exact"/>
              <w:jc w:val="center"/>
              <w:rPr>
                <w:rFonts w:ascii="宋体"/>
              </w:rPr>
            </w:pPr>
          </w:p>
        </w:tc>
        <w:tc>
          <w:tcPr>
            <w:tcW w:w="244" w:type="pct"/>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质量（</w:t>
            </w:r>
            <w:r>
              <w:rPr>
                <w:rFonts w:ascii="宋体" w:hAnsi="宋体" w:cs="宋体"/>
              </w:rPr>
              <w:t>10</w:t>
            </w:r>
            <w:r>
              <w:rPr>
                <w:rFonts w:hint="eastAsia" w:ascii="宋体" w:hAnsi="宋体" w:cs="宋体"/>
              </w:rPr>
              <w:t>分）</w:t>
            </w:r>
          </w:p>
        </w:tc>
        <w:tc>
          <w:tcPr>
            <w:tcW w:w="452" w:type="pct"/>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质量</w:t>
            </w:r>
          </w:p>
          <w:p>
            <w:pPr>
              <w:spacing w:line="240" w:lineRule="exact"/>
              <w:ind w:left="105" w:leftChars="50" w:right="105" w:rightChars="50"/>
              <w:jc w:val="center"/>
              <w:rPr>
                <w:rFonts w:ascii="宋体"/>
              </w:rPr>
            </w:pPr>
            <w:r>
              <w:rPr>
                <w:rFonts w:hint="eastAsia" w:ascii="宋体" w:hAnsi="宋体" w:cs="宋体"/>
              </w:rPr>
              <w:t>达标率（</w:t>
            </w:r>
            <w:r>
              <w:rPr>
                <w:rFonts w:ascii="宋体" w:hAnsi="宋体" w:cs="宋体"/>
              </w:rPr>
              <w:t>10</w:t>
            </w:r>
            <w:r>
              <w:rPr>
                <w:rFonts w:hint="eastAsia" w:ascii="宋体" w:hAnsi="宋体" w:cs="宋体"/>
              </w:rPr>
              <w:t>分）</w:t>
            </w:r>
          </w:p>
        </w:tc>
        <w:tc>
          <w:tcPr>
            <w:tcW w:w="293" w:type="pct"/>
          </w:tcPr>
          <w:p>
            <w:pPr>
              <w:spacing w:line="240" w:lineRule="exact"/>
              <w:ind w:left="105" w:leftChars="50" w:right="105" w:rightChars="50"/>
              <w:rPr>
                <w:rFonts w:ascii="宋体"/>
              </w:rPr>
            </w:pPr>
          </w:p>
          <w:p>
            <w:pPr>
              <w:spacing w:line="240" w:lineRule="exact"/>
              <w:ind w:left="105" w:leftChars="50" w:right="105" w:rightChars="50"/>
              <w:rPr>
                <w:rFonts w:ascii="宋体"/>
              </w:rPr>
            </w:pPr>
          </w:p>
          <w:p>
            <w:pPr>
              <w:spacing w:line="240" w:lineRule="exact"/>
              <w:ind w:left="105" w:leftChars="50" w:right="105" w:rightChars="50"/>
              <w:rPr>
                <w:rFonts w:ascii="宋体"/>
              </w:rPr>
            </w:pPr>
          </w:p>
          <w:p>
            <w:pPr>
              <w:spacing w:line="240" w:lineRule="exact"/>
              <w:ind w:left="105" w:leftChars="50" w:right="105" w:rightChars="50"/>
              <w:rPr>
                <w:rFonts w:ascii="宋体"/>
              </w:rPr>
            </w:pPr>
          </w:p>
          <w:p>
            <w:pPr>
              <w:spacing w:line="240" w:lineRule="exact"/>
              <w:ind w:left="105" w:leftChars="50" w:right="105" w:rightChars="50"/>
              <w:rPr>
                <w:rFonts w:ascii="宋体" w:eastAsia="宋体"/>
              </w:rPr>
            </w:pPr>
            <w:r>
              <w:rPr>
                <w:rFonts w:hint="eastAsia" w:ascii="宋体"/>
              </w:rPr>
              <w:t>10</w:t>
            </w:r>
          </w:p>
        </w:tc>
        <w:tc>
          <w:tcPr>
            <w:tcW w:w="1429"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预算支出完成的质量达标产出数与实际产出数的比率，用以反映和考核预算支出产出质量目标的实现程度。</w:t>
            </w:r>
          </w:p>
        </w:tc>
        <w:tc>
          <w:tcPr>
            <w:tcW w:w="2284"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质量达标率</w:t>
            </w:r>
            <w:r>
              <w:rPr>
                <w:rFonts w:ascii="宋体" w:hAnsi="宋体" w:cs="宋体"/>
              </w:rPr>
              <w:t>=</w:t>
            </w:r>
            <w:r>
              <w:rPr>
                <w:rFonts w:hint="eastAsia" w:ascii="宋体" w:hAnsi="宋体" w:cs="宋体"/>
              </w:rPr>
              <w:t>（质量达标产出数</w:t>
            </w:r>
            <w:r>
              <w:rPr>
                <w:rFonts w:ascii="宋体" w:hAnsi="宋体" w:cs="宋体"/>
              </w:rPr>
              <w:t>/</w:t>
            </w:r>
            <w:r>
              <w:rPr>
                <w:rFonts w:hint="eastAsia" w:ascii="宋体" w:hAnsi="宋体" w:cs="宋体"/>
              </w:rPr>
              <w:t>实际产出数）×</w:t>
            </w:r>
            <w:r>
              <w:rPr>
                <w:rFonts w:ascii="宋体" w:hAnsi="宋体" w:cs="宋体"/>
              </w:rPr>
              <w:t>100%</w:t>
            </w:r>
            <w:r>
              <w:rPr>
                <w:rFonts w:hint="eastAsia" w:ascii="宋体" w:hAnsi="宋体" w:cs="宋体"/>
              </w:rPr>
              <w:t>。</w:t>
            </w:r>
            <w:r>
              <w:rPr>
                <w:rFonts w:ascii="宋体"/>
              </w:rPr>
              <w:br w:type="textWrapping"/>
            </w:r>
            <w:r>
              <w:rPr>
                <w:rFonts w:hint="eastAsia" w:ascii="宋体" w:hAnsi="宋体" w:cs="宋体"/>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295" w:type="pct"/>
            <w:vMerge w:val="restart"/>
            <w:vAlign w:val="center"/>
          </w:tcPr>
          <w:p>
            <w:pPr>
              <w:spacing w:line="240" w:lineRule="exact"/>
              <w:ind w:left="113"/>
              <w:rPr>
                <w:rFonts w:ascii="宋体"/>
              </w:rPr>
            </w:pPr>
            <w:r>
              <w:rPr>
                <w:rFonts w:hint="eastAsia" w:ascii="宋体" w:hAnsi="宋体" w:cs="宋体"/>
              </w:rPr>
              <w:t>产</w:t>
            </w:r>
            <w:r>
              <w:rPr>
                <w:rFonts w:ascii="宋体" w:hAnsi="宋体" w:cs="宋体"/>
              </w:rPr>
              <w:t xml:space="preserve">   </w:t>
            </w:r>
            <w:r>
              <w:rPr>
                <w:rFonts w:hint="eastAsia" w:ascii="宋体" w:hAnsi="宋体" w:cs="宋体"/>
              </w:rPr>
              <w:t>出（</w:t>
            </w:r>
            <w:r>
              <w:rPr>
                <w:rFonts w:ascii="宋体" w:hAnsi="宋体" w:cs="宋体"/>
              </w:rPr>
              <w:t>40</w:t>
            </w:r>
            <w:r>
              <w:rPr>
                <w:rFonts w:hint="eastAsia" w:ascii="宋体" w:hAnsi="宋体" w:cs="宋体"/>
              </w:rPr>
              <w:t>分）</w:t>
            </w:r>
          </w:p>
        </w:tc>
        <w:tc>
          <w:tcPr>
            <w:tcW w:w="244" w:type="pct"/>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时效（</w:t>
            </w:r>
            <w:r>
              <w:rPr>
                <w:rFonts w:ascii="宋体" w:hAnsi="宋体" w:cs="宋体"/>
              </w:rPr>
              <w:t>10</w:t>
            </w:r>
            <w:r>
              <w:rPr>
                <w:rFonts w:hint="eastAsia" w:ascii="宋体" w:hAnsi="宋体" w:cs="宋体"/>
              </w:rPr>
              <w:t>分）</w:t>
            </w:r>
          </w:p>
        </w:tc>
        <w:tc>
          <w:tcPr>
            <w:tcW w:w="452" w:type="pct"/>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完成</w:t>
            </w:r>
          </w:p>
          <w:p>
            <w:pPr>
              <w:spacing w:line="240" w:lineRule="exact"/>
              <w:ind w:left="105" w:leftChars="50" w:right="105" w:rightChars="50"/>
              <w:jc w:val="center"/>
              <w:rPr>
                <w:rFonts w:ascii="宋体"/>
              </w:rPr>
            </w:pPr>
            <w:r>
              <w:rPr>
                <w:rFonts w:hint="eastAsia" w:ascii="宋体" w:hAnsi="宋体" w:cs="宋体"/>
              </w:rPr>
              <w:t>及时性（</w:t>
            </w:r>
            <w:r>
              <w:rPr>
                <w:rFonts w:ascii="宋体" w:hAnsi="宋体" w:cs="宋体"/>
              </w:rPr>
              <w:t>10</w:t>
            </w:r>
            <w:r>
              <w:rPr>
                <w:rFonts w:hint="eastAsia" w:ascii="宋体" w:hAnsi="宋体" w:cs="宋体"/>
              </w:rPr>
              <w:t>分）</w:t>
            </w:r>
          </w:p>
        </w:tc>
        <w:tc>
          <w:tcPr>
            <w:tcW w:w="293" w:type="pct"/>
          </w:tcPr>
          <w:p>
            <w:pPr>
              <w:spacing w:line="240" w:lineRule="exact"/>
              <w:ind w:left="105" w:leftChars="50" w:right="105" w:rightChars="50"/>
              <w:rPr>
                <w:rFonts w:ascii="宋体"/>
              </w:rPr>
            </w:pPr>
          </w:p>
          <w:p>
            <w:pPr>
              <w:spacing w:line="240" w:lineRule="exact"/>
              <w:ind w:left="105" w:leftChars="50" w:right="105" w:rightChars="50"/>
              <w:rPr>
                <w:rFonts w:ascii="宋体"/>
              </w:rPr>
            </w:pPr>
          </w:p>
          <w:p>
            <w:pPr>
              <w:spacing w:line="240" w:lineRule="exact"/>
              <w:ind w:left="105" w:leftChars="50" w:right="105" w:rightChars="50"/>
              <w:rPr>
                <w:rFonts w:ascii="宋体" w:eastAsia="宋体"/>
              </w:rPr>
            </w:pPr>
            <w:r>
              <w:rPr>
                <w:rFonts w:hint="eastAsia" w:ascii="宋体"/>
              </w:rPr>
              <w:t>10</w:t>
            </w:r>
          </w:p>
        </w:tc>
        <w:tc>
          <w:tcPr>
            <w:tcW w:w="1429"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预算支出实际完成时间与计划完成时间的比较，用以反映和考核预算支出产出时效目标的实现程度。</w:t>
            </w:r>
          </w:p>
        </w:tc>
        <w:tc>
          <w:tcPr>
            <w:tcW w:w="2284"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实际完成时间：预算支出实施单位完成该预算支出实际所耗用的时间。</w:t>
            </w:r>
            <w:r>
              <w:rPr>
                <w:rFonts w:ascii="宋体"/>
              </w:rPr>
              <w:br w:type="textWrapping"/>
            </w:r>
            <w:r>
              <w:rPr>
                <w:rFonts w:hint="eastAsia" w:ascii="宋体" w:hAnsi="宋体" w:cs="宋体"/>
              </w:rPr>
              <w:t>计划完成时间：按照预算支出实施计划或相关规定完成该预算支出所需的时间。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continue"/>
            <w:vAlign w:val="center"/>
          </w:tcPr>
          <w:p>
            <w:pPr>
              <w:spacing w:line="240" w:lineRule="exact"/>
              <w:ind w:left="113"/>
              <w:rPr>
                <w:rFonts w:ascii="宋体"/>
              </w:rPr>
            </w:pPr>
          </w:p>
        </w:tc>
        <w:tc>
          <w:tcPr>
            <w:tcW w:w="244" w:type="pct"/>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成本（</w:t>
            </w:r>
            <w:r>
              <w:rPr>
                <w:rFonts w:ascii="宋体" w:hAnsi="宋体" w:cs="宋体"/>
              </w:rPr>
              <w:t>10</w:t>
            </w:r>
            <w:r>
              <w:rPr>
                <w:rFonts w:hint="eastAsia" w:ascii="宋体" w:hAnsi="宋体" w:cs="宋体"/>
              </w:rPr>
              <w:t>分）</w:t>
            </w:r>
          </w:p>
        </w:tc>
        <w:tc>
          <w:tcPr>
            <w:tcW w:w="452" w:type="pct"/>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成本</w:t>
            </w:r>
          </w:p>
          <w:p>
            <w:pPr>
              <w:spacing w:line="240" w:lineRule="exact"/>
              <w:ind w:left="105" w:leftChars="50" w:right="105" w:rightChars="50"/>
              <w:jc w:val="center"/>
              <w:rPr>
                <w:rFonts w:ascii="宋体"/>
              </w:rPr>
            </w:pPr>
            <w:r>
              <w:rPr>
                <w:rFonts w:hint="eastAsia" w:ascii="宋体" w:hAnsi="宋体" w:cs="宋体"/>
              </w:rPr>
              <w:t>节约率（</w:t>
            </w:r>
            <w:r>
              <w:rPr>
                <w:rFonts w:ascii="宋体" w:hAnsi="宋体" w:cs="宋体"/>
              </w:rPr>
              <w:t>10</w:t>
            </w:r>
            <w:r>
              <w:rPr>
                <w:rFonts w:hint="eastAsia" w:ascii="宋体" w:hAnsi="宋体" w:cs="宋体"/>
              </w:rPr>
              <w:t>分）</w:t>
            </w:r>
          </w:p>
        </w:tc>
        <w:tc>
          <w:tcPr>
            <w:tcW w:w="293" w:type="pct"/>
          </w:tcPr>
          <w:p>
            <w:pPr>
              <w:spacing w:line="240" w:lineRule="exact"/>
              <w:ind w:left="105" w:leftChars="50" w:right="105" w:rightChars="50"/>
              <w:rPr>
                <w:rFonts w:ascii="宋体"/>
              </w:rPr>
            </w:pPr>
          </w:p>
          <w:p>
            <w:pPr>
              <w:spacing w:line="240" w:lineRule="exact"/>
              <w:ind w:left="105" w:leftChars="50" w:right="105" w:rightChars="50"/>
              <w:rPr>
                <w:rFonts w:ascii="宋体"/>
              </w:rPr>
            </w:pPr>
          </w:p>
          <w:p>
            <w:pPr>
              <w:spacing w:line="240" w:lineRule="exact"/>
              <w:ind w:left="105" w:leftChars="50" w:right="105" w:rightChars="50"/>
              <w:rPr>
                <w:rFonts w:ascii="宋体"/>
              </w:rPr>
            </w:pPr>
          </w:p>
          <w:p>
            <w:pPr>
              <w:spacing w:line="240" w:lineRule="exact"/>
              <w:ind w:left="105" w:leftChars="50" w:right="105" w:rightChars="50"/>
              <w:rPr>
                <w:rFonts w:ascii="宋体" w:eastAsia="宋体"/>
              </w:rPr>
            </w:pPr>
            <w:r>
              <w:rPr>
                <w:rFonts w:hint="eastAsia" w:ascii="宋体"/>
              </w:rPr>
              <w:t>10</w:t>
            </w:r>
          </w:p>
        </w:tc>
        <w:tc>
          <w:tcPr>
            <w:tcW w:w="1429"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完成预算支出计划工作目标的实际节约成本与计划成本的比率，用以反映和考核预算支出的成本节约程度。</w:t>
            </w:r>
          </w:p>
        </w:tc>
        <w:tc>
          <w:tcPr>
            <w:tcW w:w="2284"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成本节约率</w:t>
            </w:r>
            <w:r>
              <w:rPr>
                <w:rFonts w:ascii="宋体" w:hAnsi="宋体" w:cs="宋体"/>
              </w:rPr>
              <w:t>=[</w:t>
            </w:r>
            <w:r>
              <w:rPr>
                <w:rFonts w:hint="eastAsia" w:ascii="宋体" w:hAnsi="宋体" w:cs="宋体"/>
              </w:rPr>
              <w:t>（计划成本</w:t>
            </w:r>
            <w:r>
              <w:rPr>
                <w:rFonts w:ascii="宋体" w:cs="宋体"/>
              </w:rPr>
              <w:t>-</w:t>
            </w:r>
            <w:r>
              <w:rPr>
                <w:rFonts w:hint="eastAsia" w:ascii="宋体" w:hAnsi="宋体" w:cs="宋体"/>
              </w:rPr>
              <w:t>实际成本）</w:t>
            </w:r>
            <w:r>
              <w:rPr>
                <w:rFonts w:ascii="宋体" w:hAnsi="宋体" w:cs="宋体"/>
              </w:rPr>
              <w:t>/</w:t>
            </w:r>
            <w:r>
              <w:rPr>
                <w:rFonts w:hint="eastAsia" w:ascii="宋体" w:hAnsi="宋体" w:cs="宋体"/>
              </w:rPr>
              <w:t>计划成本</w:t>
            </w:r>
            <w:r>
              <w:rPr>
                <w:rFonts w:ascii="宋体" w:hAnsi="宋体" w:cs="宋体"/>
              </w:rPr>
              <w:t>]</w:t>
            </w:r>
            <w:r>
              <w:rPr>
                <w:rFonts w:hint="eastAsia" w:ascii="宋体" w:hAnsi="宋体" w:cs="宋体"/>
              </w:rPr>
              <w:t>×</w:t>
            </w:r>
            <w:r>
              <w:rPr>
                <w:rFonts w:ascii="宋体" w:hAnsi="宋体" w:cs="宋体"/>
              </w:rPr>
              <w:t>100%</w:t>
            </w:r>
            <w:r>
              <w:rPr>
                <w:rFonts w:hint="eastAsia" w:ascii="宋体" w:hAnsi="宋体" w:cs="宋体"/>
              </w:rPr>
              <w:t>。</w:t>
            </w:r>
            <w:r>
              <w:rPr>
                <w:rFonts w:ascii="宋体"/>
              </w:rPr>
              <w:br w:type="textWrapping"/>
            </w:r>
            <w:r>
              <w:rPr>
                <w:rFonts w:hint="eastAsia" w:ascii="宋体" w:hAnsi="宋体" w:cs="宋体"/>
              </w:rPr>
              <w:t>实际成本：预算支出实施单位如期、保质、保量完成既定工作目标实际所耗费的支出。</w:t>
            </w:r>
            <w:r>
              <w:rPr>
                <w:rFonts w:ascii="宋体"/>
              </w:rPr>
              <w:br w:type="textWrapping"/>
            </w:r>
            <w:r>
              <w:rPr>
                <w:rFonts w:hint="eastAsia" w:ascii="宋体" w:hAnsi="宋体" w:cs="宋体"/>
              </w:rPr>
              <w:t>计划成本：预算支出实施单位为完成工作目标计划安排的支出，一般以预算支出预算为参考。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restart"/>
            <w:noWrap/>
            <w:tcMar>
              <w:top w:w="10" w:type="dxa"/>
              <w:left w:w="10" w:type="dxa"/>
              <w:bottom w:w="0" w:type="dxa"/>
              <w:right w:w="10" w:type="dxa"/>
            </w:tcMar>
            <w:textDirection w:val="tbRlV"/>
            <w:vAlign w:val="center"/>
          </w:tcPr>
          <w:p>
            <w:pPr>
              <w:spacing w:line="240" w:lineRule="exact"/>
              <w:jc w:val="center"/>
              <w:rPr>
                <w:rFonts w:ascii="宋体"/>
              </w:rPr>
            </w:pPr>
            <w:r>
              <w:rPr>
                <w:rFonts w:hint="eastAsia" w:ascii="宋体" w:hAnsi="宋体" w:cs="宋体"/>
              </w:rPr>
              <w:t>效</w:t>
            </w:r>
            <w:r>
              <w:rPr>
                <w:rFonts w:ascii="宋体" w:hAnsi="宋体" w:cs="宋体"/>
              </w:rPr>
              <w:t xml:space="preserve">   </w:t>
            </w:r>
            <w:r>
              <w:rPr>
                <w:rFonts w:hint="eastAsia" w:ascii="宋体" w:hAnsi="宋体" w:cs="宋体"/>
              </w:rPr>
              <w:t>益（</w:t>
            </w:r>
            <w:r>
              <w:rPr>
                <w:rFonts w:ascii="宋体" w:hAnsi="宋体" w:cs="宋体"/>
              </w:rPr>
              <w:t>20</w:t>
            </w:r>
            <w:r>
              <w:rPr>
                <w:rFonts w:hint="eastAsia" w:ascii="宋体" w:hAnsi="宋体" w:cs="宋体"/>
              </w:rPr>
              <w:t>分）</w:t>
            </w:r>
          </w:p>
        </w:tc>
        <w:tc>
          <w:tcPr>
            <w:tcW w:w="244" w:type="pct"/>
            <w:vMerge w:val="restart"/>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预算支出</w:t>
            </w:r>
            <w:r>
              <w:rPr>
                <w:rFonts w:ascii="宋体"/>
              </w:rPr>
              <w:br w:type="textWrapping"/>
            </w:r>
            <w:r>
              <w:rPr>
                <w:rFonts w:hint="eastAsia" w:ascii="宋体" w:hAnsi="宋体" w:cs="宋体"/>
              </w:rPr>
              <w:t>效益（</w:t>
            </w:r>
            <w:r>
              <w:rPr>
                <w:rFonts w:ascii="宋体" w:hAnsi="宋体" w:cs="宋体"/>
              </w:rPr>
              <w:t>20</w:t>
            </w:r>
            <w:r>
              <w:rPr>
                <w:rFonts w:hint="eastAsia" w:ascii="宋体" w:hAnsi="宋体" w:cs="宋体"/>
              </w:rPr>
              <w:t>分）</w:t>
            </w:r>
          </w:p>
        </w:tc>
        <w:tc>
          <w:tcPr>
            <w:tcW w:w="452" w:type="pct"/>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实施效益（</w:t>
            </w:r>
            <w:r>
              <w:rPr>
                <w:rFonts w:ascii="宋体" w:hAnsi="宋体" w:cs="宋体"/>
              </w:rPr>
              <w:t>10</w:t>
            </w:r>
            <w:r>
              <w:rPr>
                <w:rFonts w:hint="eastAsia" w:ascii="宋体" w:hAnsi="宋体" w:cs="宋体"/>
              </w:rPr>
              <w:t>分）</w:t>
            </w:r>
          </w:p>
        </w:tc>
        <w:tc>
          <w:tcPr>
            <w:tcW w:w="293" w:type="pct"/>
          </w:tcPr>
          <w:p>
            <w:pPr>
              <w:spacing w:line="240" w:lineRule="exact"/>
              <w:ind w:left="105" w:leftChars="50" w:right="105" w:rightChars="50"/>
              <w:rPr>
                <w:rFonts w:ascii="宋体"/>
              </w:rPr>
            </w:pPr>
            <w:r>
              <w:rPr>
                <w:rFonts w:hint="eastAsia" w:ascii="宋体"/>
              </w:rPr>
              <w:t xml:space="preserve"> </w:t>
            </w:r>
          </w:p>
          <w:p>
            <w:pPr>
              <w:spacing w:line="240" w:lineRule="exact"/>
              <w:ind w:left="105" w:leftChars="50" w:right="105" w:rightChars="50"/>
              <w:rPr>
                <w:rFonts w:ascii="宋体"/>
              </w:rPr>
            </w:pPr>
          </w:p>
          <w:p>
            <w:pPr>
              <w:spacing w:line="240" w:lineRule="exact"/>
              <w:ind w:right="105" w:rightChars="50" w:firstLine="210" w:firstLineChars="100"/>
              <w:rPr>
                <w:rFonts w:ascii="宋体"/>
              </w:rPr>
            </w:pPr>
            <w:r>
              <w:rPr>
                <w:rFonts w:hint="eastAsia" w:ascii="宋体"/>
              </w:rPr>
              <w:t>9</w:t>
            </w:r>
          </w:p>
        </w:tc>
        <w:tc>
          <w:tcPr>
            <w:tcW w:w="1429"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预算支出实施所产生的效益。</w:t>
            </w:r>
          </w:p>
        </w:tc>
        <w:tc>
          <w:tcPr>
            <w:tcW w:w="2284"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预算支出实施所产生的社会效益、经济效益、生态效益、可持续影响等。可根据预算支出实际情况有选择地设置和细化。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continue"/>
            <w:vAlign w:val="center"/>
          </w:tcPr>
          <w:p>
            <w:pPr>
              <w:spacing w:line="240" w:lineRule="exact"/>
              <w:rPr>
                <w:rFonts w:ascii="宋体"/>
              </w:rPr>
            </w:pPr>
          </w:p>
        </w:tc>
        <w:tc>
          <w:tcPr>
            <w:tcW w:w="244" w:type="pct"/>
            <w:vMerge w:val="continue"/>
            <w:vAlign w:val="center"/>
          </w:tcPr>
          <w:p>
            <w:pPr>
              <w:spacing w:line="240" w:lineRule="exact"/>
              <w:rPr>
                <w:rFonts w:ascii="宋体"/>
              </w:rPr>
            </w:pPr>
          </w:p>
        </w:tc>
        <w:tc>
          <w:tcPr>
            <w:tcW w:w="452" w:type="pct"/>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社会公众</w:t>
            </w:r>
          </w:p>
          <w:p>
            <w:pPr>
              <w:spacing w:line="240" w:lineRule="exact"/>
              <w:ind w:left="105" w:leftChars="50" w:right="105" w:rightChars="50"/>
              <w:jc w:val="center"/>
              <w:rPr>
                <w:rFonts w:ascii="宋体"/>
              </w:rPr>
            </w:pPr>
            <w:r>
              <w:rPr>
                <w:rFonts w:hint="eastAsia" w:ascii="宋体" w:hAnsi="宋体" w:cs="宋体"/>
              </w:rPr>
              <w:t>或服务（</w:t>
            </w:r>
            <w:r>
              <w:rPr>
                <w:rFonts w:ascii="宋体" w:hAnsi="宋体" w:cs="宋体"/>
              </w:rPr>
              <w:t>10</w:t>
            </w:r>
            <w:r>
              <w:rPr>
                <w:rFonts w:hint="eastAsia" w:ascii="宋体" w:hAnsi="宋体" w:cs="宋体"/>
              </w:rPr>
              <w:t>分）对</w:t>
            </w:r>
          </w:p>
          <w:p>
            <w:pPr>
              <w:spacing w:line="240" w:lineRule="exact"/>
              <w:ind w:left="105" w:leftChars="50" w:right="105" w:rightChars="50"/>
              <w:jc w:val="center"/>
              <w:rPr>
                <w:rFonts w:ascii="宋体"/>
              </w:rPr>
            </w:pPr>
            <w:r>
              <w:rPr>
                <w:rFonts w:hint="eastAsia" w:ascii="宋体" w:hAnsi="宋体" w:cs="宋体"/>
              </w:rPr>
              <w:t>象满意度</w:t>
            </w:r>
          </w:p>
        </w:tc>
        <w:tc>
          <w:tcPr>
            <w:tcW w:w="293" w:type="pct"/>
          </w:tcPr>
          <w:p>
            <w:pPr>
              <w:spacing w:line="240" w:lineRule="exact"/>
              <w:ind w:left="105" w:leftChars="50" w:right="105" w:rightChars="50"/>
              <w:rPr>
                <w:rFonts w:ascii="宋体"/>
              </w:rPr>
            </w:pPr>
          </w:p>
          <w:p>
            <w:pPr>
              <w:spacing w:line="240" w:lineRule="exact"/>
              <w:ind w:left="105" w:leftChars="50" w:right="105" w:rightChars="50"/>
              <w:rPr>
                <w:rFonts w:ascii="宋体"/>
              </w:rPr>
            </w:pPr>
          </w:p>
          <w:p>
            <w:pPr>
              <w:spacing w:line="240" w:lineRule="exact"/>
              <w:ind w:left="105" w:leftChars="50" w:right="105" w:rightChars="50"/>
              <w:rPr>
                <w:rFonts w:ascii="宋体"/>
              </w:rPr>
            </w:pPr>
          </w:p>
          <w:p>
            <w:pPr>
              <w:spacing w:line="240" w:lineRule="exact"/>
              <w:ind w:right="105" w:rightChars="50" w:firstLine="210" w:firstLineChars="100"/>
              <w:rPr>
                <w:rFonts w:ascii="宋体" w:eastAsia="宋体"/>
              </w:rPr>
            </w:pPr>
            <w:r>
              <w:rPr>
                <w:rFonts w:hint="eastAsia" w:ascii="宋体"/>
              </w:rPr>
              <w:t>10</w:t>
            </w:r>
          </w:p>
        </w:tc>
        <w:tc>
          <w:tcPr>
            <w:tcW w:w="1429"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社会公众或服务对象对预算支出实施效果的满意程度。</w:t>
            </w:r>
          </w:p>
        </w:tc>
        <w:tc>
          <w:tcPr>
            <w:tcW w:w="2284"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社会公众或服务对象是指因该预算支出实施而受到影响的部门、群体或个人。一般采取社会调查的方式。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Align w:val="center"/>
          </w:tcPr>
          <w:p>
            <w:pPr>
              <w:spacing w:line="240" w:lineRule="exact"/>
              <w:rPr>
                <w:rFonts w:ascii="宋体"/>
              </w:rPr>
            </w:pPr>
            <w:r>
              <w:rPr>
                <w:rFonts w:hint="eastAsia" w:ascii="宋体" w:hAnsi="宋体" w:cs="宋体"/>
              </w:rPr>
              <w:t>总分</w:t>
            </w:r>
          </w:p>
        </w:tc>
        <w:tc>
          <w:tcPr>
            <w:tcW w:w="244" w:type="pct"/>
            <w:vAlign w:val="center"/>
          </w:tcPr>
          <w:p>
            <w:pPr>
              <w:spacing w:line="240" w:lineRule="exact"/>
              <w:rPr>
                <w:rFonts w:ascii="宋体"/>
              </w:rPr>
            </w:pPr>
          </w:p>
        </w:tc>
        <w:tc>
          <w:tcPr>
            <w:tcW w:w="452" w:type="pct"/>
            <w:tcMar>
              <w:top w:w="10" w:type="dxa"/>
              <w:left w:w="10" w:type="dxa"/>
              <w:bottom w:w="0" w:type="dxa"/>
              <w:right w:w="10" w:type="dxa"/>
            </w:tcMar>
            <w:vAlign w:val="center"/>
          </w:tcPr>
          <w:p>
            <w:pPr>
              <w:spacing w:line="240" w:lineRule="exact"/>
              <w:ind w:left="105" w:leftChars="50" w:right="105" w:rightChars="50"/>
              <w:jc w:val="center"/>
              <w:rPr>
                <w:rFonts w:ascii="宋体"/>
              </w:rPr>
            </w:pPr>
          </w:p>
        </w:tc>
        <w:tc>
          <w:tcPr>
            <w:tcW w:w="293" w:type="pct"/>
          </w:tcPr>
          <w:p>
            <w:pPr>
              <w:spacing w:line="240" w:lineRule="exact"/>
              <w:ind w:left="105" w:leftChars="50" w:right="105" w:rightChars="50"/>
              <w:rPr>
                <w:rFonts w:ascii="宋体"/>
              </w:rPr>
            </w:pPr>
          </w:p>
          <w:p>
            <w:pPr>
              <w:spacing w:line="240" w:lineRule="exact"/>
              <w:ind w:right="105" w:rightChars="50" w:firstLine="210" w:firstLineChars="100"/>
              <w:rPr>
                <w:rFonts w:ascii="宋体"/>
              </w:rPr>
            </w:pPr>
            <w:r>
              <w:rPr>
                <w:rFonts w:hint="eastAsia" w:ascii="宋体"/>
              </w:rPr>
              <w:t>99</w:t>
            </w:r>
          </w:p>
          <w:p>
            <w:pPr>
              <w:spacing w:line="240" w:lineRule="exact"/>
              <w:ind w:left="105" w:leftChars="50" w:right="105" w:rightChars="50"/>
              <w:rPr>
                <w:rFonts w:ascii="宋体"/>
              </w:rPr>
            </w:pPr>
          </w:p>
        </w:tc>
        <w:tc>
          <w:tcPr>
            <w:tcW w:w="1429" w:type="pct"/>
            <w:tcMar>
              <w:top w:w="10" w:type="dxa"/>
              <w:left w:w="10" w:type="dxa"/>
              <w:bottom w:w="0" w:type="dxa"/>
              <w:right w:w="10" w:type="dxa"/>
            </w:tcMar>
            <w:vAlign w:val="center"/>
          </w:tcPr>
          <w:p>
            <w:pPr>
              <w:spacing w:line="240" w:lineRule="exact"/>
              <w:ind w:left="105" w:leftChars="50" w:right="105" w:rightChars="50"/>
              <w:rPr>
                <w:rFonts w:ascii="宋体"/>
              </w:rPr>
            </w:pPr>
          </w:p>
        </w:tc>
        <w:tc>
          <w:tcPr>
            <w:tcW w:w="2284" w:type="pct"/>
            <w:tcMar>
              <w:top w:w="10" w:type="dxa"/>
              <w:left w:w="10" w:type="dxa"/>
              <w:bottom w:w="0" w:type="dxa"/>
              <w:right w:w="10" w:type="dxa"/>
            </w:tcMar>
            <w:vAlign w:val="center"/>
          </w:tcPr>
          <w:p>
            <w:pPr>
              <w:spacing w:line="240" w:lineRule="exact"/>
              <w:ind w:left="105" w:leftChars="50" w:right="105" w:rightChars="50"/>
              <w:rPr>
                <w:rFonts w:ascii="宋体"/>
              </w:rPr>
            </w:pPr>
          </w:p>
        </w:tc>
      </w:tr>
    </w:tbl>
    <w:p>
      <w:pPr>
        <w:spacing w:line="600" w:lineRule="exact"/>
        <w:ind w:firstLine="600" w:firstLineChars="200"/>
        <w:jc w:val="left"/>
        <w:rPr>
          <w:rFonts w:ascii="仿宋" w:hAnsi="仿宋" w:eastAsia="仿宋" w:cs="仿宋"/>
          <w:sz w:val="30"/>
          <w:szCs w:val="30"/>
        </w:rPr>
      </w:pPr>
    </w:p>
    <w:p>
      <w:pPr>
        <w:spacing w:line="600" w:lineRule="exact"/>
        <w:ind w:firstLine="600" w:firstLineChars="200"/>
        <w:jc w:val="left"/>
        <w:rPr>
          <w:rFonts w:ascii="仿宋" w:hAnsi="仿宋" w:eastAsia="仿宋" w:cs="仿宋"/>
          <w:sz w:val="30"/>
          <w:szCs w:val="30"/>
        </w:rPr>
      </w:pPr>
    </w:p>
    <w:p>
      <w:pPr>
        <w:spacing w:line="600" w:lineRule="exact"/>
        <w:ind w:firstLine="600" w:firstLineChars="200"/>
        <w:jc w:val="left"/>
        <w:rPr>
          <w:rFonts w:ascii="仿宋" w:hAnsi="仿宋" w:eastAsia="仿宋" w:cs="仿宋"/>
          <w:sz w:val="30"/>
          <w:szCs w:val="30"/>
        </w:rPr>
      </w:pPr>
    </w:p>
    <w:p>
      <w:pPr>
        <w:spacing w:line="600" w:lineRule="exact"/>
        <w:ind w:firstLine="600" w:firstLineChars="200"/>
        <w:jc w:val="left"/>
        <w:rPr>
          <w:rFonts w:ascii="仿宋" w:hAnsi="仿宋" w:eastAsia="仿宋" w:cs="仿宋"/>
          <w:sz w:val="30"/>
          <w:szCs w:val="30"/>
        </w:rPr>
      </w:pPr>
    </w:p>
    <w:p>
      <w:pPr>
        <w:spacing w:line="600" w:lineRule="exact"/>
        <w:ind w:firstLine="600" w:firstLineChars="200"/>
        <w:jc w:val="left"/>
        <w:rPr>
          <w:rFonts w:ascii="仿宋" w:hAnsi="仿宋" w:eastAsia="仿宋" w:cs="仿宋"/>
          <w:sz w:val="30"/>
          <w:szCs w:val="30"/>
        </w:rPr>
      </w:pPr>
    </w:p>
    <w:p>
      <w:pPr>
        <w:spacing w:line="600" w:lineRule="exact"/>
        <w:jc w:val="left"/>
        <w:rPr>
          <w:rFonts w:ascii="仿宋" w:hAnsi="仿宋" w:eastAsia="仿宋" w:cs="仿宋"/>
          <w:color w:val="000000"/>
          <w:kern w:val="0"/>
          <w:sz w:val="30"/>
          <w:szCs w:val="30"/>
          <w:highlight w:val="yellow"/>
        </w:rPr>
      </w:pPr>
    </w:p>
    <w:p>
      <w:pPr>
        <w:spacing w:line="600" w:lineRule="exact"/>
        <w:jc w:val="left"/>
        <w:rPr>
          <w:rFonts w:ascii="仿宋" w:hAnsi="仿宋" w:eastAsia="仿宋" w:cs="仿宋"/>
          <w:color w:val="000000"/>
          <w:kern w:val="0"/>
          <w:sz w:val="30"/>
          <w:szCs w:val="30"/>
          <w:highlight w:val="yellow"/>
        </w:rPr>
      </w:pPr>
    </w:p>
    <w:p>
      <w:pPr>
        <w:spacing w:line="600" w:lineRule="exact"/>
        <w:jc w:val="left"/>
        <w:rPr>
          <w:rFonts w:ascii="仿宋" w:hAnsi="仿宋" w:eastAsia="仿宋" w:cs="仿宋"/>
          <w:color w:val="000000"/>
          <w:kern w:val="0"/>
          <w:sz w:val="30"/>
          <w:szCs w:val="30"/>
          <w:highlight w:val="yellow"/>
        </w:rPr>
      </w:pPr>
    </w:p>
    <w:p>
      <w:pPr>
        <w:spacing w:line="600" w:lineRule="exact"/>
        <w:jc w:val="left"/>
        <w:rPr>
          <w:rFonts w:ascii="仿宋" w:hAnsi="仿宋" w:eastAsia="仿宋" w:cs="仿宋"/>
          <w:color w:val="000000"/>
          <w:kern w:val="0"/>
          <w:sz w:val="30"/>
          <w:szCs w:val="30"/>
          <w:highlight w:val="yellow"/>
        </w:rPr>
      </w:pPr>
    </w:p>
    <w:p>
      <w:pPr>
        <w:spacing w:line="600" w:lineRule="exact"/>
        <w:jc w:val="left"/>
        <w:rPr>
          <w:rFonts w:ascii="仿宋" w:hAnsi="仿宋" w:eastAsia="仿宋" w:cs="仿宋"/>
          <w:color w:val="000000"/>
          <w:kern w:val="0"/>
          <w:sz w:val="30"/>
          <w:szCs w:val="30"/>
          <w:highlight w:val="yellow"/>
        </w:rPr>
      </w:pPr>
    </w:p>
    <w:p>
      <w:pPr>
        <w:spacing w:line="600" w:lineRule="exact"/>
        <w:jc w:val="left"/>
        <w:rPr>
          <w:rFonts w:ascii="仿宋" w:hAnsi="仿宋" w:eastAsia="仿宋" w:cs="仿宋"/>
          <w:color w:val="000000"/>
          <w:kern w:val="0"/>
          <w:sz w:val="30"/>
          <w:szCs w:val="30"/>
          <w:highlight w:val="yellow"/>
        </w:rPr>
      </w:pPr>
    </w:p>
    <w:p>
      <w:pPr>
        <w:spacing w:line="600" w:lineRule="exact"/>
        <w:jc w:val="left"/>
        <w:rPr>
          <w:rFonts w:ascii="仿宋" w:hAnsi="仿宋" w:eastAsia="仿宋" w:cs="仿宋"/>
          <w:color w:val="000000"/>
          <w:kern w:val="0"/>
          <w:sz w:val="30"/>
          <w:szCs w:val="30"/>
          <w:highlight w:val="yellow"/>
        </w:rPr>
      </w:pPr>
    </w:p>
    <w:p>
      <w:pPr>
        <w:spacing w:line="600" w:lineRule="exact"/>
        <w:jc w:val="left"/>
        <w:rPr>
          <w:rFonts w:ascii="仿宋" w:hAnsi="仿宋" w:eastAsia="仿宋" w:cs="仿宋"/>
          <w:color w:val="000000"/>
          <w:kern w:val="0"/>
          <w:sz w:val="30"/>
          <w:szCs w:val="30"/>
          <w:highlight w:val="yellow"/>
        </w:rPr>
      </w:pPr>
    </w:p>
    <w:p>
      <w:pPr>
        <w:spacing w:line="600" w:lineRule="exact"/>
        <w:jc w:val="left"/>
        <w:rPr>
          <w:rFonts w:ascii="仿宋" w:hAnsi="仿宋" w:eastAsia="仿宋" w:cs="仿宋"/>
          <w:color w:val="000000"/>
          <w:kern w:val="0"/>
          <w:sz w:val="30"/>
          <w:szCs w:val="30"/>
          <w:highlight w:val="yellow"/>
        </w:rPr>
      </w:pPr>
    </w:p>
    <w:p>
      <w:pPr>
        <w:spacing w:line="600" w:lineRule="exact"/>
        <w:jc w:val="left"/>
        <w:rPr>
          <w:rFonts w:ascii="仿宋" w:hAnsi="仿宋" w:eastAsia="仿宋" w:cs="仿宋"/>
          <w:color w:val="000000"/>
          <w:kern w:val="0"/>
          <w:sz w:val="30"/>
          <w:szCs w:val="30"/>
          <w:highlight w:val="yellow"/>
        </w:rPr>
      </w:pPr>
    </w:p>
    <w:p>
      <w:pPr>
        <w:spacing w:line="600" w:lineRule="exact"/>
        <w:jc w:val="left"/>
        <w:rPr>
          <w:rFonts w:ascii="仿宋" w:hAnsi="仿宋" w:eastAsia="仿宋" w:cs="仿宋"/>
          <w:color w:val="000000"/>
          <w:kern w:val="0"/>
          <w:sz w:val="30"/>
          <w:szCs w:val="30"/>
          <w:highlight w:val="yellow"/>
        </w:rPr>
      </w:pPr>
    </w:p>
    <w:p>
      <w:pPr>
        <w:spacing w:line="600" w:lineRule="exact"/>
        <w:jc w:val="left"/>
        <w:rPr>
          <w:rFonts w:ascii="仿宋" w:hAnsi="仿宋" w:eastAsia="仿宋" w:cs="仿宋"/>
          <w:color w:val="000000"/>
          <w:kern w:val="0"/>
          <w:sz w:val="30"/>
          <w:szCs w:val="30"/>
          <w:highlight w:val="yellow"/>
        </w:rPr>
      </w:pPr>
    </w:p>
    <w:p>
      <w:pPr>
        <w:spacing w:line="600" w:lineRule="exact"/>
        <w:jc w:val="left"/>
        <w:rPr>
          <w:rFonts w:ascii="仿宋" w:hAnsi="仿宋" w:eastAsia="仿宋" w:cs="仿宋"/>
          <w:color w:val="000000"/>
          <w:kern w:val="0"/>
          <w:sz w:val="30"/>
          <w:szCs w:val="30"/>
          <w:highlight w:val="yellow"/>
        </w:rPr>
      </w:pPr>
    </w:p>
    <w:p>
      <w:pPr>
        <w:spacing w:line="600" w:lineRule="exact"/>
        <w:jc w:val="left"/>
        <w:rPr>
          <w:rFonts w:ascii="仿宋" w:hAnsi="仿宋" w:eastAsia="仿宋" w:cs="仿宋"/>
          <w:kern w:val="0"/>
          <w:sz w:val="30"/>
          <w:szCs w:val="30"/>
        </w:rPr>
      </w:pPr>
      <w:r>
        <w:rPr>
          <w:rFonts w:hint="eastAsia" w:ascii="仿宋" w:hAnsi="仿宋" w:eastAsia="仿宋" w:cs="仿宋"/>
          <w:kern w:val="0"/>
          <w:sz w:val="30"/>
          <w:szCs w:val="30"/>
        </w:rPr>
        <w:t>附件二：</w:t>
      </w:r>
    </w:p>
    <w:p>
      <w:pPr>
        <w:spacing w:line="600" w:lineRule="exact"/>
        <w:jc w:val="center"/>
        <w:rPr>
          <w:rFonts w:ascii="黑体" w:hAnsi="黑体" w:eastAsia="黑体" w:cs="黑体"/>
          <w:sz w:val="36"/>
          <w:szCs w:val="36"/>
        </w:rPr>
      </w:pPr>
    </w:p>
    <w:p>
      <w:bookmarkStart w:id="0" w:name="_GoBack"/>
      <w:bookmarkEnd w:id="0"/>
    </w:p>
    <w:sectPr>
      <w:pgSz w:w="11906" w:h="16838"/>
      <w:pgMar w:top="1134" w:right="1531" w:bottom="1134" w:left="1531" w:header="851" w:footer="992" w:gutter="0"/>
      <w:cols w:space="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altName w:val="微软雅黑"/>
    <w:panose1 w:val="00000000000000000000"/>
    <w:charset w:val="86"/>
    <w:family w:val="auto"/>
    <w:pitch w:val="default"/>
    <w:sig w:usb0="00000000" w:usb1="00000000" w:usb2="00000000" w:usb3="00000000" w:csb0="00040000" w:csb1="00000000"/>
  </w:font>
  <w:font w:name="方正小标宋_GBK">
    <w:altName w:val="微软雅黑"/>
    <w:panose1 w:val="00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8AED19B"/>
    <w:multiLevelType w:val="singleLevel"/>
    <w:tmpl w:val="48AED19B"/>
    <w:lvl w:ilvl="0" w:tentative="0">
      <w:start w:val="2"/>
      <w:numFmt w:val="chineseCounting"/>
      <w:suff w:val="nothing"/>
      <w:lvlText w:val="（%1）"/>
      <w:lvlJc w:val="left"/>
      <w:rPr>
        <w:rFonts w:hint="eastAsia"/>
      </w:rPr>
    </w:lvl>
  </w:abstractNum>
  <w:abstractNum w:abstractNumId="1">
    <w:nsid w:val="70BAF4B0"/>
    <w:multiLevelType w:val="singleLevel"/>
    <w:tmpl w:val="70BAF4B0"/>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M2NzY5N2NmZWRiMTM2MWY1ZjNmMzA5NGJjMWI2MWIifQ=="/>
  </w:docVars>
  <w:rsids>
    <w:rsidRoot w:val="3B8977A4"/>
    <w:rsid w:val="3B8977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Normal (Web)"/>
    <w:basedOn w:val="1"/>
    <w:unhideWhenUsed/>
    <w:qFormat/>
    <w:uiPriority w:val="0"/>
    <w:pPr>
      <w:spacing w:before="100" w:beforeAutospacing="1" w:after="100" w:afterAutospacing="1"/>
      <w:jc w:val="left"/>
    </w:pPr>
    <w:rPr>
      <w:rFonts w:ascii="宋体" w:hAnsi="宋体" w:cs="宋体"/>
      <w:kern w:val="0"/>
      <w:sz w:val="24"/>
      <w:szCs w:val="24"/>
    </w:rPr>
  </w:style>
  <w:style w:type="paragraph" w:customStyle="1" w:styleId="6">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2023-07-06T06:51:00Z</dcterms:created>
  <dc:creator>一一</dc:creator>
  <cp:lastModifiedBy>一一</cp:lastModifiedBy>
  <dcterms:modified xsi:type="dcterms:W3CDTF">2023-07-06T06:52:53Z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49944761036C4AD9A2AF1DE0CDA02388_11</vt:lpwstr>
  </property>
</Properties>
</file>