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lang w:val="en-US" w:eastAsia="zh-CN"/>
        </w:rPr>
        <w:t>益阳市赫山区文化旅游广电体育局</w:t>
      </w:r>
      <w:r>
        <w:rPr>
          <w:rFonts w:hint="eastAsia" w:ascii="黑体" w:hAnsi="黑体" w:eastAsia="黑体" w:cs="黑体"/>
          <w:sz w:val="36"/>
          <w:szCs w:val="36"/>
        </w:rPr>
        <w:t>2021年度袁铸仁烈士文化广场建设</w:t>
      </w:r>
      <w:r>
        <w:rPr>
          <w:rFonts w:hint="eastAsia" w:ascii="黑体" w:hAnsi="黑体" w:eastAsia="黑体" w:cs="黑体"/>
          <w:sz w:val="36"/>
          <w:szCs w:val="36"/>
          <w:lang w:val="en-US" w:eastAsia="zh-CN"/>
        </w:rPr>
        <w:t>项目支出</w:t>
      </w:r>
      <w:r>
        <w:rPr>
          <w:rFonts w:hint="eastAsia" w:ascii="黑体" w:hAnsi="黑体" w:eastAsia="黑体" w:cs="黑体"/>
          <w:sz w:val="36"/>
          <w:szCs w:val="36"/>
        </w:rPr>
        <w:t>绩效自评报告</w:t>
      </w:r>
    </w:p>
    <w:p>
      <w:pPr>
        <w:pStyle w:val="5"/>
        <w:spacing w:line="600" w:lineRule="exact"/>
        <w:ind w:left="640" w:firstLine="0" w:firstLineChars="0"/>
        <w:rPr>
          <w:rFonts w:hint="eastAsia" w:ascii="黑体" w:hAnsi="黑体" w:eastAsia="黑体" w:cs="黑体"/>
          <w:sz w:val="30"/>
          <w:szCs w:val="30"/>
        </w:rPr>
      </w:pPr>
    </w:p>
    <w:p>
      <w:pPr>
        <w:pStyle w:val="5"/>
        <w:keepNext w:val="0"/>
        <w:keepLines w:val="0"/>
        <w:pageBreakBefore w:val="0"/>
        <w:numPr>
          <w:ilvl w:val="0"/>
          <w:numId w:val="1"/>
        </w:numPr>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绩效目标分解下达情况</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leftChars="0"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lang w:eastAsia="zh-CN"/>
        </w:rPr>
        <w:t>（</w:t>
      </w:r>
      <w:r>
        <w:rPr>
          <w:rFonts w:hint="eastAsia" w:ascii="仿宋" w:hAnsi="仿宋" w:eastAsia="仿宋" w:cs="仿宋"/>
          <w:b/>
          <w:sz w:val="30"/>
          <w:szCs w:val="30"/>
          <w:lang w:val="en-US" w:eastAsia="zh-CN"/>
        </w:rPr>
        <w:t>一</w:t>
      </w:r>
      <w:r>
        <w:rPr>
          <w:rFonts w:hint="eastAsia" w:ascii="仿宋" w:hAnsi="仿宋" w:eastAsia="仿宋" w:cs="仿宋"/>
          <w:b/>
          <w:sz w:val="30"/>
          <w:szCs w:val="30"/>
          <w:lang w:eastAsia="zh-CN"/>
        </w:rPr>
        <w:t>）</w:t>
      </w:r>
      <w:r>
        <w:rPr>
          <w:rFonts w:hint="eastAsia" w:ascii="仿宋" w:hAnsi="仿宋" w:eastAsia="仿宋" w:cs="仿宋"/>
          <w:b/>
          <w:sz w:val="30"/>
          <w:szCs w:val="30"/>
        </w:rPr>
        <w:t>中央下达益阳转移支付预算和绩效目标情况</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根据《湖南省财政厅关于下达2021年中央支持地方公共文化服务体系建设（一般项目）补助资金的通知》（湘财政[2021]115号）中央2021年湖南省地方公共文化服务体系建设专项资金指标11270万元。</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lang w:eastAsia="zh-CN"/>
        </w:rPr>
        <w:t>（</w:t>
      </w:r>
      <w:r>
        <w:rPr>
          <w:rFonts w:hint="eastAsia" w:ascii="仿宋" w:hAnsi="仿宋" w:eastAsia="仿宋" w:cs="仿宋"/>
          <w:b/>
          <w:sz w:val="30"/>
          <w:szCs w:val="30"/>
          <w:lang w:val="en-US" w:eastAsia="zh-CN"/>
        </w:rPr>
        <w:t>二</w:t>
      </w:r>
      <w:r>
        <w:rPr>
          <w:rFonts w:hint="eastAsia" w:ascii="仿宋" w:hAnsi="仿宋" w:eastAsia="仿宋" w:cs="仿宋"/>
          <w:b/>
          <w:sz w:val="30"/>
          <w:szCs w:val="30"/>
          <w:lang w:eastAsia="zh-CN"/>
        </w:rPr>
        <w:t>）</w:t>
      </w:r>
      <w:r>
        <w:rPr>
          <w:rFonts w:hint="eastAsia" w:ascii="仿宋" w:hAnsi="仿宋" w:eastAsia="仿宋" w:cs="仿宋"/>
          <w:b/>
          <w:sz w:val="30"/>
          <w:szCs w:val="30"/>
        </w:rPr>
        <w:t>省内资金安排、分解下达预算和绩效目标情况</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湖南省财政厅关于下达2021年中央支持地方公共文化服务体系建设（一般项目）补助资金的通知》（湘财政[2021]115号），明确支持袁铸仁烈士文化广场建设专项资金100万元。因前期预算考虑不到位，经益阳市赫山区发展和改革局发文《关于同意调整益阳市袁铸仁烈士文化广场项目可行性研究报告总投资的批复》（益赫发改社发[2021]33号）批准建设总投资调整为120万元。</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在上级相关部门的监督和支持下，经过施工单位的努力，按时按质完成了全部施工任务。</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二、绩效目标完成情况分析</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lang w:eastAsia="zh-CN"/>
        </w:rPr>
        <w:t>（</w:t>
      </w:r>
      <w:r>
        <w:rPr>
          <w:rFonts w:hint="eastAsia" w:ascii="仿宋" w:hAnsi="仿宋" w:eastAsia="仿宋" w:cs="仿宋"/>
          <w:b/>
          <w:sz w:val="30"/>
          <w:szCs w:val="30"/>
          <w:lang w:val="en-US" w:eastAsia="zh-CN"/>
        </w:rPr>
        <w:t>一</w:t>
      </w:r>
      <w:r>
        <w:rPr>
          <w:rFonts w:hint="eastAsia" w:ascii="仿宋" w:hAnsi="仿宋" w:eastAsia="仿宋" w:cs="仿宋"/>
          <w:b/>
          <w:sz w:val="30"/>
          <w:szCs w:val="30"/>
          <w:lang w:eastAsia="zh-CN"/>
        </w:rPr>
        <w:t>）</w:t>
      </w:r>
      <w:r>
        <w:rPr>
          <w:rFonts w:hint="eastAsia" w:ascii="仿宋" w:hAnsi="仿宋" w:eastAsia="仿宋" w:cs="仿宋"/>
          <w:b/>
          <w:sz w:val="30"/>
          <w:szCs w:val="30"/>
        </w:rPr>
        <w:t>资金投入情况分析</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1.项目资金到位情况分析。袁铸仁烈士文化广场建设专项资金100万元全部及时贵客到位。</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项目资金执行情况分析。专项资金到位后，为确保项目顺利实话，益阳市赫区文化旅游广电体育局下发《关于委托实施袁铸仁烈士文化广场建设项目的函》，我们制定了资金使用方案，委托兰溪镇人民政府具体负责袁铸仁烈士文化广场建设。兰溪镇人民政府周密部署，精心 组织，严格按时政府采购和招投标管理有关规定和要求执行，确保资金使用的安全性、规范性、有效性，严格按照设计方案和国家有关施工标准进行施工，确保工程质量。</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项目资金管理情况分析。兰溪镇人民政府为保证项目资金安全，制定了《兰溪镇财政资金监管实施细则》、《兰溪镇项目管理制度》，项目资金严格按照项目申报、审批、验收相关程序，根据项目实施进度资金足额到位，末出现截留、挤占、挪用等现象。制定了资金使用方案，严格按项目计划和规定用途专款专用，确保项目资金安全、规范、高效运行，在项目申报、立项、公示、建设、验收、资金拨付各个环节，财政所事前、事中、事后全程监管。</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lang w:eastAsia="zh-CN"/>
        </w:rPr>
        <w:t>（</w:t>
      </w:r>
      <w:r>
        <w:rPr>
          <w:rFonts w:hint="eastAsia" w:ascii="仿宋" w:hAnsi="仿宋" w:eastAsia="仿宋" w:cs="仿宋"/>
          <w:b/>
          <w:sz w:val="30"/>
          <w:szCs w:val="30"/>
          <w:lang w:val="en-US" w:eastAsia="zh-CN"/>
        </w:rPr>
        <w:t>二</w:t>
      </w:r>
      <w:r>
        <w:rPr>
          <w:rFonts w:hint="eastAsia" w:ascii="仿宋" w:hAnsi="仿宋" w:eastAsia="仿宋" w:cs="仿宋"/>
          <w:b/>
          <w:sz w:val="30"/>
          <w:szCs w:val="30"/>
          <w:lang w:eastAsia="zh-CN"/>
        </w:rPr>
        <w:t>）</w:t>
      </w:r>
      <w:r>
        <w:rPr>
          <w:rFonts w:hint="eastAsia" w:ascii="仿宋" w:hAnsi="仿宋" w:eastAsia="仿宋" w:cs="仿宋"/>
          <w:b/>
          <w:sz w:val="30"/>
          <w:szCs w:val="30"/>
        </w:rPr>
        <w:t>总体绩效目标完成情况分析</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项目总投资120万元，主要建设内容包括广场布展，含文化长廊、地面建设、宣誓牌、路灯、绿化、花岗岩护栏等。项目建设按可行性研究报告和设计图纸的要求，按按按量完成了全部建设项目。</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lang w:val="en-US" w:eastAsia="zh-CN"/>
        </w:rPr>
        <w:t>（三</w:t>
      </w:r>
      <w:r>
        <w:rPr>
          <w:rFonts w:hint="eastAsia" w:ascii="仿宋" w:hAnsi="仿宋" w:eastAsia="仿宋" w:cs="仿宋"/>
          <w:b/>
          <w:sz w:val="30"/>
          <w:szCs w:val="30"/>
          <w:lang w:eastAsia="zh-CN"/>
        </w:rPr>
        <w:t>）</w:t>
      </w:r>
      <w:r>
        <w:rPr>
          <w:rFonts w:hint="eastAsia" w:ascii="仿宋" w:hAnsi="仿宋" w:eastAsia="仿宋" w:cs="仿宋"/>
          <w:b/>
          <w:sz w:val="30"/>
          <w:szCs w:val="30"/>
        </w:rPr>
        <w:t>绩效指标完成情况分析。（根据年初绩效指标逐项分析）</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产出指标完成情况分析。</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w:t>
      </w:r>
      <w:r>
        <w:rPr>
          <w:rFonts w:hint="eastAsia" w:ascii="仿宋" w:hAnsi="仿宋" w:eastAsia="仿宋" w:cs="仿宋"/>
          <w:sz w:val="30"/>
          <w:szCs w:val="30"/>
        </w:rPr>
        <w:t>数量指标。项目建设内容主要包括道路150平方米、广场地砖1328.2平方米、栏杆86米、砖砌体59米、路缘石180米、长廊28米、宣誓牌1座、树池3个、石凳1个、清表1478平方米、种植土47立方米、旧墙拆除5立方米、绿化及基本设施配套等。完成道路150平方米、广场地砖1328.2平方米、栏杆86米、砖砌体59米、路缘石180米、长廊28米、宣誓牌1座、树池3个、石凳1个、清表1478平方米、种植土47立方米、旧墙拆除5立方米、绿化及基本设施配套等　</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w:t>
      </w:r>
      <w:r>
        <w:rPr>
          <w:rFonts w:hint="eastAsia" w:ascii="仿宋" w:hAnsi="仿宋" w:eastAsia="仿宋" w:cs="仿宋"/>
          <w:sz w:val="30"/>
          <w:szCs w:val="30"/>
        </w:rPr>
        <w:t>质量指标。在项目实施过程中，政府派专人现场监督，对每一个分部分项管理的施工全程予以监督，确保了工程质量，工程完工后经验收工程符合施工合同有关要求及质量标准，工程整体验收均达到合格以上。</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w:t>
      </w:r>
      <w:r>
        <w:rPr>
          <w:rFonts w:hint="eastAsia" w:ascii="仿宋" w:hAnsi="仿宋" w:eastAsia="仿宋" w:cs="仿宋"/>
          <w:sz w:val="30"/>
          <w:szCs w:val="30"/>
        </w:rPr>
        <w:t>时效指标。本工程于2021年11月组织开工，业主和施工单位在施工过程，严格控制施工进度，确保了工程于2022年1月全部完工。</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4</w:t>
      </w:r>
      <w:r>
        <w:rPr>
          <w:rFonts w:hint="eastAsia" w:ascii="仿宋" w:hAnsi="仿宋" w:eastAsia="仿宋" w:cs="仿宋"/>
          <w:sz w:val="30"/>
          <w:szCs w:val="30"/>
          <w:lang w:eastAsia="zh-CN"/>
        </w:rPr>
        <w:t>）</w:t>
      </w:r>
      <w:r>
        <w:rPr>
          <w:rFonts w:hint="eastAsia" w:ascii="仿宋" w:hAnsi="仿宋" w:eastAsia="仿宋" w:cs="仿宋"/>
          <w:sz w:val="30"/>
          <w:szCs w:val="30"/>
        </w:rPr>
        <w:t>成本指标。袁铸仁烈士文化广场建设项目前期预算工程总投资100万元。因前期预算考虑不到位，后经益阳市赫山区发展和改革局发文《关于同意调整益阳市袁铸仁烈士文化广场项目可行性研究报告总投资的批复》（益赫发改社发[2021]33号）批准建设总投资调整为120万元。在工程施工过程中，业主严格财务管理，制定了相关的财务管理制度，在保证质量的前提下严格控制施工成本，保证了工程成本控制在调整后的成本范围内。</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效益指标完成情况分析。</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w:t>
      </w:r>
      <w:r>
        <w:rPr>
          <w:rFonts w:hint="eastAsia" w:ascii="仿宋" w:hAnsi="仿宋" w:eastAsia="仿宋" w:cs="仿宋"/>
          <w:sz w:val="30"/>
          <w:szCs w:val="30"/>
        </w:rPr>
        <w:t>经济效益。随着我国人均收入水平的不断提高，居民的旅游消费支出逐年增长, 对旅游内容和产品提出了新的要求，迫切需要旅游业进一步调整和完善产品结构，更好地满足多样化、多层次、多形式的精神文化需求。红色旅游作为旅游业的重要组成部分，对于满足旅游需求、促进旅游发展，增强旅游业发展后劲，开拓更广阔的旅游消费市场，具有积极作用。项目运行后，能进一步带动当地旅游业的发展，从而增加当地农民收入，促进地方经济持续发展。</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w:t>
      </w:r>
      <w:r>
        <w:rPr>
          <w:rFonts w:hint="eastAsia" w:ascii="仿宋" w:hAnsi="仿宋" w:eastAsia="仿宋" w:cs="仿宋"/>
          <w:sz w:val="30"/>
          <w:szCs w:val="30"/>
        </w:rPr>
        <w:t>社会效益。袁铸仁烈士文化广场不仅是党员接受党的思想教育和精神泛的重要场所，也是社会群众培养爱国精神的有利平台。</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w:t>
      </w:r>
      <w:r>
        <w:rPr>
          <w:rFonts w:hint="eastAsia" w:ascii="仿宋" w:hAnsi="仿宋" w:eastAsia="仿宋" w:cs="仿宋"/>
          <w:sz w:val="30"/>
          <w:szCs w:val="30"/>
        </w:rPr>
        <w:t>生态效益。本项目能过对原杂乱的场地进行整理，同时种植草皮和树木，与乡村振兴有机衔接，较好地保护了当地环境，生态效益良好。</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4</w:t>
      </w:r>
      <w:r>
        <w:rPr>
          <w:rFonts w:hint="eastAsia" w:ascii="仿宋" w:hAnsi="仿宋" w:eastAsia="仿宋" w:cs="仿宋"/>
          <w:sz w:val="30"/>
          <w:szCs w:val="30"/>
          <w:lang w:eastAsia="zh-CN"/>
        </w:rPr>
        <w:t>）</w:t>
      </w:r>
      <w:r>
        <w:rPr>
          <w:rFonts w:hint="eastAsia" w:ascii="仿宋" w:hAnsi="仿宋" w:eastAsia="仿宋" w:cs="仿宋"/>
          <w:sz w:val="30"/>
          <w:szCs w:val="30"/>
        </w:rPr>
        <w:t>可持续影响。本项目位于益阳市赫山区兰溪镇，为贯彻习近平总书记“把革命老区建设得更好，把红色资源运用好、红色传统发扬好、红色基因传承好，发挥好党组织战斗堡垒作用和党员先锋模范作用，让乡亲们的生活越来越红火”重要指示精神，依托现有红色美丽乡村建设计划，通过对袁铸仁烈士文化广场进行提质改造，结合益阳红色文化，以较高水准建设，以地域人文为特色，成为了一个风格鲜明的红色文化地标。</w:t>
      </w:r>
    </w:p>
    <w:p>
      <w:pPr>
        <w:pStyle w:val="5"/>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满意度指标完成情况分析。项目完工投入运营后，吸引了许多单位组织前来进行爱国主义教育，周边群众对此也非常满意，满意率达100%。</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三、偏离绩效目标的原因和下一步改进措施</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袁铸仁烈士文化广场建设项目，除因前期预算考虑不到位，经益阳市赫山区发展和改革局发文《关于同意调整益阳市袁铸仁烈士文化广场项目可行性研究报告总投资的批复》（益赫发改社发[2021]33号）批准建设总投资调整为120万元，其余均实现设计绩效目标。但在施工过程，制定了严格的财务管理制度，严格控制施工成本，确保了施工成本控制在调整后的指标内。</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四、绩效自评结果拟应用和公开情况</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本绩效自评结果可根据相关规定予以公开。</w:t>
      </w:r>
    </w:p>
    <w:p>
      <w:pPr>
        <w:pStyle w:val="5"/>
        <w:keepNext w:val="0"/>
        <w:keepLines w:val="0"/>
        <w:pageBreakBefore w:val="0"/>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五、其他需要说明的问题</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因袁铸仁烈士文化广场属公益性项目，无门票收入，项目竣工投入运行后，后期运营维护管理费用无着落，需请上级落实后期运营维护管理费用。</w:t>
      </w:r>
    </w:p>
    <w:p>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附件：</w:t>
      </w:r>
      <w:r>
        <w:rPr>
          <w:rFonts w:hint="eastAsia" w:ascii="仿宋" w:hAnsi="仿宋" w:eastAsia="仿宋" w:cs="仿宋"/>
          <w:sz w:val="30"/>
          <w:szCs w:val="30"/>
        </w:rPr>
        <w:t>2021年度中央对地方专项转移支付区域（袁铸仁烈士文化广场）绩效目标自评表</w:t>
      </w:r>
    </w:p>
    <w:p>
      <w:pPr>
        <w:spacing w:line="600" w:lineRule="exact"/>
        <w:ind w:firstLine="640" w:firstLineChars="200"/>
        <w:rPr>
          <w:rFonts w:hint="eastAsia" w:eastAsia="仿宋_GB2312"/>
          <w:sz w:val="32"/>
          <w:szCs w:val="32"/>
          <w:lang w:val="en-US" w:eastAsia="zh-CN"/>
        </w:rPr>
      </w:pPr>
    </w:p>
    <w:p>
      <w:pPr>
        <w:spacing w:line="600" w:lineRule="exact"/>
        <w:ind w:firstLine="640" w:firstLineChars="200"/>
        <w:rPr>
          <w:rFonts w:hint="eastAsia" w:eastAsia="仿宋_GB2312"/>
          <w:sz w:val="32"/>
          <w:szCs w:val="32"/>
        </w:rPr>
      </w:pPr>
    </w:p>
    <w:p>
      <w:pPr>
        <w:spacing w:line="600" w:lineRule="exact"/>
        <w:ind w:firstLine="640" w:firstLineChars="200"/>
        <w:rPr>
          <w:rFonts w:hint="eastAsia" w:eastAsia="仿宋_GB2312"/>
          <w:sz w:val="32"/>
          <w:szCs w:val="32"/>
        </w:rPr>
      </w:pPr>
    </w:p>
    <w:p>
      <w:pPr>
        <w:spacing w:line="600" w:lineRule="exact"/>
        <w:ind w:firstLine="640" w:firstLineChars="200"/>
        <w:rPr>
          <w:rFonts w:hint="eastAsia" w:eastAsia="仿宋_GB2312"/>
          <w:sz w:val="32"/>
          <w:szCs w:val="32"/>
        </w:rPr>
      </w:pPr>
    </w:p>
    <w:p>
      <w:pPr>
        <w:spacing w:line="600" w:lineRule="exact"/>
        <w:ind w:firstLine="640" w:firstLineChars="200"/>
        <w:rPr>
          <w:rFonts w:hint="eastAsia" w:eastAsia="仿宋_GB2312"/>
          <w:sz w:val="32"/>
          <w:szCs w:val="32"/>
        </w:rPr>
      </w:pPr>
    </w:p>
    <w:p>
      <w:pPr>
        <w:spacing w:line="600" w:lineRule="exact"/>
        <w:ind w:firstLine="640" w:firstLineChars="200"/>
        <w:rPr>
          <w:rFonts w:hint="eastAsia" w:eastAsia="仿宋_GB2312"/>
          <w:sz w:val="32"/>
          <w:szCs w:val="32"/>
        </w:rPr>
      </w:pPr>
    </w:p>
    <w:p>
      <w:pPr>
        <w:spacing w:line="600" w:lineRule="exact"/>
        <w:rPr>
          <w:rFonts w:hint="eastAsia" w:eastAsia="仿宋_GB2312"/>
          <w:sz w:val="32"/>
          <w:szCs w:val="32"/>
        </w:rPr>
      </w:pPr>
      <w:bookmarkStart w:id="0" w:name="_GoBack"/>
      <w:bookmarkEnd w:id="0"/>
    </w:p>
    <w:p>
      <w:pPr>
        <w:widowControl/>
        <w:jc w:val="center"/>
        <w:rPr>
          <w:rFonts w:hint="eastAsia" w:ascii="黑体" w:hAnsi="黑体" w:eastAsia="黑体" w:cs="黑体"/>
          <w:bCs/>
          <w:color w:val="000000"/>
          <w:kern w:val="0"/>
          <w:sz w:val="36"/>
          <w:szCs w:val="36"/>
        </w:rPr>
      </w:pPr>
      <w:r>
        <w:rPr>
          <w:rFonts w:hint="eastAsia" w:ascii="黑体" w:hAnsi="黑体" w:eastAsia="黑体" w:cs="黑体"/>
          <w:bCs/>
          <w:color w:val="000000"/>
          <w:kern w:val="0"/>
          <w:sz w:val="36"/>
          <w:szCs w:val="36"/>
        </w:rPr>
        <w:t>2021年度中央对地方专项转移支付区域（袁铸仁烈士文化广场）绩效目标自评表</w:t>
      </w:r>
    </w:p>
    <w:p>
      <w:pPr>
        <w:widowControl/>
        <w:jc w:val="center"/>
        <w:rPr>
          <w:rFonts w:hint="eastAsia" w:ascii="黑体" w:hAnsi="黑体" w:eastAsia="黑体" w:cs="黑体"/>
          <w:color w:val="000000"/>
          <w:kern w:val="0"/>
          <w:sz w:val="36"/>
          <w:szCs w:val="36"/>
        </w:rPr>
      </w:pPr>
      <w:r>
        <w:rPr>
          <w:rFonts w:hint="eastAsia" w:ascii="黑体" w:hAnsi="黑体" w:eastAsia="黑体" w:cs="黑体"/>
          <w:color w:val="000000"/>
          <w:kern w:val="0"/>
          <w:sz w:val="36"/>
          <w:szCs w:val="36"/>
        </w:rPr>
        <w:t>(2021年度)</w:t>
      </w:r>
    </w:p>
    <w:tbl>
      <w:tblPr>
        <w:tblStyle w:val="3"/>
        <w:tblW w:w="9907" w:type="dxa"/>
        <w:jc w:val="center"/>
        <w:tblLayout w:type="fixed"/>
        <w:tblCellMar>
          <w:top w:w="0" w:type="dxa"/>
          <w:left w:w="108" w:type="dxa"/>
          <w:bottom w:w="0" w:type="dxa"/>
          <w:right w:w="108" w:type="dxa"/>
        </w:tblCellMar>
      </w:tblPr>
      <w:tblGrid>
        <w:gridCol w:w="667"/>
        <w:gridCol w:w="886"/>
        <w:gridCol w:w="1718"/>
        <w:gridCol w:w="1729"/>
        <w:gridCol w:w="788"/>
        <w:gridCol w:w="1186"/>
        <w:gridCol w:w="1022"/>
        <w:gridCol w:w="1911"/>
      </w:tblGrid>
      <w:tr>
        <w:tblPrEx>
          <w:tblCellMar>
            <w:top w:w="0" w:type="dxa"/>
            <w:left w:w="108" w:type="dxa"/>
            <w:bottom w:w="0" w:type="dxa"/>
            <w:right w:w="108" w:type="dxa"/>
          </w:tblCellMar>
        </w:tblPrEx>
        <w:trPr>
          <w:jc w:val="center"/>
        </w:trPr>
        <w:tc>
          <w:tcPr>
            <w:tcW w:w="3271" w:type="dxa"/>
            <w:gridSpan w:val="3"/>
            <w:tcBorders>
              <w:top w:val="single" w:color="auto" w:sz="4" w:space="0"/>
              <w:left w:val="single" w:color="auto" w:sz="4" w:space="0"/>
              <w:bottom w:val="single" w:color="auto" w:sz="4" w:space="0"/>
              <w:right w:val="nil"/>
            </w:tcBorders>
            <w:noWrap w:val="0"/>
            <w:vAlign w:val="center"/>
          </w:tcPr>
          <w:p>
            <w:pPr>
              <w:widowControl/>
              <w:spacing w:line="260" w:lineRule="exact"/>
              <w:jc w:val="left"/>
              <w:rPr>
                <w:rFonts w:eastAsia="仿宋_GB2312"/>
                <w:color w:val="000000"/>
                <w:kern w:val="0"/>
                <w:szCs w:val="21"/>
              </w:rPr>
            </w:pPr>
            <w:r>
              <w:rPr>
                <w:rFonts w:eastAsia="仿宋_GB2312"/>
                <w:color w:val="000000"/>
                <w:kern w:val="0"/>
                <w:szCs w:val="21"/>
              </w:rPr>
              <w:t>转移支付（项目）名称</w:t>
            </w:r>
          </w:p>
        </w:tc>
        <w:tc>
          <w:tcPr>
            <w:tcW w:w="6636"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袁铸仁烈士文化广场建设项目</w:t>
            </w: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3271" w:type="dxa"/>
            <w:gridSpan w:val="3"/>
            <w:tcBorders>
              <w:top w:val="single" w:color="auto" w:sz="4" w:space="0"/>
              <w:left w:val="single" w:color="auto" w:sz="4" w:space="0"/>
              <w:bottom w:val="single" w:color="auto" w:sz="4" w:space="0"/>
              <w:right w:val="nil"/>
            </w:tcBorders>
            <w:noWrap w:val="0"/>
            <w:vAlign w:val="center"/>
          </w:tcPr>
          <w:p>
            <w:pPr>
              <w:widowControl/>
              <w:spacing w:line="260" w:lineRule="exact"/>
              <w:jc w:val="left"/>
              <w:rPr>
                <w:rFonts w:eastAsia="仿宋_GB2312"/>
                <w:color w:val="000000"/>
                <w:kern w:val="0"/>
                <w:szCs w:val="21"/>
              </w:rPr>
            </w:pPr>
            <w:r>
              <w:rPr>
                <w:rFonts w:eastAsia="仿宋_GB2312"/>
                <w:color w:val="000000"/>
                <w:kern w:val="0"/>
                <w:szCs w:val="21"/>
              </w:rPr>
              <w:t>中央主管部门</w:t>
            </w:r>
          </w:p>
        </w:tc>
        <w:tc>
          <w:tcPr>
            <w:tcW w:w="6636" w:type="dxa"/>
            <w:gridSpan w:val="5"/>
            <w:tcBorders>
              <w:top w:val="single" w:color="auto" w:sz="4" w:space="0"/>
              <w:left w:val="single" w:color="auto" w:sz="4" w:space="0"/>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jc w:val="center"/>
        </w:trPr>
        <w:tc>
          <w:tcPr>
            <w:tcW w:w="3271" w:type="dxa"/>
            <w:gridSpan w:val="3"/>
            <w:tcBorders>
              <w:top w:val="single" w:color="auto" w:sz="4" w:space="0"/>
              <w:left w:val="single" w:color="auto" w:sz="4" w:space="0"/>
              <w:bottom w:val="single" w:color="auto" w:sz="4" w:space="0"/>
              <w:right w:val="single" w:color="000000" w:sz="4" w:space="0"/>
            </w:tcBorders>
            <w:noWrap w:val="0"/>
            <w:vAlign w:val="center"/>
          </w:tcPr>
          <w:p>
            <w:pPr>
              <w:widowControl/>
              <w:spacing w:line="260" w:lineRule="exact"/>
              <w:jc w:val="left"/>
              <w:rPr>
                <w:rFonts w:eastAsia="仿宋_GB2312"/>
                <w:color w:val="000000"/>
                <w:kern w:val="0"/>
                <w:szCs w:val="21"/>
              </w:rPr>
            </w:pPr>
            <w:r>
              <w:rPr>
                <w:rFonts w:eastAsia="仿宋_GB2312"/>
                <w:color w:val="000000"/>
                <w:kern w:val="0"/>
                <w:szCs w:val="21"/>
              </w:rPr>
              <w:t>地方主管部门</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益阳市赫山区文化旅游广电体育局</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实施单位</w:t>
            </w:r>
          </w:p>
        </w:tc>
        <w:tc>
          <w:tcPr>
            <w:tcW w:w="2933"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益阳市兰溪镇人民政府</w:t>
            </w: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3271" w:type="dxa"/>
            <w:gridSpan w:val="3"/>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项目资金（万元）</w:t>
            </w: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78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全年预算数（A）</w:t>
            </w:r>
          </w:p>
        </w:tc>
        <w:tc>
          <w:tcPr>
            <w:tcW w:w="2208"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全年执行数（B）</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预算执行率（B/A）</w:t>
            </w:r>
          </w:p>
        </w:tc>
      </w:tr>
      <w:tr>
        <w:tblPrEx>
          <w:tblCellMar>
            <w:top w:w="0" w:type="dxa"/>
            <w:left w:w="108" w:type="dxa"/>
            <w:bottom w:w="0" w:type="dxa"/>
            <w:right w:w="108" w:type="dxa"/>
          </w:tblCellMar>
        </w:tblPrEx>
        <w:trPr>
          <w:jc w:val="center"/>
        </w:trPr>
        <w:tc>
          <w:tcPr>
            <w:tcW w:w="3271" w:type="dxa"/>
            <w:gridSpan w:val="3"/>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260" w:lineRule="exact"/>
              <w:jc w:val="left"/>
              <w:rPr>
                <w:rFonts w:eastAsia="仿宋_GB2312"/>
                <w:color w:val="000000"/>
                <w:kern w:val="0"/>
                <w:szCs w:val="21"/>
              </w:rPr>
            </w:pP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年度资金总额：</w:t>
            </w:r>
          </w:p>
        </w:tc>
        <w:tc>
          <w:tcPr>
            <w:tcW w:w="78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3271" w:type="dxa"/>
            <w:gridSpan w:val="3"/>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260" w:lineRule="exact"/>
              <w:jc w:val="left"/>
              <w:rPr>
                <w:rFonts w:eastAsia="仿宋_GB2312"/>
                <w:color w:val="000000"/>
                <w:kern w:val="0"/>
                <w:szCs w:val="21"/>
              </w:rPr>
            </w:pP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其中：中央补助</w:t>
            </w:r>
          </w:p>
        </w:tc>
        <w:tc>
          <w:tcPr>
            <w:tcW w:w="78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r>
      <w:tr>
        <w:tblPrEx>
          <w:tblCellMar>
            <w:top w:w="0" w:type="dxa"/>
            <w:left w:w="108" w:type="dxa"/>
            <w:bottom w:w="0" w:type="dxa"/>
            <w:right w:w="108" w:type="dxa"/>
          </w:tblCellMar>
        </w:tblPrEx>
        <w:trPr>
          <w:jc w:val="center"/>
        </w:trPr>
        <w:tc>
          <w:tcPr>
            <w:tcW w:w="3271" w:type="dxa"/>
            <w:gridSpan w:val="3"/>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260" w:lineRule="exact"/>
              <w:jc w:val="left"/>
              <w:rPr>
                <w:rFonts w:eastAsia="仿宋_GB2312"/>
                <w:color w:val="000000"/>
                <w:kern w:val="0"/>
                <w:szCs w:val="21"/>
              </w:rPr>
            </w:pP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地方资金</w:t>
            </w:r>
          </w:p>
        </w:tc>
        <w:tc>
          <w:tcPr>
            <w:tcW w:w="78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r>
      <w:tr>
        <w:tblPrEx>
          <w:tblCellMar>
            <w:top w:w="0" w:type="dxa"/>
            <w:left w:w="108" w:type="dxa"/>
            <w:bottom w:w="0" w:type="dxa"/>
            <w:right w:w="108" w:type="dxa"/>
          </w:tblCellMar>
        </w:tblPrEx>
        <w:trPr>
          <w:jc w:val="center"/>
        </w:trPr>
        <w:tc>
          <w:tcPr>
            <w:tcW w:w="3271" w:type="dxa"/>
            <w:gridSpan w:val="3"/>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260" w:lineRule="exact"/>
              <w:jc w:val="left"/>
              <w:rPr>
                <w:rFonts w:eastAsia="仿宋_GB2312"/>
                <w:color w:val="000000"/>
                <w:kern w:val="0"/>
                <w:szCs w:val="21"/>
              </w:rPr>
            </w:pP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其他资金</w:t>
            </w:r>
          </w:p>
        </w:tc>
        <w:tc>
          <w:tcPr>
            <w:tcW w:w="78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restart"/>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年度总体目标</w:t>
            </w:r>
          </w:p>
        </w:tc>
        <w:tc>
          <w:tcPr>
            <w:tcW w:w="4333" w:type="dxa"/>
            <w:gridSpan w:val="3"/>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年初设定目标</w:t>
            </w:r>
          </w:p>
        </w:tc>
        <w:tc>
          <w:tcPr>
            <w:tcW w:w="4907" w:type="dxa"/>
            <w:gridSpan w:val="4"/>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全年实际完成情况</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4333" w:type="dxa"/>
            <w:gridSpan w:val="3"/>
            <w:tcBorders>
              <w:top w:val="single" w:color="auto" w:sz="4" w:space="0"/>
              <w:left w:val="nil"/>
              <w:bottom w:val="single" w:color="auto" w:sz="4" w:space="0"/>
              <w:right w:val="single" w:color="auto" w:sz="4" w:space="0"/>
            </w:tcBorders>
            <w:noWrap w:val="0"/>
            <w:vAlign w:val="center"/>
          </w:tcPr>
          <w:p>
            <w:pPr>
              <w:widowControl/>
              <w:spacing w:line="260" w:lineRule="exact"/>
              <w:rPr>
                <w:rFonts w:eastAsia="仿宋_GB2312"/>
                <w:color w:val="000000"/>
                <w:kern w:val="0"/>
                <w:szCs w:val="21"/>
              </w:rPr>
            </w:pPr>
            <w:r>
              <w:rPr>
                <w:rFonts w:hint="eastAsia" w:eastAsia="仿宋_GB2312"/>
                <w:color w:val="000000"/>
                <w:kern w:val="0"/>
                <w:sz w:val="20"/>
                <w:szCs w:val="20"/>
              </w:rPr>
              <w:t>通过对袁铸仁烈士文化广场进行提质改造，结合益阳红色文化，以较高水准建设，以地域人文为特色，致力建设一个风格鲜明的红色文化地标。</w:t>
            </w:r>
            <w:r>
              <w:rPr>
                <w:rFonts w:eastAsia="仿宋_GB2312"/>
                <w:color w:val="000000"/>
                <w:kern w:val="0"/>
                <w:sz w:val="20"/>
                <w:szCs w:val="20"/>
              </w:rPr>
              <w:t>　</w:t>
            </w:r>
          </w:p>
        </w:tc>
        <w:tc>
          <w:tcPr>
            <w:tcW w:w="4907" w:type="dxa"/>
            <w:gridSpan w:val="4"/>
            <w:tcBorders>
              <w:top w:val="single" w:color="auto" w:sz="4" w:space="0"/>
              <w:left w:val="nil"/>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r>
              <w:rPr>
                <w:rFonts w:hint="eastAsia" w:eastAsia="仿宋_GB2312"/>
                <w:color w:val="000000"/>
                <w:kern w:val="0"/>
                <w:sz w:val="20"/>
                <w:szCs w:val="20"/>
              </w:rPr>
              <w:t>按计划将袁铸仁烈士文化广场高水准建设成一个红色教育基地，圆满完成计划目标。</w:t>
            </w: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restart"/>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绩效指标</w:t>
            </w:r>
          </w:p>
        </w:tc>
        <w:tc>
          <w:tcPr>
            <w:tcW w:w="8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一级指标</w:t>
            </w: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二级指标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三级指标</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年度指标值</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全年完成值</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未完成原因和改造措施</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restart"/>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产出指标</w:t>
            </w: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数量指标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160" w:lineRule="exact"/>
              <w:jc w:val="center"/>
              <w:rPr>
                <w:rFonts w:eastAsia="仿宋_GB2312"/>
                <w:color w:val="000000"/>
                <w:kern w:val="0"/>
                <w:szCs w:val="21"/>
              </w:rPr>
            </w:pPr>
            <w:r>
              <w:rPr>
                <w:rFonts w:hint="eastAsia" w:eastAsia="仿宋_GB2312"/>
                <w:color w:val="000000"/>
                <w:kern w:val="0"/>
                <w:sz w:val="13"/>
                <w:szCs w:val="13"/>
              </w:rPr>
              <w:t>道路150平方米、广场地砖1328.2平方米、栏杆86米、砖砌体59米、路缘石180米、长廊28米、宣誓牌1座、树池3个、石凳1个、清表1478平方米、种植土47立方米、旧墙拆除5立方米。</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按要求完成</w:t>
            </w:r>
            <w:r>
              <w:rPr>
                <w:rFonts w:eastAsia="仿宋_GB2312"/>
                <w:color w:val="000000"/>
                <w:w w:val="9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按要求完成</w:t>
            </w:r>
            <w:r>
              <w:rPr>
                <w:rFonts w:eastAsia="仿宋_GB2312"/>
                <w:color w:val="000000"/>
                <w:w w:val="9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质量指标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工程设计、施工、验收符合规范要求</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时效指标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2022年6月完工</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成本指标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工程预算投资100万元</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100万元</w:t>
            </w:r>
            <w:r>
              <w:rPr>
                <w:rFonts w:eastAsia="仿宋_GB2312"/>
                <w:color w:val="000000"/>
                <w:w w:val="9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120万元</w:t>
            </w:r>
            <w:r>
              <w:rPr>
                <w:rFonts w:eastAsia="仿宋_GB2312"/>
                <w:color w:val="000000"/>
                <w:w w:val="9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eastAsia="仿宋_GB2312"/>
                <w:color w:val="000000"/>
                <w:w w:val="9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eastAsia="仿宋_GB2312"/>
                <w:color w:val="000000"/>
                <w:w w:val="9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restart"/>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效益指标</w:t>
            </w: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经济效益指标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红色旅游带动当地经济发展</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社会效益指标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成为当地红色教育基地</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生态效益指标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促进地区生态和谐发展</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可持续影响指标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弘扬烈士精神，加快当地红色旅游产业发展</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w w:val="90"/>
                <w:kern w:val="0"/>
                <w:szCs w:val="21"/>
              </w:rPr>
            </w:pPr>
            <w:r>
              <w:rPr>
                <w:rFonts w:hint="eastAsia" w:eastAsia="仿宋_GB2312"/>
                <w:color w:val="000000"/>
                <w:w w:val="90"/>
                <w:kern w:val="0"/>
                <w:szCs w:val="21"/>
              </w:rPr>
              <w:t>符合要求</w:t>
            </w:r>
            <w:r>
              <w:rPr>
                <w:rFonts w:eastAsia="仿宋_GB2312"/>
                <w:color w:val="000000"/>
                <w:w w:val="9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restart"/>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满意度指标</w:t>
            </w: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服务对象满意度指标</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满意度达90%</w:t>
            </w: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100%</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886" w:type="dxa"/>
            <w:vMerge w:val="continue"/>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w:t>
            </w:r>
          </w:p>
        </w:tc>
        <w:tc>
          <w:tcPr>
            <w:tcW w:w="2517"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186"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jc w:val="center"/>
        </w:trPr>
        <w:tc>
          <w:tcPr>
            <w:tcW w:w="667" w:type="dxa"/>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szCs w:val="21"/>
              </w:rPr>
            </w:pPr>
            <w:r>
              <w:rPr>
                <w:rFonts w:eastAsia="仿宋_GB2312"/>
                <w:color w:val="000000"/>
                <w:kern w:val="0"/>
                <w:szCs w:val="21"/>
              </w:rPr>
              <w:t>说明</w:t>
            </w:r>
          </w:p>
        </w:tc>
        <w:tc>
          <w:tcPr>
            <w:tcW w:w="9240" w:type="dxa"/>
            <w:gridSpan w:val="7"/>
            <w:tcBorders>
              <w:top w:val="single" w:color="auto" w:sz="4" w:space="0"/>
              <w:left w:val="nil"/>
              <w:bottom w:val="single" w:color="auto" w:sz="4" w:space="0"/>
              <w:right w:val="single" w:color="auto" w:sz="4" w:space="0"/>
            </w:tcBorders>
            <w:noWrap w:val="0"/>
            <w:vAlign w:val="center"/>
          </w:tcPr>
          <w:p>
            <w:pPr>
              <w:widowControl/>
              <w:spacing w:line="260" w:lineRule="exact"/>
              <w:jc w:val="left"/>
              <w:rPr>
                <w:rFonts w:eastAsia="仿宋_GB2312"/>
                <w:color w:val="000000"/>
                <w:kern w:val="0"/>
                <w:szCs w:val="21"/>
              </w:rPr>
            </w:pPr>
            <w:r>
              <w:rPr>
                <w:rFonts w:eastAsia="仿宋_GB2312"/>
                <w:color w:val="000000"/>
                <w:kern w:val="0"/>
                <w:szCs w:val="21"/>
              </w:rPr>
              <w:t>请在此处简要说明中央巡视、各级审计和财政监督中发现的问题及其所涉及的金额，如没有请填无。</w:t>
            </w:r>
          </w:p>
        </w:tc>
      </w:tr>
    </w:tbl>
    <w:p>
      <w:pPr>
        <w:jc w:val="left"/>
        <w:rPr>
          <w:rFonts w:hint="eastAsia" w:ascii="宋体"/>
          <w:kern w:val="0"/>
          <w:sz w:val="18"/>
          <w:szCs w:val="24"/>
          <w:highlight w:val="white"/>
          <w:lang w:val="zh-CN"/>
        </w:rPr>
      </w:pPr>
    </w:p>
    <w:p>
      <w:pPr>
        <w:jc w:val="left"/>
        <w:rPr>
          <w:rFonts w:hint="eastAsia" w:ascii="宋体"/>
          <w:kern w:val="0"/>
          <w:sz w:val="18"/>
          <w:szCs w:val="24"/>
          <w:highlight w:val="white"/>
          <w:lang w:val="zh-CN"/>
        </w:rPr>
      </w:pPr>
    </w:p>
    <w:p>
      <w:pPr>
        <w:jc w:val="left"/>
        <w:rPr>
          <w:rFonts w:hint="eastAsia" w:ascii="宋体"/>
          <w:kern w:val="0"/>
          <w:sz w:val="18"/>
          <w:szCs w:val="24"/>
          <w:highlight w:val="white"/>
          <w:lang w:val="zh-CN"/>
        </w:rPr>
      </w:pPr>
    </w:p>
    <w:p>
      <w:pPr>
        <w:jc w:val="left"/>
        <w:rPr>
          <w:rFonts w:hint="eastAsia" w:ascii="宋体"/>
          <w:kern w:val="0"/>
          <w:sz w:val="18"/>
          <w:szCs w:val="24"/>
          <w:highlight w:val="white"/>
          <w:lang w:val="zh-CN"/>
        </w:rPr>
      </w:pPr>
    </w:p>
    <w:p>
      <w:pPr>
        <w:jc w:val="left"/>
        <w:rPr>
          <w:rFonts w:hint="eastAsia" w:ascii="宋体"/>
          <w:kern w:val="0"/>
          <w:sz w:val="18"/>
          <w:szCs w:val="24"/>
          <w:highlight w:val="white"/>
          <w:lang w:val="zh-CN"/>
        </w:rPr>
      </w:pPr>
    </w:p>
    <w:p>
      <w:pPr>
        <w:jc w:val="left"/>
        <w:rPr>
          <w:rFonts w:hint="eastAsia" w:ascii="宋体"/>
          <w:kern w:val="0"/>
          <w:sz w:val="18"/>
          <w:szCs w:val="24"/>
          <w:highlight w:val="white"/>
          <w:lang w:val="zh-CN"/>
        </w:rPr>
      </w:pPr>
    </w:p>
    <w:p>
      <w:pPr>
        <w:jc w:val="left"/>
        <w:rPr>
          <w:rFonts w:hint="eastAsia" w:ascii="宋体"/>
          <w:kern w:val="0"/>
          <w:sz w:val="18"/>
          <w:szCs w:val="24"/>
          <w:highlight w:val="white"/>
          <w:lang w:val="zh-CN"/>
        </w:rPr>
      </w:pPr>
    </w:p>
    <w:p>
      <w:pPr>
        <w:jc w:val="left"/>
        <w:rPr>
          <w:rFonts w:hint="eastAsia" w:ascii="宋体"/>
          <w:kern w:val="0"/>
          <w:sz w:val="18"/>
          <w:szCs w:val="24"/>
          <w:highlight w:val="white"/>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CCC998"/>
    <w:multiLevelType w:val="singleLevel"/>
    <w:tmpl w:val="60CCC9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007C1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jc w:val="both"/>
    </w:pPr>
    <w:rPr>
      <w:rFonts w:hint="eastAsia"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39"/>
    <w:rPr>
      <w:rFonts w:hint="eastAsia"/>
      <w:sz w:val="21"/>
      <w:szCs w:val="24"/>
    </w:rPr>
  </w:style>
  <w:style w:type="paragraph" w:styleId="5">
    <w:name w:val="List Paragraph"/>
    <w:basedOn w:val="1"/>
    <w:unhideWhenUsed/>
    <w:qFormat/>
    <w:uiPriority w:val="34"/>
    <w:pPr>
      <w:widowControl w:val="0"/>
      <w:ind w:firstLine="420" w:firstLineChars="200"/>
    </w:pPr>
    <w:rPr>
      <w:rFonts w:hint="eastAsia"/>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2023-06-17T13:51:28Z</dcterms:created>
  <dc:creator>admin-3</dc:creator>
  <cp:lastModifiedBy>admin-3</cp:lastModifiedBy>
  <dcterms:modified xsi:type="dcterms:W3CDTF">2023-06-17T13:51:57Z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CF9BF8E78CEC4E14ADB0B39A4A9892C7_12</vt:lpwstr>
  </property>
</Properties>
</file>