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color w:val="000000"/>
          <w:kern w:val="0"/>
          <w:sz w:val="36"/>
          <w:szCs w:val="36"/>
          <w:shd w:val="clear" w:color="auto" w:fill="FFFFFF"/>
          <w:lang w:val="en-US" w:eastAsia="zh-CN"/>
        </w:rPr>
      </w:pPr>
    </w:p>
    <w:p>
      <w:pPr>
        <w:jc w:val="center"/>
        <w:rPr>
          <w:rFonts w:hint="eastAsia" w:ascii="黑体" w:hAnsi="黑体" w:eastAsia="黑体"/>
          <w:sz w:val="32"/>
          <w:szCs w:val="32"/>
        </w:rPr>
      </w:pPr>
      <w:bookmarkStart w:id="0" w:name="_GoBack"/>
      <w:bookmarkEnd w:id="0"/>
      <w:r>
        <w:rPr>
          <w:rFonts w:hint="eastAsia" w:ascii="黑体" w:hAnsi="黑体" w:eastAsia="黑体" w:cs="黑体"/>
          <w:b w:val="0"/>
          <w:bCs/>
          <w:color w:val="000000"/>
          <w:kern w:val="0"/>
          <w:sz w:val="36"/>
          <w:szCs w:val="36"/>
          <w:shd w:val="clear" w:color="auto" w:fill="FFFFFF"/>
          <w:lang w:val="en-US" w:eastAsia="zh-CN"/>
        </w:rPr>
        <w:t>益阳市赫山区教育系统（汇总）</w:t>
      </w:r>
      <w:r>
        <w:rPr>
          <w:rFonts w:hint="eastAsia" w:ascii="黑体" w:hAnsi="黑体" w:eastAsia="黑体" w:cs="黑体"/>
          <w:b w:val="0"/>
          <w:bCs/>
          <w:color w:val="000000"/>
          <w:kern w:val="0"/>
          <w:sz w:val="36"/>
          <w:szCs w:val="36"/>
          <w:shd w:val="clear" w:color="auto" w:fill="FFFFFF"/>
        </w:rPr>
        <w:t>2021年</w:t>
      </w:r>
      <w:r>
        <w:rPr>
          <w:rFonts w:hint="eastAsia" w:ascii="黑体" w:hAnsi="黑体" w:eastAsia="黑体" w:cs="黑体"/>
          <w:b w:val="0"/>
          <w:bCs/>
          <w:color w:val="000000"/>
          <w:kern w:val="0"/>
          <w:sz w:val="36"/>
          <w:szCs w:val="36"/>
          <w:shd w:val="clear" w:color="auto" w:fill="FFFFFF"/>
          <w:lang w:val="en-US" w:eastAsia="zh-CN"/>
        </w:rPr>
        <w:t>度</w:t>
      </w:r>
      <w:r>
        <w:rPr>
          <w:rFonts w:hint="eastAsia" w:ascii="黑体" w:hAnsi="黑体" w:eastAsia="黑体" w:cs="黑体"/>
          <w:color w:val="000000" w:themeColor="text1"/>
          <w:sz w:val="36"/>
          <w:szCs w:val="36"/>
          <w14:textFill>
            <w14:solidFill>
              <w14:schemeClr w14:val="tx1"/>
            </w14:solidFill>
          </w14:textFill>
        </w:rPr>
        <w:t>义务教育薄弱环节改善与能力提升专项</w:t>
      </w:r>
      <w:r>
        <w:rPr>
          <w:rFonts w:hint="eastAsia" w:ascii="黑体" w:hAnsi="黑体" w:eastAsia="黑体" w:cs="黑体"/>
          <w:sz w:val="36"/>
          <w:szCs w:val="36"/>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sz w:val="30"/>
          <w:szCs w:val="30"/>
        </w:rPr>
        <w:t>（一）预算支出概况。</w:t>
      </w:r>
      <w:r>
        <w:rPr>
          <w:rFonts w:hint="eastAsia" w:ascii="仿宋" w:hAnsi="仿宋" w:eastAsia="仿宋" w:cs="仿宋"/>
          <w:color w:val="000000" w:themeColor="text1"/>
          <w:sz w:val="30"/>
          <w:szCs w:val="30"/>
          <w14:textFill>
            <w14:solidFill>
              <w14:schemeClr w14:val="tx1"/>
            </w14:solidFill>
          </w14:textFill>
        </w:rPr>
        <w:t>2021年，下达我区义务教育薄弱环节改善与能力提升专项项目资金1181万元，全部为中央专项资金。根据政策要求，将项目资金全部我区义务教育薄弱环节改善与能力提升专项项目。绩效目标：有效推进统筹城乡义务教育资源均衡配置，推动了义务教育事业持续健康发展。</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sz w:val="30"/>
          <w:szCs w:val="30"/>
        </w:rPr>
        <w:t>（二）预算资金使用管理情况。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项目资金管理严格按照省教育厅《湖南省综合发展专项资金管理办法》和《赫山区中小学专项资金管理暂行办法》进行专款专用，实行财政国库集中支付管理，严格资金拨付审批程序。一是区教育局按照项目资金的专项用途下达资金到项目学校。二是项目学校组织项目实施，根据项目实施进度及相关项目实施材料填报资金申请拨款表，经教育局基管站、计财股及分管项目和财务的领导、局长审核审批。三是核算中心按照审核后下达资金指标到项目学校。四是项目学校按照专项资金指标用款计划和学校支出审核程序审核后进行直接支付到施工单位。</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rPr>
        <w:t>（三）预算支出绩效目标完成度。</w:t>
      </w:r>
      <w:r>
        <w:rPr>
          <w:rFonts w:hint="eastAsia" w:ascii="仿宋" w:hAnsi="仿宋" w:eastAsia="仿宋" w:cs="仿宋"/>
          <w:b/>
          <w:color w:val="000000" w:themeColor="text1"/>
          <w:sz w:val="30"/>
          <w:szCs w:val="30"/>
          <w14:textFill>
            <w14:solidFill>
              <w14:schemeClr w14:val="tx1"/>
            </w14:solidFill>
          </w14:textFill>
        </w:rPr>
        <w:t>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w:t>
      </w:r>
      <w:r>
        <w:rPr>
          <w:rFonts w:hint="eastAsia" w:ascii="仿宋" w:hAnsi="仿宋" w:eastAsia="仿宋" w:cs="仿宋"/>
          <w:color w:val="000000" w:themeColor="text1"/>
          <w:sz w:val="30"/>
          <w:szCs w:val="30"/>
          <w14:textFill>
            <w14:solidFill>
              <w14:schemeClr w14:val="tx1"/>
            </w14:solidFill>
          </w14:textFill>
        </w:rPr>
        <w:t xml:space="preserve">质量指标。坚持实行项目法人制、招投标制、合同管理制、工程监理制和质量终身负责制。严把工程质量关，确保安全文明施工和工程质量。施工期间，严格做好环境保护、污染防治工作，并将履行环保工作职责作为检查和考核的指标之一。截止目前，新建或改造校舍质量达标率为100%。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2.</w:t>
      </w:r>
      <w:r>
        <w:rPr>
          <w:rFonts w:hint="eastAsia" w:ascii="仿宋" w:hAnsi="仿宋" w:eastAsia="仿宋" w:cs="仿宋"/>
          <w:color w:val="000000" w:themeColor="text1"/>
          <w:sz w:val="30"/>
          <w:szCs w:val="30"/>
          <w14:textFill>
            <w14:solidFill>
              <w14:schemeClr w14:val="tx1"/>
            </w14:solidFill>
          </w14:textFill>
        </w:rPr>
        <w:t>时效指标。当年度义务教育薄弱环节改善与能力提升资金全部拨付到位，落实到项目100%。</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3.</w:t>
      </w:r>
      <w:r>
        <w:rPr>
          <w:rFonts w:hint="eastAsia" w:ascii="仿宋" w:hAnsi="仿宋" w:eastAsia="仿宋" w:cs="仿宋"/>
          <w:color w:val="000000" w:themeColor="text1"/>
          <w:sz w:val="30"/>
          <w:szCs w:val="30"/>
          <w14:textFill>
            <w14:solidFill>
              <w14:schemeClr w14:val="tx1"/>
            </w14:solidFill>
          </w14:textFill>
        </w:rPr>
        <w:t>成本指标。项目建设过程确保所有施工过程使用的材质符合国家安全标准，在工程实施前，严格按照询价标准对所使用的材料进行询价，确保项目建设材料均按照市场价格采购，确保不出现虚报材料价格的情况。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二、绩效评价工作情况</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sz w:val="30"/>
          <w:szCs w:val="30"/>
        </w:rPr>
      </w:pPr>
      <w:r>
        <w:rPr>
          <w:rFonts w:hint="eastAsia" w:ascii="仿宋" w:hAnsi="仿宋" w:eastAsia="仿宋" w:cs="仿宋"/>
          <w:b/>
          <w:sz w:val="30"/>
          <w:szCs w:val="30"/>
        </w:rPr>
        <w:t>（一）绩效评价目的</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为进一步强化预算绩效管理理念，加强财政专项资金支出管理，切实提高财政资金使用效益，改善办学条件，提升教育质量，促进教育发展。</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sz w:val="30"/>
          <w:szCs w:val="30"/>
        </w:rPr>
      </w:pPr>
      <w:r>
        <w:rPr>
          <w:rFonts w:hint="eastAsia" w:ascii="仿宋" w:hAnsi="仿宋" w:eastAsia="仿宋" w:cs="仿宋"/>
          <w:b/>
          <w:sz w:val="30"/>
          <w:szCs w:val="30"/>
        </w:rPr>
        <w:t>（二）绩效评价原则、评价指标体系</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绩效评价原则主要是服务政府职能原则，规模适度原则，社会效益原则，合法性原则。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本次绩效评价采用的方法是比较法、公众评判法。</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2021年义务教育薄弱学校改造专项资金绩效评价指标体系按照逻辑分析法设计，包括项目决策、项目管理、项目绩效三部分内容，主要围绕资金使用、资源配置、项目管理等客观分析项目的产出和效果，体现从投入、过程到产出、效果和影响的绩效逻辑路径。内在逻辑的一致性也增强了评价的科学性、严谨性和可行性。</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指标体系包括指标评分明细表和基础表两部分，指标评分明细表是评价的依据，基础表是支持评价的基础数据，由被评价单位负责填报。指标体系为评分所用，需要基础表、问卷调查和访谈的支持。</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三、预算支出主要绩效及评价结论</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义务教育薄弱环节改善与能力提升专项项目资金1181万元，完成益阳市赫山区欧江岔镇中心学校、泉交河镇中心学校、岳家桥镇中心学校、衡龙桥镇中心学校、八字哨镇中心学校、衡龙桥镇莲花中学、兰溪镇新华学校、沧水铺芙蓉学校、紫竹学校、桃花仑小学、海棠学校、丁香小学等12所义务教育薄弱环节改善与能力提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sz w:val="30"/>
          <w:szCs w:val="30"/>
        </w:rPr>
      </w:pPr>
      <w:r>
        <w:rPr>
          <w:rFonts w:hint="eastAsia" w:ascii="仿宋" w:hAnsi="仿宋" w:eastAsia="仿宋" w:cs="仿宋"/>
          <w:b/>
          <w:sz w:val="30"/>
          <w:szCs w:val="30"/>
        </w:rPr>
        <w:t>（一）预算支出决策情况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义务教育薄弱学校改造专项资金安排到各项目学校，总计下达项目资金</w:t>
      </w:r>
      <w:r>
        <w:rPr>
          <w:rFonts w:hint="eastAsia" w:ascii="仿宋" w:hAnsi="仿宋" w:eastAsia="仿宋" w:cs="仿宋"/>
          <w:color w:val="000000" w:themeColor="text1"/>
          <w:sz w:val="30"/>
          <w:szCs w:val="30"/>
          <w14:textFill>
            <w14:solidFill>
              <w14:schemeClr w14:val="tx1"/>
            </w14:solidFill>
          </w14:textFill>
        </w:rPr>
        <w:t>1181万元</w:t>
      </w:r>
      <w:r>
        <w:rPr>
          <w:rFonts w:hint="eastAsia" w:ascii="仿宋" w:hAnsi="仿宋" w:eastAsia="仿宋" w:cs="仿宋"/>
          <w:sz w:val="30"/>
          <w:szCs w:val="30"/>
        </w:rPr>
        <w:t>,全部安排到位。</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sz w:val="30"/>
          <w:szCs w:val="30"/>
        </w:rPr>
      </w:pPr>
      <w:r>
        <w:rPr>
          <w:rFonts w:hint="eastAsia" w:ascii="仿宋" w:hAnsi="仿宋" w:eastAsia="仿宋" w:cs="仿宋"/>
          <w:b/>
          <w:sz w:val="30"/>
          <w:szCs w:val="30"/>
        </w:rPr>
        <w:t>（二）预算执行过程情况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以上项目资金严格按照省级规定的专项用途进行使用和安排。</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项目到校后，各项目均成立了以校长为组长、其他相关责任人为成员的项目实施领导小组，落实相关责任，并按指定的期限完成。</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sz w:val="30"/>
          <w:szCs w:val="30"/>
        </w:rPr>
      </w:pPr>
      <w:r>
        <w:rPr>
          <w:rFonts w:hint="eastAsia" w:ascii="仿宋" w:hAnsi="仿宋" w:eastAsia="仿宋" w:cs="仿宋"/>
          <w:b/>
          <w:sz w:val="30"/>
          <w:szCs w:val="30"/>
        </w:rPr>
        <w:t>（三）预算支出产出情况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2021年，我区义务教育薄弱学校改造专项资金项目主要为学校基建（维修）工程项目。按照项目资金预算管理的要求，严格按照工程项目的标准进行预算安排项目资金，严格执行工程项目财政预算评审和国有资产配置标准审批程序，对奖补资金的拨付实行先做后补的原则，严格控制项目的预算成本，确保项目资金的使用效益。</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sz w:val="30"/>
          <w:szCs w:val="30"/>
        </w:rPr>
      </w:pPr>
      <w:r>
        <w:rPr>
          <w:rFonts w:hint="eastAsia" w:ascii="仿宋" w:hAnsi="仿宋" w:eastAsia="仿宋" w:cs="仿宋"/>
          <w:b/>
          <w:sz w:val="30"/>
          <w:szCs w:val="30"/>
        </w:rPr>
        <w:t>（四）预算支出效益情况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通过项目学校的自评和现场评价，2021年我区义务教育薄弱学校改造专项资金项目实施正常，按实施进度要求，项目已经竣工并投入使用，项目完成质量达到预期目标。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通过对全部项目的工作成果认真分析对比，项目实施完全达到预期工作成果，实现预期工作目标，项目的实施取得了良好的经济效益和社会效益，进一步推动了我区的教育发展，改善了中小学校办学条件，提高了办学水平。</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bCs/>
          <w:sz w:val="30"/>
          <w:szCs w:val="30"/>
        </w:rPr>
      </w:pPr>
      <w:r>
        <w:rPr>
          <w:rFonts w:hint="eastAsia" w:ascii="仿宋" w:hAnsi="仿宋" w:eastAsia="仿宋" w:cs="仿宋"/>
          <w:b/>
          <w:bCs/>
          <w:sz w:val="30"/>
          <w:szCs w:val="30"/>
        </w:rPr>
        <w:t>（一）主要经验</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sz w:val="30"/>
          <w:szCs w:val="30"/>
        </w:rPr>
        <w:t>1.强化项目制度管理。严格</w:t>
      </w:r>
      <w:r>
        <w:rPr>
          <w:rFonts w:hint="eastAsia" w:ascii="仿宋" w:hAnsi="仿宋" w:eastAsia="仿宋" w:cs="仿宋"/>
          <w:sz w:val="30"/>
          <w:szCs w:val="30"/>
        </w:rPr>
        <w:t>项目资金审批程序，确保项目顺利推进。我区对教育专项资金使用管理、项目立项审批、项目基建管理、项目政府采购和招投标等环节和事项进行了明确的规定。强化教育经费在预算、分配、拨付、财务管理、审计等全过程的监督检查，不断提高教育经费的使用效益。</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sz w:val="30"/>
          <w:szCs w:val="30"/>
        </w:rPr>
        <w:t>2.强化项目统筹管理。实行局领导和局机关各股室负责对联系学校项目建设的规划</w:t>
      </w:r>
      <w:r>
        <w:rPr>
          <w:rFonts w:hint="eastAsia" w:ascii="仿宋" w:hAnsi="仿宋" w:eastAsia="仿宋" w:cs="仿宋"/>
          <w:sz w:val="30"/>
          <w:szCs w:val="30"/>
        </w:rPr>
        <w:t>、立项、图审、预算评审、招标、施工、验收、决算、施工安全等进行全过程监督指导。建立和完善学校基建工程目标责任体系，层层明确责任，形成一级抓一级、层层抓落实的良好局面。</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sz w:val="30"/>
          <w:szCs w:val="30"/>
        </w:rPr>
        <w:t>3.打造“阳光财务”。加大</w:t>
      </w:r>
      <w:r>
        <w:rPr>
          <w:rFonts w:hint="eastAsia" w:ascii="仿宋" w:hAnsi="仿宋" w:eastAsia="仿宋" w:cs="仿宋"/>
          <w:sz w:val="30"/>
          <w:szCs w:val="30"/>
        </w:rPr>
        <w:t>政策宣传，保证教育经费从分配、使用、管理到评估等各个环节在阳光下运行，促进教育经费的公开透明。</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sz w:val="30"/>
          <w:szCs w:val="30"/>
        </w:rPr>
      </w:pPr>
      <w:r>
        <w:rPr>
          <w:rFonts w:hint="eastAsia" w:ascii="仿宋" w:hAnsi="仿宋" w:eastAsia="仿宋" w:cs="仿宋"/>
          <w:b/>
          <w:sz w:val="30"/>
          <w:szCs w:val="30"/>
        </w:rPr>
        <w:t>（二）存在的问题</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项目报批程序复杂，实施时间跨度大，项目实施进度缓慢。</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六、有关建议</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义务教育学校基础设施设备实施薄弱，供需矛盾任然比较突出。标准化学校建设、城区化解大班额等项目，工程量大，资金需求量大，所建学校要达到标准化学校建设要求需要大量的资金投入，建议上级加大专项资金投入。</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七、其他需要说明的问题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无。</w:t>
      </w:r>
    </w:p>
    <w:p>
      <w:pPr>
        <w:ind w:firstLine="600" w:firstLineChars="200"/>
        <w:jc w:val="left"/>
        <w:rPr>
          <w:rFonts w:hint="eastAsia" w:ascii="仿宋" w:hAnsi="仿宋" w:eastAsia="仿宋" w:cs="仿宋"/>
          <w:sz w:val="30"/>
          <w:szCs w:val="30"/>
        </w:rPr>
        <w:sectPr>
          <w:footerReference r:id="rId3"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sz w:val="30"/>
          <w:szCs w:val="30"/>
          <w:lang w:val="en-US" w:eastAsia="zh-CN"/>
        </w:rPr>
        <w:t>附件：</w:t>
      </w:r>
      <w:r>
        <w:rPr>
          <w:rFonts w:hint="eastAsia" w:ascii="仿宋" w:hAnsi="仿宋" w:eastAsia="仿宋" w:cs="仿宋"/>
          <w:sz w:val="30"/>
          <w:szCs w:val="30"/>
        </w:rPr>
        <w:t>2021年度项目支出绩效自评指标计分表</w:t>
      </w:r>
    </w:p>
    <w:p>
      <w:pPr>
        <w:spacing w:after="156"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3"/>
        <w:tblW w:w="86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40"/>
        <w:gridCol w:w="772"/>
        <w:gridCol w:w="496"/>
        <w:gridCol w:w="2453"/>
        <w:gridCol w:w="3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40"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772"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496" w:type="dxa"/>
          </w:tcPr>
          <w:p>
            <w:pPr>
              <w:spacing w:line="240" w:lineRule="exact"/>
              <w:jc w:val="center"/>
              <w:rPr>
                <w:rFonts w:ascii="宋体"/>
                <w:b/>
                <w:bCs/>
              </w:rPr>
            </w:pPr>
            <w:r>
              <w:rPr>
                <w:rFonts w:hint="eastAsia" w:ascii="宋体" w:hAnsi="宋体" w:cs="宋体"/>
                <w:b/>
                <w:bCs/>
              </w:rPr>
              <w:t>自评分</w:t>
            </w:r>
          </w:p>
        </w:tc>
        <w:tc>
          <w:tcPr>
            <w:tcW w:w="245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3928"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3928"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40" w:type="dxa"/>
            <w:vMerge w:val="continue"/>
            <w:vAlign w:val="center"/>
          </w:tcPr>
          <w:p>
            <w:pPr>
              <w:spacing w:line="240" w:lineRule="exact"/>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9</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496" w:type="dxa"/>
          </w:tcPr>
          <w:p>
            <w:pPr>
              <w:spacing w:line="240" w:lineRule="exact"/>
              <w:ind w:left="105" w:leftChars="50" w:right="105" w:rightChars="50"/>
              <w:rPr>
                <w:rFonts w:ascii="宋体"/>
              </w:rPr>
            </w:pPr>
            <w:r>
              <w:rPr>
                <w:rFonts w:hint="eastAsia" w:ascii="宋体"/>
              </w:rPr>
              <w:t>9</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496"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40" w:type="dxa"/>
            <w:vAlign w:val="center"/>
          </w:tcPr>
          <w:p>
            <w:pPr>
              <w:spacing w:line="240" w:lineRule="exact"/>
              <w:rPr>
                <w:rFonts w:ascii="宋体"/>
              </w:rPr>
            </w:pPr>
          </w:p>
        </w:tc>
        <w:tc>
          <w:tcPr>
            <w:tcW w:w="772"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496" w:type="dxa"/>
          </w:tcPr>
          <w:p>
            <w:pPr>
              <w:spacing w:line="240" w:lineRule="exact"/>
              <w:ind w:left="105" w:leftChars="50" w:right="105" w:rightChars="50"/>
              <w:rPr>
                <w:rFonts w:ascii="宋体"/>
              </w:rPr>
            </w:pPr>
            <w:r>
              <w:rPr>
                <w:rFonts w:hint="eastAsia" w:ascii="宋体"/>
              </w:rPr>
              <w:t>98</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3928"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jc w:val="left"/>
        <w:rPr>
          <w:rFonts w:hint="eastAsia" w:ascii="仿宋" w:hAnsi="仿宋" w:eastAsia="仿宋" w:cs="仿宋"/>
          <w:sz w:val="30"/>
          <w:szCs w:val="30"/>
          <w:lang w:val="en-US" w:eastAsia="zh-CN"/>
        </w:r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08"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138A5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2023-06-27T03:19:27Z</dcterms:created>
  <dc:creator>admin-3</dc:creator>
  <cp:lastModifiedBy>admin-3</cp:lastModifiedBy>
  <dcterms:modified xsi:type="dcterms:W3CDTF">2023-06-27T03:19:57Z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E1AE15CF7AEB49199377AB3AE78F8661_12</vt:lpwstr>
  </property>
</Properties>
</file>