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益阳市赫山区2021年度国家基本药物制度</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专项资金绩效自评报告</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600" w:lineRule="exact"/>
        <w:ind w:right="0" w:firstLine="600" w:firstLineChars="200"/>
        <w:jc w:val="both"/>
        <w:textAlignment w:val="auto"/>
        <w:rPr>
          <w:rFonts w:hint="eastAsia" w:ascii="仿宋" w:hAnsi="仿宋" w:eastAsia="仿宋" w:cs="仿宋"/>
          <w:color w:val="000000"/>
          <w:sz w:val="30"/>
          <w:szCs w:val="30"/>
          <w:shd w:val="clear" w:color="auto" w:fill="FFFFFF"/>
        </w:rPr>
      </w:pP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600" w:lineRule="exact"/>
        <w:ind w:right="0" w:firstLine="600" w:firstLineChars="200"/>
        <w:jc w:val="both"/>
        <w:textAlignment w:val="auto"/>
        <w:rPr>
          <w:rFonts w:hint="eastAsia" w:ascii="仿宋" w:hAnsi="仿宋" w:eastAsia="仿宋" w:cs="仿宋"/>
          <w:b w:val="0"/>
          <w:bCs w:val="0"/>
          <w:sz w:val="30"/>
          <w:szCs w:val="30"/>
        </w:rPr>
      </w:pPr>
      <w:r>
        <w:rPr>
          <w:rFonts w:hint="eastAsia" w:ascii="仿宋" w:hAnsi="仿宋" w:eastAsia="仿宋" w:cs="仿宋"/>
          <w:b w:val="0"/>
          <w:bCs w:val="0"/>
          <w:color w:val="000000"/>
          <w:sz w:val="30"/>
          <w:szCs w:val="30"/>
          <w:shd w:val="clear" w:color="auto" w:fill="FFFFFF"/>
        </w:rPr>
        <w:t>为</w:t>
      </w:r>
      <w:r>
        <w:rPr>
          <w:rFonts w:hint="eastAsia" w:ascii="仿宋" w:hAnsi="仿宋" w:eastAsia="仿宋" w:cs="仿宋"/>
          <w:b w:val="0"/>
          <w:bCs w:val="0"/>
          <w:color w:val="000000"/>
          <w:sz w:val="30"/>
          <w:szCs w:val="30"/>
          <w:shd w:val="clear" w:color="auto" w:fill="FFFFFF"/>
          <w:lang w:eastAsia="zh-CN"/>
        </w:rPr>
        <w:t>了</w:t>
      </w:r>
      <w:r>
        <w:rPr>
          <w:rFonts w:hint="eastAsia" w:ascii="仿宋" w:hAnsi="仿宋" w:eastAsia="仿宋" w:cs="仿宋"/>
          <w:b w:val="0"/>
          <w:bCs w:val="0"/>
          <w:color w:val="000000"/>
          <w:sz w:val="30"/>
          <w:szCs w:val="30"/>
          <w:shd w:val="clear" w:color="auto" w:fill="FFFFFF"/>
        </w:rPr>
        <w:t>进一步加强财政资金支出项目绩效监管，规范财政资金运行，优化财政支出结构，提高资金使用效益，根据《</w:t>
      </w:r>
      <w:r>
        <w:rPr>
          <w:rFonts w:hint="eastAsia" w:ascii="仿宋" w:hAnsi="仿宋" w:eastAsia="仿宋" w:cs="仿宋"/>
          <w:b w:val="0"/>
          <w:bCs w:val="0"/>
          <w:color w:val="000000"/>
          <w:sz w:val="30"/>
          <w:szCs w:val="30"/>
          <w:shd w:val="clear" w:color="auto" w:fill="FFFFFF"/>
          <w:lang w:eastAsia="zh-CN"/>
        </w:rPr>
        <w:t>湖南省</w:t>
      </w:r>
      <w:r>
        <w:rPr>
          <w:rFonts w:hint="eastAsia" w:ascii="仿宋" w:hAnsi="仿宋" w:eastAsia="仿宋" w:cs="仿宋"/>
          <w:b w:val="0"/>
          <w:bCs w:val="0"/>
          <w:color w:val="000000"/>
          <w:sz w:val="30"/>
          <w:szCs w:val="30"/>
          <w:shd w:val="clear" w:color="auto" w:fill="FFFFFF"/>
          <w:lang w:val="en-US" w:eastAsia="zh-CN"/>
        </w:rPr>
        <w:t>2021年度国家基本药物制度绩效评价方案</w:t>
      </w:r>
      <w:r>
        <w:rPr>
          <w:rFonts w:hint="eastAsia" w:ascii="仿宋" w:hAnsi="仿宋" w:eastAsia="仿宋" w:cs="仿宋"/>
          <w:b w:val="0"/>
          <w:bCs w:val="0"/>
          <w:color w:val="000000"/>
          <w:sz w:val="30"/>
          <w:szCs w:val="30"/>
          <w:shd w:val="clear" w:color="auto" w:fill="FFFFFF"/>
        </w:rPr>
        <w:t>》</w:t>
      </w:r>
      <w:r>
        <w:rPr>
          <w:rFonts w:hint="eastAsia" w:ascii="仿宋" w:hAnsi="仿宋" w:eastAsia="仿宋" w:cs="仿宋"/>
          <w:b w:val="0"/>
          <w:bCs w:val="0"/>
          <w:color w:val="000000"/>
          <w:sz w:val="30"/>
          <w:szCs w:val="30"/>
          <w:shd w:val="clear" w:color="auto" w:fill="FFFFFF"/>
          <w:lang w:eastAsia="zh-CN"/>
        </w:rPr>
        <w:t>（湘卫药政发[</w:t>
      </w:r>
      <w:r>
        <w:rPr>
          <w:rFonts w:hint="eastAsia" w:ascii="仿宋" w:hAnsi="仿宋" w:eastAsia="仿宋" w:cs="仿宋"/>
          <w:b w:val="0"/>
          <w:bCs w:val="0"/>
          <w:color w:val="000000"/>
          <w:sz w:val="30"/>
          <w:szCs w:val="30"/>
          <w:shd w:val="clear" w:color="auto" w:fill="FFFFFF"/>
          <w:lang w:val="en-US" w:eastAsia="zh-CN"/>
        </w:rPr>
        <w:t>2021]6号</w:t>
      </w:r>
      <w:r>
        <w:rPr>
          <w:rFonts w:hint="eastAsia" w:ascii="仿宋" w:hAnsi="仿宋" w:eastAsia="仿宋" w:cs="仿宋"/>
          <w:b w:val="0"/>
          <w:bCs w:val="0"/>
          <w:color w:val="000000"/>
          <w:sz w:val="30"/>
          <w:szCs w:val="30"/>
          <w:shd w:val="clear" w:color="auto" w:fill="FFFFFF"/>
          <w:lang w:eastAsia="zh-CN"/>
        </w:rPr>
        <w:t>），赫山区卫生健康局</w:t>
      </w:r>
      <w:r>
        <w:rPr>
          <w:rFonts w:hint="eastAsia" w:ascii="仿宋" w:hAnsi="仿宋" w:eastAsia="仿宋" w:cs="仿宋"/>
          <w:b w:val="0"/>
          <w:bCs w:val="0"/>
          <w:color w:val="000000"/>
          <w:sz w:val="30"/>
          <w:szCs w:val="30"/>
          <w:shd w:val="clear" w:color="auto" w:fill="FFFFFF"/>
        </w:rPr>
        <w:t>本着公正、公平、公开的原则，积极筹措、安排部署，对</w:t>
      </w:r>
      <w:r>
        <w:rPr>
          <w:rFonts w:hint="eastAsia" w:ascii="仿宋" w:hAnsi="仿宋" w:eastAsia="仿宋" w:cs="仿宋"/>
          <w:b w:val="0"/>
          <w:bCs w:val="0"/>
          <w:color w:val="000000"/>
          <w:sz w:val="30"/>
          <w:szCs w:val="30"/>
          <w:shd w:val="clear" w:color="auto" w:fill="FFFFFF"/>
          <w:lang w:eastAsia="zh-CN"/>
        </w:rPr>
        <w:t>赫山区卫健系统</w:t>
      </w:r>
      <w:r>
        <w:rPr>
          <w:rFonts w:hint="eastAsia" w:ascii="仿宋" w:hAnsi="仿宋" w:eastAsia="仿宋" w:cs="仿宋"/>
          <w:b w:val="0"/>
          <w:bCs w:val="0"/>
          <w:color w:val="000000"/>
          <w:sz w:val="30"/>
          <w:szCs w:val="30"/>
          <w:shd w:val="clear" w:color="auto" w:fill="FFFFFF"/>
        </w:rPr>
        <w:t>20</w:t>
      </w:r>
      <w:r>
        <w:rPr>
          <w:rFonts w:hint="eastAsia" w:ascii="仿宋" w:hAnsi="仿宋" w:eastAsia="仿宋" w:cs="仿宋"/>
          <w:b w:val="0"/>
          <w:bCs w:val="0"/>
          <w:color w:val="000000"/>
          <w:sz w:val="30"/>
          <w:szCs w:val="30"/>
          <w:shd w:val="clear" w:color="auto" w:fill="FFFFFF"/>
          <w:lang w:val="en-US" w:eastAsia="zh-CN"/>
        </w:rPr>
        <w:t>21</w:t>
      </w:r>
      <w:r>
        <w:rPr>
          <w:rFonts w:hint="eastAsia" w:ascii="仿宋" w:hAnsi="仿宋" w:eastAsia="仿宋" w:cs="仿宋"/>
          <w:b w:val="0"/>
          <w:bCs w:val="0"/>
          <w:color w:val="000000"/>
          <w:sz w:val="30"/>
          <w:szCs w:val="30"/>
          <w:shd w:val="clear" w:color="auto" w:fill="FFFFFF"/>
        </w:rPr>
        <w:t>年度</w:t>
      </w:r>
      <w:r>
        <w:rPr>
          <w:rFonts w:hint="eastAsia" w:ascii="仿宋" w:hAnsi="仿宋" w:eastAsia="仿宋" w:cs="仿宋"/>
          <w:b w:val="0"/>
          <w:bCs w:val="0"/>
          <w:color w:val="000000"/>
          <w:sz w:val="30"/>
          <w:szCs w:val="30"/>
          <w:shd w:val="clear" w:color="auto" w:fill="FFFFFF"/>
          <w:lang w:eastAsia="zh-CN"/>
        </w:rPr>
        <w:t>国家</w:t>
      </w:r>
      <w:r>
        <w:rPr>
          <w:rFonts w:hint="eastAsia" w:ascii="仿宋" w:hAnsi="仿宋" w:eastAsia="仿宋" w:cs="仿宋"/>
          <w:b w:val="0"/>
          <w:bCs w:val="0"/>
          <w:color w:val="000000"/>
          <w:sz w:val="30"/>
          <w:szCs w:val="30"/>
          <w:shd w:val="clear" w:color="auto" w:fill="FFFFFF"/>
        </w:rPr>
        <w:t>基本药物</w:t>
      </w:r>
      <w:r>
        <w:rPr>
          <w:rFonts w:hint="eastAsia" w:ascii="仿宋" w:hAnsi="仿宋" w:eastAsia="仿宋" w:cs="仿宋"/>
          <w:b w:val="0"/>
          <w:bCs w:val="0"/>
          <w:color w:val="000000"/>
          <w:sz w:val="30"/>
          <w:szCs w:val="30"/>
          <w:shd w:val="clear" w:color="auto" w:fill="FFFFFF"/>
          <w:lang w:eastAsia="zh-CN"/>
        </w:rPr>
        <w:t>制度专项资金</w:t>
      </w:r>
      <w:r>
        <w:rPr>
          <w:rFonts w:hint="eastAsia" w:ascii="仿宋" w:hAnsi="仿宋" w:eastAsia="仿宋" w:cs="仿宋"/>
          <w:b w:val="0"/>
          <w:bCs w:val="0"/>
          <w:color w:val="000000"/>
          <w:sz w:val="30"/>
          <w:szCs w:val="30"/>
          <w:shd w:val="clear" w:color="auto" w:fill="FFFFFF"/>
        </w:rPr>
        <w:t>项目进行绩效评价，现将有关情况报告如下：</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黑体" w:hAnsi="黑体" w:eastAsia="黑体" w:cs="黑体"/>
          <w:b w:val="0"/>
          <w:bCs w:val="0"/>
          <w:sz w:val="30"/>
          <w:szCs w:val="30"/>
        </w:rPr>
      </w:pPr>
      <w:r>
        <w:rPr>
          <w:rFonts w:hint="eastAsia" w:ascii="黑体" w:hAnsi="黑体" w:eastAsia="黑体" w:cs="黑体"/>
          <w:b w:val="0"/>
          <w:bCs w:val="0"/>
          <w:color w:val="333333"/>
          <w:sz w:val="30"/>
          <w:szCs w:val="30"/>
        </w:rPr>
        <w:t xml:space="preserve">一、项目基本情况 </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02" w:firstLineChars="200"/>
        <w:jc w:val="both"/>
        <w:textAlignment w:val="auto"/>
        <w:rPr>
          <w:rFonts w:hint="eastAsia" w:ascii="仿宋" w:hAnsi="仿宋" w:eastAsia="仿宋" w:cs="仿宋"/>
          <w:b/>
          <w:bCs/>
          <w:color w:val="333333"/>
          <w:sz w:val="30"/>
          <w:szCs w:val="30"/>
          <w:lang w:eastAsia="zh-CN"/>
        </w:rPr>
      </w:pPr>
      <w:r>
        <w:rPr>
          <w:rFonts w:hint="eastAsia" w:ascii="仿宋" w:hAnsi="仿宋" w:eastAsia="仿宋" w:cs="仿宋"/>
          <w:b/>
          <w:bCs/>
          <w:color w:val="333333"/>
          <w:sz w:val="30"/>
          <w:szCs w:val="30"/>
        </w:rPr>
        <w:t>（一）项目概</w:t>
      </w:r>
      <w:r>
        <w:rPr>
          <w:rFonts w:hint="eastAsia" w:ascii="仿宋" w:hAnsi="仿宋" w:eastAsia="仿宋" w:cs="仿宋"/>
          <w:b/>
          <w:bCs/>
          <w:color w:val="333333"/>
          <w:sz w:val="30"/>
          <w:szCs w:val="30"/>
          <w:lang w:eastAsia="zh-CN"/>
        </w:rPr>
        <w:t>况</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 w:hAnsi="仿宋" w:eastAsia="仿宋" w:cs="仿宋"/>
          <w:b w:val="0"/>
          <w:bCs w:val="0"/>
          <w:color w:val="333333"/>
          <w:sz w:val="30"/>
          <w:szCs w:val="30"/>
          <w:lang w:val="en-US" w:eastAsia="zh-CN"/>
        </w:rPr>
      </w:pPr>
      <w:r>
        <w:rPr>
          <w:rFonts w:hint="eastAsia" w:ascii="仿宋" w:hAnsi="仿宋" w:eastAsia="仿宋" w:cs="仿宋"/>
          <w:b w:val="0"/>
          <w:bCs w:val="0"/>
          <w:color w:val="333333"/>
          <w:sz w:val="30"/>
          <w:szCs w:val="30"/>
          <w:lang w:val="en-US" w:eastAsia="zh-CN"/>
        </w:rPr>
        <w:t>赫山区卫生健康局下辖12个乡镇卫生院，5个街道社区卫生服务中心，行政村卫生室170个，全部实施国家基本药物制度。药品实行零利率销售。</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02" w:firstLineChars="200"/>
        <w:jc w:val="both"/>
        <w:textAlignment w:val="auto"/>
        <w:rPr>
          <w:rFonts w:hint="eastAsia" w:ascii="仿宋" w:hAnsi="仿宋" w:eastAsia="仿宋" w:cs="仿宋"/>
          <w:b w:val="0"/>
          <w:bCs w:val="0"/>
          <w:sz w:val="30"/>
          <w:szCs w:val="30"/>
        </w:rPr>
      </w:pPr>
      <w:r>
        <w:rPr>
          <w:rFonts w:hint="eastAsia" w:ascii="仿宋" w:hAnsi="仿宋" w:eastAsia="仿宋" w:cs="仿宋"/>
          <w:b/>
          <w:bCs/>
          <w:color w:val="333333"/>
          <w:sz w:val="30"/>
          <w:szCs w:val="30"/>
        </w:rPr>
        <w:t>（二）项目的总体目标</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 w:hAnsi="仿宋" w:eastAsia="仿宋" w:cs="仿宋"/>
          <w:b w:val="0"/>
          <w:bCs w:val="0"/>
          <w:sz w:val="30"/>
          <w:szCs w:val="30"/>
        </w:rPr>
      </w:pPr>
      <w:r>
        <w:rPr>
          <w:rFonts w:hint="eastAsia" w:ascii="仿宋" w:hAnsi="仿宋" w:eastAsia="仿宋" w:cs="仿宋"/>
          <w:b w:val="0"/>
          <w:bCs w:val="0"/>
          <w:color w:val="333333"/>
          <w:sz w:val="30"/>
          <w:szCs w:val="30"/>
        </w:rPr>
        <w:t>实施基本药物制度专项资金绩效评价的目的主要是了解我</w:t>
      </w:r>
      <w:r>
        <w:rPr>
          <w:rFonts w:hint="eastAsia" w:ascii="仿宋" w:hAnsi="仿宋" w:eastAsia="仿宋" w:cs="仿宋"/>
          <w:b w:val="0"/>
          <w:bCs w:val="0"/>
          <w:color w:val="333333"/>
          <w:sz w:val="30"/>
          <w:szCs w:val="30"/>
          <w:lang w:eastAsia="zh-CN"/>
        </w:rPr>
        <w:t>区</w:t>
      </w:r>
      <w:r>
        <w:rPr>
          <w:rFonts w:hint="eastAsia" w:ascii="仿宋" w:hAnsi="仿宋" w:eastAsia="仿宋" w:cs="仿宋"/>
          <w:b w:val="0"/>
          <w:bCs w:val="0"/>
          <w:color w:val="333333"/>
          <w:sz w:val="30"/>
          <w:szCs w:val="30"/>
        </w:rPr>
        <w:t>实施国家基本药物制度专项资金使用情况和取得的效果，总结实施国家基本药物制度项目管理经验，发现项目实施过程中存在的问题，进一步加强和规范项目资金管理，在保证国家基本药物制度规范实施的前提下节约成本，指导预算编制和申报绩效目标，为优化财政支出结构提供决策参考和依据。</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 w:hAnsi="仿宋" w:eastAsia="仿宋" w:cs="仿宋"/>
          <w:b w:val="0"/>
          <w:bCs w:val="0"/>
          <w:sz w:val="30"/>
          <w:szCs w:val="30"/>
        </w:rPr>
      </w:pPr>
      <w:r>
        <w:rPr>
          <w:rFonts w:hint="eastAsia" w:ascii="仿宋" w:hAnsi="仿宋" w:eastAsia="仿宋" w:cs="仿宋"/>
          <w:b w:val="0"/>
          <w:bCs w:val="0"/>
          <w:color w:val="333333"/>
          <w:sz w:val="30"/>
          <w:szCs w:val="30"/>
        </w:rPr>
        <w:t>项目目标为，到202</w:t>
      </w:r>
      <w:r>
        <w:rPr>
          <w:rFonts w:hint="eastAsia" w:ascii="仿宋" w:hAnsi="仿宋" w:eastAsia="仿宋" w:cs="仿宋"/>
          <w:b w:val="0"/>
          <w:bCs w:val="0"/>
          <w:color w:val="333333"/>
          <w:sz w:val="30"/>
          <w:szCs w:val="30"/>
          <w:lang w:val="en-US" w:eastAsia="zh-CN"/>
        </w:rPr>
        <w:t>2</w:t>
      </w:r>
      <w:r>
        <w:rPr>
          <w:rFonts w:hint="eastAsia" w:ascii="仿宋" w:hAnsi="仿宋" w:eastAsia="仿宋" w:cs="仿宋"/>
          <w:b w:val="0"/>
          <w:bCs w:val="0"/>
          <w:color w:val="333333"/>
          <w:sz w:val="30"/>
          <w:szCs w:val="30"/>
        </w:rPr>
        <w:t>年，全面</w:t>
      </w:r>
      <w:r>
        <w:rPr>
          <w:rFonts w:hint="eastAsia" w:ascii="仿宋" w:hAnsi="仿宋" w:eastAsia="仿宋" w:cs="仿宋"/>
          <w:b w:val="0"/>
          <w:bCs w:val="0"/>
          <w:color w:val="333333"/>
          <w:sz w:val="30"/>
          <w:szCs w:val="30"/>
          <w:lang w:eastAsia="zh-CN"/>
        </w:rPr>
        <w:t>巩固</w:t>
      </w:r>
      <w:r>
        <w:rPr>
          <w:rFonts w:hint="eastAsia" w:ascii="仿宋" w:hAnsi="仿宋" w:eastAsia="仿宋" w:cs="仿宋"/>
          <w:b w:val="0"/>
          <w:bCs w:val="0"/>
          <w:color w:val="333333"/>
          <w:sz w:val="30"/>
          <w:szCs w:val="30"/>
        </w:rPr>
        <w:t>实施规范的、覆盖城乡的国家基本药物制度</w:t>
      </w:r>
      <w:r>
        <w:rPr>
          <w:rFonts w:hint="eastAsia" w:ascii="仿宋" w:hAnsi="仿宋" w:eastAsia="仿宋" w:cs="仿宋"/>
          <w:b w:val="0"/>
          <w:bCs w:val="0"/>
          <w:color w:val="333333"/>
          <w:sz w:val="30"/>
          <w:szCs w:val="30"/>
          <w:lang w:eastAsia="zh-CN"/>
        </w:rPr>
        <w:t>成果</w:t>
      </w:r>
      <w:r>
        <w:rPr>
          <w:rFonts w:hint="eastAsia" w:ascii="仿宋" w:hAnsi="仿宋" w:eastAsia="仿宋" w:cs="仿宋"/>
          <w:b w:val="0"/>
          <w:bCs w:val="0"/>
          <w:color w:val="333333"/>
          <w:sz w:val="30"/>
          <w:szCs w:val="30"/>
        </w:rPr>
        <w:t>，</w:t>
      </w:r>
      <w:r>
        <w:rPr>
          <w:rFonts w:hint="eastAsia" w:ascii="仿宋" w:hAnsi="仿宋" w:eastAsia="仿宋" w:cs="仿宋"/>
          <w:b w:val="0"/>
          <w:bCs w:val="0"/>
          <w:color w:val="333333"/>
          <w:sz w:val="30"/>
          <w:szCs w:val="30"/>
          <w:lang w:eastAsia="zh-CN"/>
        </w:rPr>
        <w:t>二级医院和基层医疗机构的基药使用占比和使用品规占比将分别达到</w:t>
      </w:r>
      <w:r>
        <w:rPr>
          <w:rFonts w:hint="eastAsia" w:ascii="仿宋" w:hAnsi="仿宋" w:eastAsia="仿宋" w:cs="仿宋"/>
          <w:b w:val="0"/>
          <w:bCs w:val="0"/>
          <w:color w:val="333333"/>
          <w:sz w:val="30"/>
          <w:szCs w:val="30"/>
          <w:lang w:val="en-US" w:eastAsia="zh-CN"/>
        </w:rPr>
        <w:t>50%、80%。</w:t>
      </w:r>
      <w:r>
        <w:rPr>
          <w:rFonts w:hint="eastAsia" w:ascii="仿宋" w:hAnsi="仿宋" w:eastAsia="仿宋" w:cs="仿宋"/>
          <w:b w:val="0"/>
          <w:bCs w:val="0"/>
          <w:color w:val="333333"/>
          <w:sz w:val="30"/>
          <w:szCs w:val="30"/>
        </w:rPr>
        <w:t>切将工作重心转移到技术水平和服务质量上，更加注重公共卫生服务，真正体现基层医疗卫生机构公益性。减少群众用药负担，缓解“看病贵”问题，满足大多数人口的需求</w:t>
      </w:r>
      <w:r>
        <w:rPr>
          <w:rFonts w:hint="eastAsia" w:ascii="仿宋" w:hAnsi="仿宋" w:eastAsia="仿宋" w:cs="仿宋"/>
          <w:b w:val="0"/>
          <w:bCs w:val="0"/>
          <w:color w:val="333333"/>
          <w:sz w:val="30"/>
          <w:szCs w:val="30"/>
          <w:lang w:eastAsia="zh-CN"/>
        </w:rPr>
        <w:t>。同时，区药品监测与预警中心全面做好全区的药品监测预警工作，确保药品的短缺供应。提</w:t>
      </w:r>
      <w:r>
        <w:rPr>
          <w:rFonts w:hint="eastAsia" w:ascii="仿宋" w:hAnsi="仿宋" w:eastAsia="仿宋" w:cs="仿宋"/>
          <w:b w:val="0"/>
          <w:bCs w:val="0"/>
          <w:color w:val="333333"/>
          <w:sz w:val="30"/>
          <w:szCs w:val="30"/>
        </w:rPr>
        <w:t>高基本药物的可及性，让群众得到真正的实惠。规范药物使用，确保药物安全有效，在提高临床用药的性价比和临床给药率的同时，逐步规范医务人员的开药行为，遏制过度治疗和抗生素滥用等问题，进一步引导群众形成合理科学的用药习惯，从而提高群众健康素质。</w:t>
      </w:r>
    </w:p>
    <w:p>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right="0" w:rightChars="0" w:firstLine="600" w:firstLineChars="200"/>
        <w:textAlignment w:val="auto"/>
        <w:rPr>
          <w:rFonts w:hint="eastAsia" w:ascii="黑体" w:hAnsi="黑体" w:eastAsia="黑体" w:cs="黑体"/>
          <w:b w:val="0"/>
          <w:bCs w:val="0"/>
          <w:color w:val="333333"/>
          <w:sz w:val="30"/>
          <w:szCs w:val="30"/>
        </w:rPr>
      </w:pPr>
      <w:r>
        <w:rPr>
          <w:rFonts w:hint="eastAsia" w:ascii="黑体" w:hAnsi="黑体" w:eastAsia="黑体" w:cs="黑体"/>
          <w:b w:val="0"/>
          <w:bCs w:val="0"/>
          <w:color w:val="333333"/>
          <w:sz w:val="30"/>
          <w:szCs w:val="30"/>
          <w:lang w:eastAsia="zh-CN"/>
        </w:rPr>
        <w:t>二、项目</w:t>
      </w:r>
      <w:r>
        <w:rPr>
          <w:rFonts w:hint="eastAsia" w:ascii="黑体" w:hAnsi="黑体" w:eastAsia="黑体" w:cs="黑体"/>
          <w:b w:val="0"/>
          <w:bCs w:val="0"/>
          <w:color w:val="333333"/>
          <w:sz w:val="30"/>
          <w:szCs w:val="30"/>
        </w:rPr>
        <w:t>实施情况</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 w:hAnsi="仿宋" w:eastAsia="仿宋" w:cs="仿宋"/>
          <w:b w:val="0"/>
          <w:bCs w:val="0"/>
          <w:color w:val="333333"/>
          <w:sz w:val="30"/>
          <w:szCs w:val="30"/>
          <w:lang w:val="en-US" w:eastAsia="zh-CN"/>
        </w:rPr>
      </w:pPr>
      <w:r>
        <w:rPr>
          <w:rFonts w:hint="eastAsia" w:ascii="仿宋" w:hAnsi="仿宋" w:eastAsia="仿宋" w:cs="仿宋"/>
          <w:b w:val="0"/>
          <w:bCs w:val="0"/>
          <w:color w:val="333333"/>
          <w:sz w:val="30"/>
          <w:szCs w:val="30"/>
          <w:lang w:val="en-US" w:eastAsia="zh-CN"/>
        </w:rPr>
        <w:t>2021年,赫山区实施国家基本药物制度中央及省级拨付基层医院补助资金527.2万元，补助村卫生室246.05万元。市级补助资金22.02万元，本级配套资金1200万元，基层医院基药补助资金共计1749.22万元、村卫生室基药补助共计246.05万元，已全部拨付到位。未发现资金挤占挪用情况，基本达到预定目标。各项支出符合国家有关财经法规及财务管理制度的要求。</w:t>
      </w:r>
    </w:p>
    <w:p>
      <w:pPr>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b w:val="0"/>
          <w:bCs w:val="0"/>
          <w:sz w:val="30"/>
          <w:szCs w:val="30"/>
          <w:lang w:eastAsia="zh-CN"/>
        </w:rPr>
      </w:pPr>
      <w:r>
        <w:rPr>
          <w:rFonts w:hint="eastAsia" w:ascii="黑体" w:hAnsi="黑体" w:eastAsia="黑体" w:cs="黑体"/>
          <w:b w:val="0"/>
          <w:bCs w:val="0"/>
          <w:sz w:val="30"/>
          <w:szCs w:val="30"/>
          <w:lang w:eastAsia="zh-CN"/>
        </w:rPr>
        <w:t>三、项目管理情况及绩效自评结论</w:t>
      </w:r>
    </w:p>
    <w:p>
      <w:pPr>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rPr>
        <w:t>一是健全机制，</w:t>
      </w:r>
      <w:r>
        <w:rPr>
          <w:rFonts w:hint="eastAsia" w:ascii="仿宋" w:hAnsi="仿宋" w:eastAsia="仿宋" w:cs="仿宋"/>
          <w:b w:val="0"/>
          <w:bCs w:val="0"/>
          <w:sz w:val="30"/>
          <w:szCs w:val="30"/>
          <w:lang w:eastAsia="zh-CN"/>
        </w:rPr>
        <w:t>完善基本药物制度管理领导体系，健全了基本药物制度管理制度</w:t>
      </w:r>
      <w:r>
        <w:rPr>
          <w:rFonts w:hint="eastAsia" w:ascii="仿宋" w:hAnsi="仿宋" w:eastAsia="仿宋" w:cs="仿宋"/>
          <w:b w:val="0"/>
          <w:bCs w:val="0"/>
          <w:sz w:val="30"/>
          <w:szCs w:val="30"/>
        </w:rPr>
        <w:t>。二是推行基本药物临床应用指南和基本药物处方集，确保临床首选和合理使用基本药物。组织</w:t>
      </w:r>
      <w:r>
        <w:rPr>
          <w:rFonts w:hint="eastAsia" w:ascii="仿宋" w:hAnsi="仿宋" w:eastAsia="仿宋" w:cs="仿宋"/>
          <w:b w:val="0"/>
          <w:bCs w:val="0"/>
          <w:sz w:val="30"/>
          <w:szCs w:val="30"/>
          <w:lang w:eastAsia="zh-CN"/>
        </w:rPr>
        <w:t>了</w:t>
      </w:r>
      <w:r>
        <w:rPr>
          <w:rFonts w:hint="eastAsia" w:ascii="仿宋" w:hAnsi="仿宋" w:eastAsia="仿宋" w:cs="仿宋"/>
          <w:b w:val="0"/>
          <w:bCs w:val="0"/>
          <w:sz w:val="30"/>
          <w:szCs w:val="30"/>
        </w:rPr>
        <w:t>基层医疗机构人员进行基本药物临床使用培训、</w:t>
      </w:r>
      <w:r>
        <w:rPr>
          <w:rFonts w:hint="eastAsia" w:ascii="仿宋" w:hAnsi="仿宋" w:eastAsia="仿宋" w:cs="仿宋"/>
          <w:b w:val="0"/>
          <w:bCs w:val="0"/>
          <w:sz w:val="30"/>
          <w:szCs w:val="30"/>
          <w:lang w:eastAsia="zh-CN"/>
        </w:rPr>
        <w:t>合理用药的培训，</w:t>
      </w:r>
      <w:r>
        <w:rPr>
          <w:rFonts w:hint="eastAsia" w:ascii="仿宋" w:hAnsi="仿宋" w:eastAsia="仿宋" w:cs="仿宋"/>
          <w:b w:val="0"/>
          <w:bCs w:val="0"/>
          <w:sz w:val="30"/>
          <w:szCs w:val="30"/>
        </w:rPr>
        <w:t>明确要求各基层医疗机构配备使用</w:t>
      </w:r>
      <w:r>
        <w:rPr>
          <w:rFonts w:hint="eastAsia" w:ascii="仿宋" w:hAnsi="仿宋" w:eastAsia="仿宋" w:cs="仿宋"/>
          <w:b w:val="0"/>
          <w:bCs w:val="0"/>
          <w:sz w:val="30"/>
          <w:szCs w:val="30"/>
          <w:lang w:eastAsia="zh-CN"/>
        </w:rPr>
        <w:t>基本药物</w:t>
      </w:r>
      <w:r>
        <w:rPr>
          <w:rFonts w:hint="eastAsia" w:ascii="仿宋" w:hAnsi="仿宋" w:eastAsia="仿宋" w:cs="仿宋"/>
          <w:b w:val="0"/>
          <w:bCs w:val="0"/>
          <w:sz w:val="30"/>
          <w:szCs w:val="30"/>
        </w:rPr>
        <w:t>严格按照《益阳市赫山区基层医疗卫生单位落实国家基本药物制度实施办法（20</w:t>
      </w:r>
      <w:r>
        <w:rPr>
          <w:rFonts w:hint="eastAsia" w:ascii="仿宋" w:hAnsi="仿宋" w:eastAsia="仿宋" w:cs="仿宋"/>
          <w:b w:val="0"/>
          <w:bCs w:val="0"/>
          <w:sz w:val="30"/>
          <w:szCs w:val="30"/>
          <w:lang w:val="en-US" w:eastAsia="zh-CN"/>
        </w:rPr>
        <w:t>20</w:t>
      </w:r>
      <w:r>
        <w:rPr>
          <w:rFonts w:hint="eastAsia" w:ascii="仿宋" w:hAnsi="仿宋" w:eastAsia="仿宋" w:cs="仿宋"/>
          <w:b w:val="0"/>
          <w:bCs w:val="0"/>
          <w:sz w:val="30"/>
          <w:szCs w:val="30"/>
        </w:rPr>
        <w:t>年修订版）》执行。基层医疗机构采购、配备、使用基本药物纳入目标任务进行考核。</w:t>
      </w:r>
      <w:r>
        <w:rPr>
          <w:rFonts w:hint="eastAsia" w:ascii="仿宋" w:hAnsi="仿宋" w:eastAsia="仿宋" w:cs="仿宋"/>
          <w:b w:val="0"/>
          <w:bCs w:val="0"/>
          <w:sz w:val="30"/>
          <w:szCs w:val="30"/>
          <w:lang w:eastAsia="zh-CN"/>
        </w:rPr>
        <w:t>三</w:t>
      </w:r>
      <w:r>
        <w:rPr>
          <w:rFonts w:hint="eastAsia" w:ascii="仿宋" w:hAnsi="仿宋" w:eastAsia="仿宋" w:cs="仿宋"/>
          <w:b w:val="0"/>
          <w:bCs w:val="0"/>
          <w:sz w:val="30"/>
          <w:szCs w:val="30"/>
        </w:rPr>
        <w:t>是定期或不定期对基层医疗机构</w:t>
      </w:r>
      <w:r>
        <w:rPr>
          <w:rFonts w:hint="eastAsia" w:ascii="仿宋" w:hAnsi="仿宋" w:eastAsia="仿宋" w:cs="仿宋"/>
          <w:b w:val="0"/>
          <w:bCs w:val="0"/>
          <w:sz w:val="30"/>
          <w:szCs w:val="30"/>
          <w:lang w:eastAsia="zh-CN"/>
        </w:rPr>
        <w:t>实施</w:t>
      </w:r>
      <w:r>
        <w:rPr>
          <w:rFonts w:hint="eastAsia" w:ascii="仿宋" w:hAnsi="仿宋" w:eastAsia="仿宋" w:cs="仿宋"/>
          <w:b w:val="0"/>
          <w:bCs w:val="0"/>
          <w:sz w:val="30"/>
          <w:szCs w:val="30"/>
        </w:rPr>
        <w:t>基本药物</w:t>
      </w:r>
      <w:r>
        <w:rPr>
          <w:rFonts w:hint="eastAsia" w:ascii="仿宋" w:hAnsi="仿宋" w:eastAsia="仿宋" w:cs="仿宋"/>
          <w:b w:val="0"/>
          <w:bCs w:val="0"/>
          <w:sz w:val="30"/>
          <w:szCs w:val="30"/>
          <w:lang w:eastAsia="zh-CN"/>
        </w:rPr>
        <w:t>制度</w:t>
      </w:r>
      <w:r>
        <w:rPr>
          <w:rFonts w:hint="eastAsia" w:ascii="仿宋" w:hAnsi="仿宋" w:eastAsia="仿宋" w:cs="仿宋"/>
          <w:b w:val="0"/>
          <w:bCs w:val="0"/>
          <w:sz w:val="30"/>
          <w:szCs w:val="30"/>
        </w:rPr>
        <w:t>进行</w:t>
      </w:r>
      <w:r>
        <w:rPr>
          <w:rFonts w:hint="eastAsia" w:ascii="仿宋" w:hAnsi="仿宋" w:eastAsia="仿宋" w:cs="仿宋"/>
          <w:b w:val="0"/>
          <w:bCs w:val="0"/>
          <w:sz w:val="30"/>
          <w:szCs w:val="30"/>
          <w:lang w:eastAsia="zh-CN"/>
        </w:rPr>
        <w:t>督</w:t>
      </w:r>
      <w:r>
        <w:rPr>
          <w:rFonts w:hint="eastAsia" w:ascii="仿宋" w:hAnsi="仿宋" w:eastAsia="仿宋" w:cs="仿宋"/>
          <w:b w:val="0"/>
          <w:bCs w:val="0"/>
          <w:sz w:val="30"/>
          <w:szCs w:val="30"/>
        </w:rPr>
        <w:t>查，</w:t>
      </w:r>
      <w:r>
        <w:rPr>
          <w:rFonts w:hint="eastAsia" w:ascii="仿宋" w:hAnsi="仿宋" w:eastAsia="仿宋" w:cs="仿宋"/>
          <w:b w:val="0"/>
          <w:bCs w:val="0"/>
          <w:sz w:val="30"/>
          <w:szCs w:val="30"/>
          <w:lang w:eastAsia="zh-CN"/>
        </w:rPr>
        <w:t>不定期进行考核，并将考核结果与补偿资金挂钩，严格按《益阳市赫山区行政村卫生室实施国家基本药物制度及经费补偿方案》执行，</w:t>
      </w:r>
      <w:r>
        <w:rPr>
          <w:rFonts w:hint="eastAsia" w:ascii="仿宋" w:hAnsi="仿宋" w:eastAsia="仿宋" w:cs="仿宋"/>
          <w:b w:val="0"/>
          <w:bCs w:val="0"/>
          <w:sz w:val="30"/>
          <w:szCs w:val="30"/>
        </w:rPr>
        <w:t>确保各基层医疗机构药品质量安全，价格均实行零差率销售。</w:t>
      </w:r>
      <w:r>
        <w:rPr>
          <w:rFonts w:hint="eastAsia" w:ascii="仿宋" w:hAnsi="仿宋" w:eastAsia="仿宋" w:cs="仿宋"/>
          <w:b w:val="0"/>
          <w:bCs w:val="0"/>
          <w:sz w:val="30"/>
          <w:szCs w:val="30"/>
          <w:lang w:eastAsia="zh-CN"/>
        </w:rPr>
        <w:t>四</w:t>
      </w:r>
      <w:r>
        <w:rPr>
          <w:rFonts w:hint="eastAsia" w:ascii="仿宋" w:hAnsi="仿宋" w:eastAsia="仿宋" w:cs="仿宋"/>
          <w:b w:val="0"/>
          <w:bCs w:val="0"/>
          <w:sz w:val="30"/>
          <w:szCs w:val="30"/>
        </w:rPr>
        <w:t>是</w:t>
      </w:r>
      <w:r>
        <w:rPr>
          <w:rFonts w:hint="eastAsia" w:ascii="仿宋" w:hAnsi="仿宋" w:eastAsia="仿宋" w:cs="仿宋"/>
          <w:b w:val="0"/>
          <w:bCs w:val="0"/>
          <w:sz w:val="30"/>
          <w:szCs w:val="30"/>
          <w:lang w:eastAsia="zh-CN"/>
        </w:rPr>
        <w:t>加强药品配送公司管理。对药品配送公司进行了实地考察和考核，签订配送协议和廉洁承诺书。</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firstLine="600" w:firstLineChars="200"/>
        <w:jc w:val="both"/>
        <w:textAlignment w:val="auto"/>
        <w:rPr>
          <w:rFonts w:hint="eastAsia" w:ascii="仿宋" w:hAnsi="仿宋" w:eastAsia="仿宋" w:cs="仿宋"/>
          <w:b w:val="0"/>
          <w:bCs w:val="0"/>
          <w:sz w:val="30"/>
          <w:szCs w:val="30"/>
          <w:lang w:eastAsia="zh-CN"/>
        </w:rPr>
      </w:pPr>
      <w:r>
        <w:rPr>
          <w:rFonts w:hint="eastAsia" w:ascii="仿宋" w:hAnsi="仿宋" w:eastAsia="仿宋" w:cs="仿宋"/>
          <w:b w:val="0"/>
          <w:bCs w:val="0"/>
          <w:color w:val="333333"/>
          <w:sz w:val="30"/>
          <w:szCs w:val="30"/>
        </w:rPr>
        <w:t>实施基本药物制度工作，使得基层卫生服务能力得到明显提高，服务质量得到明显提升，医生用药日趋合理，群众用药更加安全，实现了基层医疗机构门诊和住院人次同比上升、次均医疗费用同比下降的预期目标，降低了群众基本医疗费用负担，</w:t>
      </w:r>
      <w:r>
        <w:rPr>
          <w:rFonts w:hint="eastAsia" w:ascii="仿宋" w:hAnsi="仿宋" w:eastAsia="仿宋" w:cs="仿宋"/>
          <w:b w:val="0"/>
          <w:bCs w:val="0"/>
          <w:color w:val="333333"/>
          <w:sz w:val="30"/>
          <w:szCs w:val="30"/>
          <w:lang w:eastAsia="zh-CN"/>
        </w:rPr>
        <w:t>提高了人民群众的就医获得感和幸福感。</w:t>
      </w:r>
    </w:p>
    <w:p>
      <w:pPr>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四、存在的问题</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firstLine="600" w:firstLineChars="200"/>
        <w:jc w:val="both"/>
        <w:textAlignment w:val="auto"/>
        <w:rPr>
          <w:rFonts w:hint="eastAsia" w:ascii="仿宋" w:hAnsi="仿宋" w:eastAsia="仿宋" w:cs="仿宋"/>
          <w:b w:val="0"/>
          <w:bCs w:val="0"/>
          <w:color w:val="333333"/>
          <w:sz w:val="30"/>
          <w:szCs w:val="30"/>
          <w:lang w:val="en-US" w:eastAsia="zh-CN"/>
        </w:rPr>
      </w:pPr>
      <w:r>
        <w:rPr>
          <w:rFonts w:hint="eastAsia" w:ascii="仿宋" w:hAnsi="仿宋" w:eastAsia="仿宋" w:cs="仿宋"/>
          <w:b w:val="0"/>
          <w:bCs w:val="0"/>
          <w:color w:val="333333"/>
          <w:sz w:val="30"/>
          <w:szCs w:val="30"/>
          <w:lang w:val="en-US" w:eastAsia="zh-CN"/>
        </w:rPr>
        <w:t>1.基层卫生院药学人员不足。</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firstLine="600" w:firstLineChars="200"/>
        <w:jc w:val="both"/>
        <w:textAlignment w:val="auto"/>
        <w:rPr>
          <w:rFonts w:hint="eastAsia" w:ascii="仿宋" w:hAnsi="仿宋" w:eastAsia="仿宋" w:cs="仿宋"/>
          <w:b w:val="0"/>
          <w:bCs w:val="0"/>
          <w:color w:val="333333"/>
          <w:sz w:val="30"/>
          <w:szCs w:val="30"/>
          <w:lang w:val="en-US" w:eastAsia="zh-CN"/>
        </w:rPr>
      </w:pPr>
      <w:r>
        <w:rPr>
          <w:rFonts w:hint="eastAsia" w:ascii="仿宋" w:hAnsi="仿宋" w:eastAsia="仿宋" w:cs="仿宋"/>
          <w:b w:val="0"/>
          <w:bCs w:val="0"/>
          <w:color w:val="333333"/>
          <w:sz w:val="30"/>
          <w:szCs w:val="30"/>
          <w:lang w:val="en-US" w:eastAsia="zh-CN"/>
        </w:rPr>
        <w:t>2.采购平台某些中标基药价格偏高。</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firstLine="600" w:firstLineChars="200"/>
        <w:jc w:val="both"/>
        <w:textAlignment w:val="auto"/>
        <w:rPr>
          <w:rFonts w:hint="eastAsia" w:ascii="仿宋" w:hAnsi="仿宋" w:eastAsia="仿宋" w:cs="仿宋"/>
          <w:b w:val="0"/>
          <w:bCs w:val="0"/>
          <w:color w:val="000000"/>
          <w:sz w:val="30"/>
          <w:szCs w:val="30"/>
          <w:lang w:eastAsia="zh-CN"/>
        </w:rPr>
      </w:pPr>
      <w:r>
        <w:rPr>
          <w:rFonts w:hint="eastAsia" w:ascii="仿宋" w:hAnsi="仿宋" w:eastAsia="仿宋" w:cs="仿宋"/>
          <w:b w:val="0"/>
          <w:bCs w:val="0"/>
          <w:color w:val="333333"/>
          <w:sz w:val="30"/>
          <w:szCs w:val="30"/>
          <w:lang w:val="en-US" w:eastAsia="zh-CN"/>
        </w:rPr>
        <w:t>3.</w:t>
      </w:r>
      <w:r>
        <w:rPr>
          <w:rFonts w:hint="eastAsia" w:ascii="仿宋" w:hAnsi="仿宋" w:eastAsia="仿宋" w:cs="仿宋"/>
          <w:b w:val="0"/>
          <w:bCs w:val="0"/>
          <w:color w:val="000000"/>
          <w:sz w:val="30"/>
          <w:szCs w:val="30"/>
        </w:rPr>
        <w:t>少数村卫生室执业（助理）医师和乡村医生</w:t>
      </w:r>
      <w:r>
        <w:rPr>
          <w:rFonts w:hint="eastAsia" w:ascii="仿宋" w:hAnsi="仿宋" w:eastAsia="仿宋" w:cs="仿宋"/>
          <w:b w:val="0"/>
          <w:bCs w:val="0"/>
          <w:color w:val="000000"/>
          <w:sz w:val="30"/>
          <w:szCs w:val="30"/>
          <w:lang w:eastAsia="zh-CN"/>
        </w:rPr>
        <w:t>用药欠合理。</w:t>
      </w:r>
    </w:p>
    <w:p>
      <w:pPr>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五、相关建议</w:t>
      </w:r>
    </w:p>
    <w:p>
      <w:pPr>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b w:val="0"/>
          <w:bCs w:val="0"/>
          <w:color w:val="000000"/>
          <w:sz w:val="30"/>
          <w:szCs w:val="30"/>
          <w:lang w:val="en-US" w:eastAsia="zh-CN"/>
        </w:rPr>
      </w:pPr>
      <w:r>
        <w:rPr>
          <w:rFonts w:hint="eastAsia" w:ascii="仿宋" w:hAnsi="仿宋" w:eastAsia="仿宋" w:cs="仿宋"/>
          <w:b w:val="0"/>
          <w:bCs w:val="0"/>
          <w:color w:val="000000"/>
          <w:sz w:val="30"/>
          <w:szCs w:val="30"/>
          <w:lang w:val="en-US" w:eastAsia="zh-CN"/>
        </w:rPr>
        <w:t>1.改善职业环境，稳定人才队伍建设。</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firstLine="600" w:firstLineChars="200"/>
        <w:jc w:val="both"/>
        <w:textAlignment w:val="auto"/>
        <w:rPr>
          <w:rFonts w:hint="eastAsia" w:ascii="仿宋" w:hAnsi="仿宋" w:eastAsia="仿宋" w:cs="仿宋"/>
          <w:b w:val="0"/>
          <w:bCs w:val="0"/>
          <w:color w:val="000000"/>
          <w:sz w:val="30"/>
          <w:szCs w:val="30"/>
          <w:lang w:val="en-US" w:eastAsia="zh-CN"/>
        </w:rPr>
      </w:pPr>
      <w:r>
        <w:rPr>
          <w:rFonts w:hint="eastAsia" w:ascii="仿宋" w:hAnsi="仿宋" w:eastAsia="仿宋" w:cs="仿宋"/>
          <w:b w:val="0"/>
          <w:bCs w:val="0"/>
          <w:color w:val="000000"/>
          <w:sz w:val="30"/>
          <w:szCs w:val="30"/>
          <w:lang w:val="en-US" w:eastAsia="zh-CN"/>
        </w:rPr>
        <w:t>2.建议相关部门统一、规范价格。</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firstLine="600" w:firstLineChars="200"/>
        <w:jc w:val="both"/>
        <w:textAlignment w:val="auto"/>
        <w:rPr>
          <w:rFonts w:hint="eastAsia" w:ascii="仿宋" w:hAnsi="仿宋" w:eastAsia="仿宋" w:cs="仿宋"/>
          <w:b w:val="0"/>
          <w:bCs w:val="0"/>
          <w:color w:val="333333"/>
          <w:sz w:val="30"/>
          <w:szCs w:val="30"/>
        </w:rPr>
      </w:pPr>
      <w:r>
        <w:rPr>
          <w:rFonts w:hint="eastAsia" w:ascii="仿宋" w:hAnsi="仿宋" w:eastAsia="仿宋" w:cs="仿宋"/>
          <w:b w:val="0"/>
          <w:bCs w:val="0"/>
          <w:color w:val="333333"/>
          <w:sz w:val="30"/>
          <w:szCs w:val="30"/>
          <w:lang w:val="en-US" w:eastAsia="zh-CN"/>
        </w:rPr>
        <w:t>3.</w:t>
      </w:r>
      <w:r>
        <w:rPr>
          <w:rFonts w:hint="eastAsia" w:ascii="仿宋" w:hAnsi="仿宋" w:eastAsia="仿宋" w:cs="仿宋"/>
          <w:b w:val="0"/>
          <w:bCs w:val="0"/>
          <w:color w:val="333333"/>
          <w:sz w:val="30"/>
          <w:szCs w:val="30"/>
        </w:rPr>
        <w:t>加强基层医疗机构培训，切实提高医疗服务能力和项目执行能力，</w:t>
      </w:r>
      <w:r>
        <w:rPr>
          <w:rFonts w:hint="eastAsia" w:ascii="仿宋" w:hAnsi="仿宋" w:eastAsia="仿宋" w:cs="仿宋"/>
          <w:b w:val="0"/>
          <w:bCs w:val="0"/>
          <w:color w:val="333333"/>
          <w:sz w:val="30"/>
          <w:szCs w:val="30"/>
          <w:lang w:eastAsia="zh-CN"/>
        </w:rPr>
        <w:t>进一步</w:t>
      </w:r>
      <w:r>
        <w:rPr>
          <w:rFonts w:hint="eastAsia" w:ascii="仿宋" w:hAnsi="仿宋" w:eastAsia="仿宋" w:cs="仿宋"/>
          <w:b w:val="0"/>
          <w:bCs w:val="0"/>
          <w:color w:val="333333"/>
          <w:sz w:val="30"/>
          <w:szCs w:val="30"/>
        </w:rPr>
        <w:t>规范基本药物制度项目管理。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firstLine="600" w:firstLineChars="200"/>
        <w:jc w:val="both"/>
        <w:textAlignment w:val="auto"/>
        <w:rPr>
          <w:rFonts w:hint="default" w:ascii="仿宋" w:hAnsi="仿宋" w:eastAsia="仿宋" w:cs="仿宋"/>
          <w:b w:val="0"/>
          <w:bCs w:val="0"/>
          <w:color w:val="333333"/>
          <w:sz w:val="30"/>
          <w:szCs w:val="30"/>
          <w:lang w:val="en-US" w:eastAsia="zh-CN"/>
        </w:rPr>
      </w:pPr>
      <w:r>
        <w:rPr>
          <w:rFonts w:hint="eastAsia" w:ascii="仿宋" w:hAnsi="仿宋" w:eastAsia="仿宋" w:cs="仿宋"/>
          <w:b w:val="0"/>
          <w:bCs w:val="0"/>
          <w:color w:val="333333"/>
          <w:sz w:val="30"/>
          <w:szCs w:val="30"/>
          <w:lang w:val="en-US" w:eastAsia="zh-CN"/>
        </w:rPr>
        <w:t>附件：2021年度项目支出绩效自评指标计分表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 w:hAnsi="仿宋" w:eastAsia="仿宋" w:cs="仿宋"/>
          <w:b w:val="0"/>
          <w:bCs w:val="0"/>
          <w:color w:val="333333"/>
          <w:sz w:val="30"/>
          <w:szCs w:val="30"/>
          <w:lang w:val="en-US" w:eastAsia="zh-CN"/>
        </w:rPr>
      </w:pPr>
      <w:r>
        <w:rPr>
          <w:rFonts w:hint="eastAsia" w:ascii="仿宋" w:hAnsi="仿宋" w:eastAsia="仿宋" w:cs="仿宋"/>
          <w:b w:val="0"/>
          <w:bCs w:val="0"/>
          <w:color w:val="333333"/>
          <w:sz w:val="30"/>
          <w:szCs w:val="30"/>
          <w:lang w:val="en-US" w:eastAsia="zh-CN"/>
        </w:rPr>
        <w:t xml:space="preserve">                      </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 w:hAnsi="仿宋" w:eastAsia="仿宋" w:cs="仿宋"/>
          <w:b w:val="0"/>
          <w:bCs w:val="0"/>
          <w:color w:val="333333"/>
          <w:sz w:val="30"/>
          <w:szCs w:val="30"/>
          <w:lang w:val="en-US" w:eastAsia="zh-CN"/>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 w:hAnsi="仿宋" w:eastAsia="仿宋" w:cs="仿宋"/>
          <w:b w:val="0"/>
          <w:bCs w:val="0"/>
          <w:color w:val="333333"/>
          <w:sz w:val="30"/>
          <w:szCs w:val="30"/>
          <w:lang w:val="en-US" w:eastAsia="zh-CN"/>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 w:hAnsi="仿宋" w:eastAsia="仿宋" w:cs="仿宋"/>
          <w:b w:val="0"/>
          <w:bCs w:val="0"/>
          <w:color w:val="333333"/>
          <w:sz w:val="30"/>
          <w:szCs w:val="30"/>
          <w:lang w:val="en-US" w:eastAsia="zh-CN"/>
        </w:rPr>
      </w:pPr>
    </w:p>
    <w:p>
      <w:pPr>
        <w:keepNext w:val="0"/>
        <w:keepLines w:val="0"/>
        <w:pageBreakBefore w:val="0"/>
        <w:kinsoku/>
        <w:wordWrap/>
        <w:overflowPunct/>
        <w:topLinePunct w:val="0"/>
        <w:autoSpaceDE/>
        <w:autoSpaceDN/>
        <w:bidi w:val="0"/>
        <w:adjustRightInd/>
        <w:snapToGrid/>
        <w:spacing w:afterLines="50" w:line="600" w:lineRule="exact"/>
        <w:ind w:firstLine="720" w:firstLineChars="200"/>
        <w:jc w:val="center"/>
        <w:textAlignment w:val="auto"/>
        <w:rPr>
          <w:rFonts w:hint="eastAsia" w:ascii="黑体" w:hAnsi="黑体" w:eastAsia="黑体" w:cs="黑体"/>
          <w:kern w:val="2"/>
          <w:sz w:val="36"/>
          <w:szCs w:val="36"/>
          <w:lang w:val="en-US" w:eastAsia="zh-CN" w:bidi="ar-SA"/>
        </w:rPr>
      </w:pPr>
      <w:r>
        <w:rPr>
          <w:rFonts w:hint="eastAsia" w:ascii="黑体" w:hAnsi="黑体" w:eastAsia="黑体" w:cs="黑体"/>
          <w:kern w:val="2"/>
          <w:sz w:val="36"/>
          <w:szCs w:val="36"/>
          <w:lang w:val="en-US" w:eastAsia="zh-CN" w:bidi="ar-SA"/>
        </w:rPr>
        <w:t>2021年度项目支出绩效自评指标计分表</w:t>
      </w:r>
    </w:p>
    <w:tbl>
      <w:tblPr>
        <w:tblStyle w:val="4"/>
        <w:tblW w:w="518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43"/>
        <w:gridCol w:w="454"/>
        <w:gridCol w:w="834"/>
        <w:gridCol w:w="540"/>
        <w:gridCol w:w="2625"/>
        <w:gridCol w:w="4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295" w:type="pct"/>
            <w:noWrap w:val="0"/>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一级</w:t>
            </w:r>
            <w:r>
              <w:rPr>
                <w:rFonts w:ascii="宋体"/>
                <w:b/>
                <w:bCs/>
              </w:rPr>
              <w:br w:type="textWrapping"/>
            </w:r>
            <w:r>
              <w:rPr>
                <w:rFonts w:hint="eastAsia" w:ascii="宋体" w:hAnsi="宋体" w:cs="宋体"/>
                <w:b/>
                <w:bCs/>
              </w:rPr>
              <w:t>指标</w:t>
            </w:r>
          </w:p>
        </w:tc>
        <w:tc>
          <w:tcPr>
            <w:tcW w:w="247" w:type="pct"/>
            <w:noWrap w:val="0"/>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二级</w:t>
            </w:r>
            <w:r>
              <w:rPr>
                <w:rFonts w:ascii="宋体"/>
                <w:b/>
                <w:bCs/>
              </w:rPr>
              <w:br w:type="textWrapping"/>
            </w:r>
            <w:r>
              <w:rPr>
                <w:rFonts w:hint="eastAsia" w:ascii="宋体" w:hAnsi="宋体" w:cs="宋体"/>
                <w:b/>
                <w:bCs/>
              </w:rPr>
              <w:t>指标</w:t>
            </w:r>
          </w:p>
        </w:tc>
        <w:tc>
          <w:tcPr>
            <w:tcW w:w="454" w:type="pct"/>
            <w:noWrap w:val="0"/>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三级指标</w:t>
            </w:r>
          </w:p>
        </w:tc>
        <w:tc>
          <w:tcPr>
            <w:tcW w:w="294" w:type="pct"/>
            <w:noWrap w:val="0"/>
            <w:vAlign w:val="center"/>
          </w:tcPr>
          <w:p>
            <w:pPr>
              <w:spacing w:line="240" w:lineRule="exact"/>
              <w:jc w:val="center"/>
              <w:rPr>
                <w:rFonts w:ascii="宋体"/>
                <w:b/>
                <w:bCs/>
              </w:rPr>
            </w:pPr>
            <w:r>
              <w:rPr>
                <w:rFonts w:hint="eastAsia" w:ascii="宋体" w:hAnsi="宋体" w:cs="宋体"/>
                <w:b/>
                <w:bCs/>
              </w:rPr>
              <w:t>自评分</w:t>
            </w:r>
          </w:p>
        </w:tc>
        <w:tc>
          <w:tcPr>
            <w:tcW w:w="1428" w:type="pct"/>
            <w:noWrap w:val="0"/>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指标解释</w:t>
            </w:r>
          </w:p>
        </w:tc>
        <w:tc>
          <w:tcPr>
            <w:tcW w:w="2282" w:type="pct"/>
            <w:noWrap w:val="0"/>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restart"/>
            <w:noWrap/>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决</w:t>
            </w:r>
            <w:r>
              <w:rPr>
                <w:rFonts w:ascii="宋体" w:hAnsi="宋体" w:cs="宋体"/>
              </w:rPr>
              <w:t xml:space="preserve">  </w:t>
            </w:r>
            <w:r>
              <w:rPr>
                <w:rFonts w:hint="eastAsia" w:ascii="宋体" w:hAnsi="宋体" w:cs="宋体"/>
              </w:rPr>
              <w:t>策（</w:t>
            </w:r>
            <w:r>
              <w:rPr>
                <w:rFonts w:ascii="宋体" w:hAnsi="宋体" w:cs="宋体"/>
              </w:rPr>
              <w:t>20</w:t>
            </w:r>
            <w:r>
              <w:rPr>
                <w:rFonts w:hint="eastAsia" w:ascii="宋体" w:hAnsi="宋体" w:cs="宋体"/>
              </w:rPr>
              <w:t>分）</w:t>
            </w:r>
          </w:p>
        </w:tc>
        <w:tc>
          <w:tcPr>
            <w:tcW w:w="247" w:type="pct"/>
            <w:vMerge w:val="restart"/>
            <w:noWrap w:val="0"/>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预算支出决策</w:t>
            </w:r>
          </w:p>
          <w:p>
            <w:pPr>
              <w:spacing w:line="240" w:lineRule="exact"/>
              <w:jc w:val="center"/>
              <w:rPr>
                <w:rFonts w:ascii="宋体"/>
              </w:rPr>
            </w:pPr>
            <w:r>
              <w:rPr>
                <w:rFonts w:hint="eastAsia" w:ascii="宋体" w:hAnsi="宋体" w:cs="宋体"/>
              </w:rPr>
              <w:t>（项目立项）（</w:t>
            </w:r>
            <w:r>
              <w:rPr>
                <w:rFonts w:ascii="宋体" w:hAnsi="宋体" w:cs="宋体"/>
              </w:rPr>
              <w:t>8</w:t>
            </w:r>
            <w:r>
              <w:rPr>
                <w:rFonts w:hint="eastAsia" w:ascii="宋体" w:hAnsi="宋体" w:cs="宋体"/>
              </w:rPr>
              <w:t>分）</w:t>
            </w:r>
          </w:p>
        </w:tc>
        <w:tc>
          <w:tcPr>
            <w:tcW w:w="454" w:type="pct"/>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预算支出决策（项目立项）依据</w:t>
            </w:r>
          </w:p>
          <w:p>
            <w:pPr>
              <w:spacing w:line="240" w:lineRule="exact"/>
              <w:ind w:left="105" w:leftChars="50" w:right="105" w:rightChars="50"/>
              <w:jc w:val="center"/>
              <w:rPr>
                <w:rFonts w:ascii="宋体"/>
              </w:rPr>
            </w:pPr>
            <w:r>
              <w:rPr>
                <w:rFonts w:hint="eastAsia" w:ascii="宋体" w:hAnsi="宋体" w:cs="宋体"/>
              </w:rPr>
              <w:t>充分性（</w:t>
            </w:r>
            <w:r>
              <w:rPr>
                <w:rFonts w:ascii="宋体" w:hAnsi="宋体" w:cs="宋体"/>
              </w:rPr>
              <w:t>4</w:t>
            </w:r>
            <w:r>
              <w:rPr>
                <w:rFonts w:hint="eastAsia" w:ascii="宋体" w:hAnsi="宋体" w:cs="宋体"/>
              </w:rPr>
              <w:t>分）</w:t>
            </w:r>
          </w:p>
        </w:tc>
        <w:tc>
          <w:tcPr>
            <w:tcW w:w="294" w:type="pct"/>
            <w:noWrap w:val="0"/>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4</w:t>
            </w:r>
          </w:p>
        </w:tc>
        <w:tc>
          <w:tcPr>
            <w:tcW w:w="1428"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预算支出决策（项目立项）是否符合法律法规、相关政策、发展规划以及部门职责，用以反映和考核决策（立项）的依据情况。</w:t>
            </w:r>
          </w:p>
        </w:tc>
        <w:tc>
          <w:tcPr>
            <w:tcW w:w="2282"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①决策（立项）是否符合国家相关法律法规、国民经济发展规划和相关政策；</w:t>
            </w:r>
            <w:r>
              <w:rPr>
                <w:rFonts w:ascii="宋体"/>
              </w:rPr>
              <w:br w:type="textWrapping"/>
            </w:r>
            <w:r>
              <w:rPr>
                <w:rFonts w:hint="eastAsia" w:ascii="宋体" w:hAnsi="宋体" w:cs="宋体"/>
              </w:rPr>
              <w:t>②决策（立项）是否符合行业发展规划和政策要求；</w:t>
            </w:r>
            <w:r>
              <w:rPr>
                <w:rFonts w:ascii="宋体"/>
              </w:rPr>
              <w:br w:type="textWrapping"/>
            </w:r>
            <w:r>
              <w:rPr>
                <w:rFonts w:hint="eastAsia" w:ascii="宋体" w:hAnsi="宋体" w:cs="宋体"/>
              </w:rPr>
              <w:t>③决策（立项）是否与部门职责范围相符，属于部门履职所需；</w:t>
            </w:r>
            <w:r>
              <w:rPr>
                <w:rFonts w:ascii="宋体"/>
              </w:rPr>
              <w:br w:type="textWrapping"/>
            </w:r>
            <w:r>
              <w:rPr>
                <w:rFonts w:hint="eastAsia" w:ascii="宋体" w:hAnsi="宋体" w:cs="宋体"/>
              </w:rPr>
              <w:t>④预算支出是否属于公共财政支持范围，是否符合中央、地方事权支出责任划分原则；</w:t>
            </w:r>
          </w:p>
          <w:p>
            <w:pPr>
              <w:spacing w:line="240" w:lineRule="exact"/>
              <w:ind w:left="105" w:leftChars="50" w:right="105" w:rightChars="50"/>
              <w:rPr>
                <w:rFonts w:ascii="宋体"/>
              </w:rPr>
            </w:pPr>
            <w:r>
              <w:rPr>
                <w:rFonts w:hint="eastAsia" w:ascii="宋体" w:hAnsi="宋体" w:cs="宋体"/>
              </w:rPr>
              <w:t>⑤预算支出是否与相关部门同类预算支出或部门内部相关预算支出重复。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0" w:hRule="atLeast"/>
          <w:jc w:val="center"/>
        </w:trPr>
        <w:tc>
          <w:tcPr>
            <w:tcW w:w="295" w:type="pct"/>
            <w:vMerge w:val="continue"/>
            <w:noWrap/>
            <w:tcMar>
              <w:top w:w="10" w:type="dxa"/>
              <w:left w:w="10" w:type="dxa"/>
              <w:bottom w:w="0" w:type="dxa"/>
              <w:right w:w="10" w:type="dxa"/>
            </w:tcMar>
            <w:textDirection w:val="tbRlV"/>
            <w:vAlign w:val="center"/>
          </w:tcPr>
          <w:p>
            <w:pPr>
              <w:spacing w:line="240" w:lineRule="exact"/>
              <w:jc w:val="center"/>
              <w:rPr>
                <w:rFonts w:ascii="宋体"/>
              </w:rPr>
            </w:pPr>
          </w:p>
        </w:tc>
        <w:tc>
          <w:tcPr>
            <w:tcW w:w="247" w:type="pct"/>
            <w:vMerge w:val="continue"/>
            <w:noWrap w:val="0"/>
            <w:tcMar>
              <w:top w:w="10" w:type="dxa"/>
              <w:left w:w="10" w:type="dxa"/>
              <w:bottom w:w="0" w:type="dxa"/>
              <w:right w:w="10" w:type="dxa"/>
            </w:tcMar>
            <w:vAlign w:val="center"/>
          </w:tcPr>
          <w:p>
            <w:pPr>
              <w:spacing w:line="240" w:lineRule="exact"/>
              <w:jc w:val="center"/>
              <w:rPr>
                <w:rFonts w:ascii="宋体"/>
              </w:rPr>
            </w:pPr>
          </w:p>
        </w:tc>
        <w:tc>
          <w:tcPr>
            <w:tcW w:w="454" w:type="pct"/>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决策(立项）程序规范性(</w:t>
            </w:r>
            <w:r>
              <w:rPr>
                <w:rFonts w:ascii="宋体" w:hAnsi="宋体" w:cs="宋体"/>
              </w:rPr>
              <w:t>4</w:t>
            </w:r>
            <w:r>
              <w:rPr>
                <w:rFonts w:hint="eastAsia" w:ascii="宋体" w:hAnsi="宋体" w:cs="宋体"/>
              </w:rPr>
              <w:t>分)</w:t>
            </w:r>
          </w:p>
        </w:tc>
        <w:tc>
          <w:tcPr>
            <w:tcW w:w="294" w:type="pct"/>
            <w:noWrap w:val="0"/>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4</w:t>
            </w:r>
          </w:p>
        </w:tc>
        <w:tc>
          <w:tcPr>
            <w:tcW w:w="1428"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预算支出申请、设立过程是否符合相关要求，用以反映和考核决策（立项）的规范情况。</w:t>
            </w:r>
          </w:p>
        </w:tc>
        <w:tc>
          <w:tcPr>
            <w:tcW w:w="2282"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Pr>
                <w:rFonts w:ascii="宋体"/>
              </w:rPr>
            </w:pPr>
            <w:r>
              <w:rPr>
                <w:rFonts w:hint="eastAsia" w:ascii="宋体" w:hAnsi="宋体" w:cs="宋体"/>
              </w:rPr>
              <w:t>①预算支出是否按照规定的程序申请设立；</w:t>
            </w:r>
          </w:p>
          <w:p>
            <w:pPr>
              <w:spacing w:line="240" w:lineRule="exact"/>
              <w:ind w:left="105" w:leftChars="50"/>
              <w:rPr>
                <w:rFonts w:ascii="宋体"/>
              </w:rPr>
            </w:pPr>
            <w:r>
              <w:rPr>
                <w:rFonts w:hint="eastAsia" w:ascii="宋体" w:hAnsi="宋体" w:cs="宋体"/>
              </w:rPr>
              <w:t>②审批文件、材料是否符合相关要求；</w:t>
            </w:r>
          </w:p>
          <w:p>
            <w:pPr>
              <w:spacing w:line="240" w:lineRule="exact"/>
              <w:ind w:left="105" w:leftChars="50"/>
              <w:rPr>
                <w:rFonts w:ascii="宋体"/>
              </w:rPr>
            </w:pPr>
            <w:r>
              <w:rPr>
                <w:rFonts w:hint="eastAsia" w:ascii="宋体" w:hAnsi="宋体" w:cs="宋体"/>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22" w:hRule="atLeast"/>
          <w:jc w:val="center"/>
        </w:trPr>
        <w:tc>
          <w:tcPr>
            <w:tcW w:w="295" w:type="pct"/>
            <w:vMerge w:val="continue"/>
            <w:noWrap w:val="0"/>
            <w:vAlign w:val="center"/>
          </w:tcPr>
          <w:p>
            <w:pPr>
              <w:spacing w:line="240" w:lineRule="exact"/>
              <w:rPr>
                <w:rFonts w:ascii="宋体"/>
              </w:rPr>
            </w:pPr>
          </w:p>
        </w:tc>
        <w:tc>
          <w:tcPr>
            <w:tcW w:w="247" w:type="pct"/>
            <w:vMerge w:val="restart"/>
            <w:noWrap w:val="0"/>
            <w:vAlign w:val="center"/>
          </w:tcPr>
          <w:p>
            <w:pPr>
              <w:spacing w:line="240" w:lineRule="exact"/>
              <w:jc w:val="center"/>
              <w:rPr>
                <w:rFonts w:ascii="宋体"/>
              </w:rPr>
            </w:pPr>
            <w:r>
              <w:rPr>
                <w:rFonts w:hint="eastAsia" w:ascii="宋体" w:hAnsi="宋体" w:cs="宋体"/>
              </w:rPr>
              <w:t>绩效</w:t>
            </w:r>
          </w:p>
          <w:p>
            <w:pPr>
              <w:spacing w:line="240" w:lineRule="exact"/>
              <w:jc w:val="center"/>
              <w:rPr>
                <w:rFonts w:ascii="宋体"/>
              </w:rPr>
            </w:pPr>
            <w:r>
              <w:rPr>
                <w:rFonts w:hint="eastAsia" w:ascii="宋体" w:hAnsi="宋体" w:cs="宋体"/>
              </w:rPr>
              <w:t>目标（</w:t>
            </w:r>
            <w:r>
              <w:rPr>
                <w:rFonts w:ascii="宋体" w:hAnsi="宋体" w:cs="宋体"/>
              </w:rPr>
              <w:t>6</w:t>
            </w:r>
            <w:r>
              <w:rPr>
                <w:rFonts w:hint="eastAsia" w:ascii="宋体" w:hAnsi="宋体" w:cs="宋体"/>
              </w:rPr>
              <w:t>分）</w:t>
            </w:r>
          </w:p>
        </w:tc>
        <w:tc>
          <w:tcPr>
            <w:tcW w:w="454" w:type="pct"/>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绩效目标</w:t>
            </w:r>
          </w:p>
          <w:p>
            <w:pPr>
              <w:spacing w:line="240" w:lineRule="exact"/>
              <w:ind w:left="105" w:leftChars="50" w:right="105"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294" w:type="pct"/>
            <w:noWrap w:val="0"/>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3</w:t>
            </w:r>
          </w:p>
        </w:tc>
        <w:tc>
          <w:tcPr>
            <w:tcW w:w="1428"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预算支出所设定的绩效目标是否依据充分，是否符合客观实际，用以反映和考核预算支出绩效目标与预算支出实施的相符情况。</w:t>
            </w:r>
          </w:p>
        </w:tc>
        <w:tc>
          <w:tcPr>
            <w:tcW w:w="2282"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ight="105" w:rightChars="50"/>
              <w:rPr>
                <w:rFonts w:ascii="宋体"/>
              </w:rPr>
            </w:pPr>
            <w:r>
              <w:rPr>
                <w:rFonts w:hint="eastAsia" w:ascii="宋体" w:hAnsi="宋体" w:cs="宋体"/>
              </w:rPr>
              <w:t>（如未设定预算绩效目标，也可考核其他工作任务目标）</w:t>
            </w:r>
          </w:p>
          <w:p>
            <w:pPr>
              <w:spacing w:line="240" w:lineRule="exact"/>
              <w:ind w:left="105" w:leftChars="50" w:right="105" w:rightChars="50"/>
              <w:rPr>
                <w:rFonts w:ascii="宋体"/>
              </w:rPr>
            </w:pPr>
            <w:r>
              <w:rPr>
                <w:rFonts w:hint="eastAsia" w:ascii="宋体" w:hAnsi="宋体" w:cs="宋体"/>
              </w:rPr>
              <w:t>①预算支出是否有绩效目标；</w:t>
            </w:r>
          </w:p>
          <w:p>
            <w:pPr>
              <w:spacing w:line="240" w:lineRule="exact"/>
              <w:ind w:left="105" w:leftChars="50" w:right="105" w:rightChars="50"/>
              <w:rPr>
                <w:rFonts w:ascii="宋体"/>
              </w:rPr>
            </w:pPr>
            <w:r>
              <w:rPr>
                <w:rFonts w:hint="eastAsia" w:ascii="宋体" w:hAnsi="宋体" w:cs="宋体"/>
              </w:rPr>
              <w:t>②预算支出绩效目标与实际工作内容是否具有相关性；</w:t>
            </w:r>
          </w:p>
          <w:p>
            <w:pPr>
              <w:spacing w:line="240" w:lineRule="exact"/>
              <w:ind w:left="105" w:leftChars="50" w:right="105" w:rightChars="50"/>
              <w:rPr>
                <w:rFonts w:ascii="宋体"/>
              </w:rPr>
            </w:pPr>
            <w:r>
              <w:rPr>
                <w:rFonts w:hint="eastAsia" w:ascii="宋体" w:hAnsi="宋体" w:cs="宋体"/>
              </w:rPr>
              <w:t>③预算支出预期产出效益和效果是否符合正常的业绩水平；是否与预算确定的预算支出投资额或资金量相匹配。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noWrap w:val="0"/>
            <w:vAlign w:val="center"/>
          </w:tcPr>
          <w:p>
            <w:pPr>
              <w:spacing w:line="240" w:lineRule="exact"/>
              <w:rPr>
                <w:rFonts w:ascii="宋体"/>
              </w:rPr>
            </w:pPr>
          </w:p>
        </w:tc>
        <w:tc>
          <w:tcPr>
            <w:tcW w:w="247" w:type="pct"/>
            <w:vMerge w:val="continue"/>
            <w:noWrap w:val="0"/>
            <w:vAlign w:val="center"/>
          </w:tcPr>
          <w:p>
            <w:pPr>
              <w:spacing w:line="240" w:lineRule="exact"/>
              <w:jc w:val="center"/>
              <w:rPr>
                <w:rFonts w:ascii="宋体"/>
              </w:rPr>
            </w:pPr>
          </w:p>
        </w:tc>
        <w:tc>
          <w:tcPr>
            <w:tcW w:w="454" w:type="pct"/>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绩效指标</w:t>
            </w:r>
          </w:p>
          <w:p>
            <w:pPr>
              <w:spacing w:line="240" w:lineRule="exact"/>
              <w:ind w:left="105" w:leftChars="50" w:right="105" w:rightChars="50"/>
              <w:jc w:val="center"/>
              <w:rPr>
                <w:rFonts w:ascii="宋体"/>
              </w:rPr>
            </w:pPr>
            <w:r>
              <w:rPr>
                <w:rFonts w:hint="eastAsia" w:ascii="宋体" w:hAnsi="宋体" w:cs="宋体"/>
              </w:rPr>
              <w:t>明确性（</w:t>
            </w:r>
            <w:r>
              <w:rPr>
                <w:rFonts w:ascii="宋体" w:hAnsi="宋体" w:cs="宋体"/>
              </w:rPr>
              <w:t>3</w:t>
            </w:r>
            <w:r>
              <w:rPr>
                <w:rFonts w:hint="eastAsia" w:ascii="宋体" w:hAnsi="宋体" w:cs="宋体"/>
              </w:rPr>
              <w:t>分）</w:t>
            </w:r>
          </w:p>
        </w:tc>
        <w:tc>
          <w:tcPr>
            <w:tcW w:w="294" w:type="pct"/>
            <w:noWrap w:val="0"/>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3</w:t>
            </w:r>
          </w:p>
        </w:tc>
        <w:tc>
          <w:tcPr>
            <w:tcW w:w="1428"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依据绩效目标设定的绩效指标是否清晰、细化、可衡量等，用以反映和考核预算支出绩效目标的明细化情况。</w:t>
            </w:r>
          </w:p>
        </w:tc>
        <w:tc>
          <w:tcPr>
            <w:tcW w:w="2282"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①是否将预算支出绩效目标细化分解为具体的绩效指标；</w:t>
            </w:r>
            <w:r>
              <w:rPr>
                <w:rFonts w:ascii="宋体"/>
              </w:rPr>
              <w:br w:type="textWrapping"/>
            </w:r>
            <w:r>
              <w:rPr>
                <w:rFonts w:hint="eastAsia" w:ascii="宋体" w:hAnsi="宋体" w:cs="宋体"/>
              </w:rPr>
              <w:t>②是否通过清晰、可衡量的指标值予以体现；</w:t>
            </w:r>
            <w:r>
              <w:rPr>
                <w:rFonts w:ascii="宋体"/>
              </w:rPr>
              <w:br w:type="textWrapping"/>
            </w:r>
            <w:r>
              <w:rPr>
                <w:rFonts w:hint="eastAsia" w:ascii="宋体" w:hAnsi="宋体" w:cs="宋体"/>
              </w:rPr>
              <w:t>③是否与预算支出目标任务数或计划数相对应。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0" w:hRule="atLeast"/>
          <w:jc w:val="center"/>
        </w:trPr>
        <w:tc>
          <w:tcPr>
            <w:tcW w:w="295" w:type="pct"/>
            <w:vMerge w:val="continue"/>
            <w:noWrap w:val="0"/>
            <w:vAlign w:val="center"/>
          </w:tcPr>
          <w:p>
            <w:pPr>
              <w:spacing w:line="240" w:lineRule="exact"/>
              <w:rPr>
                <w:rFonts w:ascii="宋体"/>
              </w:rPr>
            </w:pPr>
          </w:p>
        </w:tc>
        <w:tc>
          <w:tcPr>
            <w:tcW w:w="247" w:type="pct"/>
            <w:vMerge w:val="restart"/>
            <w:noWrap w:val="0"/>
            <w:vAlign w:val="center"/>
          </w:tcPr>
          <w:p>
            <w:pPr>
              <w:spacing w:line="240" w:lineRule="exact"/>
              <w:jc w:val="center"/>
              <w:rPr>
                <w:rFonts w:ascii="宋体"/>
              </w:rPr>
            </w:pPr>
            <w:r>
              <w:rPr>
                <w:rFonts w:hint="eastAsia" w:ascii="宋体" w:hAnsi="宋体" w:cs="宋体"/>
              </w:rPr>
              <w:t>资金</w:t>
            </w:r>
          </w:p>
          <w:p>
            <w:pPr>
              <w:spacing w:line="240" w:lineRule="exact"/>
              <w:jc w:val="center"/>
              <w:rPr>
                <w:rFonts w:ascii="宋体"/>
              </w:rPr>
            </w:pPr>
            <w:r>
              <w:rPr>
                <w:rFonts w:hint="eastAsia" w:ascii="宋体" w:hAnsi="宋体" w:cs="宋体"/>
              </w:rPr>
              <w:t>投入（</w:t>
            </w:r>
            <w:r>
              <w:rPr>
                <w:rFonts w:ascii="宋体" w:hAnsi="宋体" w:cs="宋体"/>
              </w:rPr>
              <w:t>6</w:t>
            </w:r>
            <w:r>
              <w:rPr>
                <w:rFonts w:hint="eastAsia" w:ascii="宋体" w:hAnsi="宋体" w:cs="宋体"/>
              </w:rPr>
              <w:t>分）</w:t>
            </w:r>
          </w:p>
        </w:tc>
        <w:tc>
          <w:tcPr>
            <w:tcW w:w="454" w:type="pct"/>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预算编制</w:t>
            </w:r>
          </w:p>
          <w:p>
            <w:pPr>
              <w:spacing w:line="240" w:lineRule="exact"/>
              <w:ind w:left="105" w:leftChars="50" w:right="105" w:rightChars="50"/>
              <w:jc w:val="center"/>
              <w:rPr>
                <w:rFonts w:ascii="宋体"/>
              </w:rPr>
            </w:pPr>
            <w:r>
              <w:rPr>
                <w:rFonts w:hint="eastAsia" w:ascii="宋体" w:hAnsi="宋体" w:cs="宋体"/>
              </w:rPr>
              <w:t>科学性（</w:t>
            </w:r>
            <w:r>
              <w:rPr>
                <w:rFonts w:ascii="宋体" w:hAnsi="宋体" w:cs="宋体"/>
              </w:rPr>
              <w:t>3</w:t>
            </w:r>
            <w:r>
              <w:rPr>
                <w:rFonts w:hint="eastAsia" w:ascii="宋体" w:hAnsi="宋体" w:cs="宋体"/>
              </w:rPr>
              <w:t>分）</w:t>
            </w:r>
          </w:p>
        </w:tc>
        <w:tc>
          <w:tcPr>
            <w:tcW w:w="294" w:type="pct"/>
            <w:noWrap w:val="0"/>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2</w:t>
            </w:r>
          </w:p>
        </w:tc>
        <w:tc>
          <w:tcPr>
            <w:tcW w:w="1428"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预算编制是否经过科学论证、有明确标准，资金额度与年度目标是否相适应，用以反映和考核预算支出预算编制的科学性、合理性情况。</w:t>
            </w:r>
          </w:p>
        </w:tc>
        <w:tc>
          <w:tcPr>
            <w:tcW w:w="2282" w:type="pct"/>
            <w:noWrap w:val="0"/>
            <w:tcMar>
              <w:top w:w="10" w:type="dxa"/>
              <w:left w:w="10" w:type="dxa"/>
              <w:bottom w:w="0" w:type="dxa"/>
              <w:right w:w="10" w:type="dxa"/>
            </w:tcMar>
            <w:vAlign w:val="center"/>
          </w:tcPr>
          <w:p>
            <w:pPr>
              <w:spacing w:line="220" w:lineRule="exact"/>
              <w:ind w:left="105" w:leftChars="50" w:right="105" w:rightChars="50"/>
              <w:rPr>
                <w:rFonts w:ascii="宋体"/>
              </w:rPr>
            </w:pPr>
            <w:r>
              <w:rPr>
                <w:rFonts w:hint="eastAsia" w:ascii="宋体" w:hAnsi="宋体" w:cs="宋体"/>
              </w:rPr>
              <w:t>评价要点：</w:t>
            </w:r>
          </w:p>
          <w:p>
            <w:pPr>
              <w:spacing w:line="220" w:lineRule="exact"/>
              <w:ind w:left="105" w:leftChars="50" w:right="105" w:rightChars="50"/>
              <w:rPr>
                <w:rFonts w:ascii="宋体"/>
              </w:rPr>
            </w:pPr>
            <w:r>
              <w:rPr>
                <w:rFonts w:hint="eastAsia" w:ascii="宋体" w:hAnsi="宋体" w:cs="宋体"/>
              </w:rPr>
              <w:t>①预算编制是否经过科学论证；</w:t>
            </w:r>
          </w:p>
          <w:p>
            <w:pPr>
              <w:spacing w:line="220" w:lineRule="exact"/>
              <w:ind w:left="105" w:leftChars="50" w:right="105" w:rightChars="50"/>
              <w:rPr>
                <w:rFonts w:ascii="宋体"/>
              </w:rPr>
            </w:pPr>
            <w:r>
              <w:rPr>
                <w:rFonts w:hint="eastAsia" w:ascii="宋体" w:hAnsi="宋体" w:cs="宋体"/>
              </w:rPr>
              <w:t>②预算内容与支出内容是否匹配；</w:t>
            </w:r>
          </w:p>
          <w:p>
            <w:pPr>
              <w:spacing w:line="220" w:lineRule="exact"/>
              <w:ind w:left="105" w:leftChars="50" w:right="105" w:rightChars="50"/>
              <w:rPr>
                <w:rFonts w:ascii="宋体"/>
              </w:rPr>
            </w:pPr>
            <w:r>
              <w:rPr>
                <w:rFonts w:hint="eastAsia" w:ascii="宋体" w:hAnsi="宋体" w:cs="宋体"/>
              </w:rPr>
              <w:t>③预算额度测算依据是否充分，是否按照标准编制；</w:t>
            </w:r>
          </w:p>
          <w:p>
            <w:pPr>
              <w:spacing w:line="220" w:lineRule="exact"/>
              <w:ind w:left="105" w:leftChars="50" w:right="105" w:rightChars="50"/>
              <w:rPr>
                <w:rFonts w:ascii="宋体"/>
              </w:rPr>
            </w:pPr>
            <w:r>
              <w:rPr>
                <w:rFonts w:hint="eastAsia" w:ascii="宋体" w:hAnsi="宋体" w:cs="宋体"/>
              </w:rPr>
              <w:t>④预算确定的预算支出投资额或资金量是否与工作任务相匹配。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noWrap w:val="0"/>
            <w:vAlign w:val="center"/>
          </w:tcPr>
          <w:p>
            <w:pPr>
              <w:spacing w:line="240" w:lineRule="exact"/>
              <w:rPr>
                <w:rFonts w:ascii="宋体"/>
              </w:rPr>
            </w:pPr>
          </w:p>
        </w:tc>
        <w:tc>
          <w:tcPr>
            <w:tcW w:w="247" w:type="pct"/>
            <w:vMerge w:val="continue"/>
            <w:noWrap w:val="0"/>
            <w:vAlign w:val="center"/>
          </w:tcPr>
          <w:p>
            <w:pPr>
              <w:spacing w:line="240" w:lineRule="exact"/>
              <w:jc w:val="center"/>
              <w:rPr>
                <w:rFonts w:ascii="宋体"/>
              </w:rPr>
            </w:pPr>
          </w:p>
        </w:tc>
        <w:tc>
          <w:tcPr>
            <w:tcW w:w="454" w:type="pct"/>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资金分配</w:t>
            </w:r>
          </w:p>
          <w:p>
            <w:pPr>
              <w:spacing w:line="240" w:lineRule="exact"/>
              <w:ind w:left="105" w:leftChars="50" w:right="105"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294" w:type="pct"/>
            <w:noWrap w:val="0"/>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3</w:t>
            </w:r>
          </w:p>
        </w:tc>
        <w:tc>
          <w:tcPr>
            <w:tcW w:w="1428"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预算资金分配是否有测算依据，与补助单位或地方实际是否相适应，用以反映和考核预算支出预算资金分配的科学性、合理性情况。</w:t>
            </w:r>
          </w:p>
        </w:tc>
        <w:tc>
          <w:tcPr>
            <w:tcW w:w="2282"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right="105" w:rightChars="50" w:firstLine="105" w:firstLineChars="50"/>
              <w:rPr>
                <w:rFonts w:ascii="宋体"/>
              </w:rPr>
            </w:pPr>
            <w:r>
              <w:rPr>
                <w:rFonts w:hint="eastAsia" w:ascii="宋体" w:hAnsi="宋体" w:cs="宋体"/>
              </w:rPr>
              <w:t>①预算资金分配依据是否充分；</w:t>
            </w:r>
          </w:p>
          <w:p>
            <w:pPr>
              <w:spacing w:line="240" w:lineRule="exact"/>
              <w:ind w:left="105" w:leftChars="50" w:right="105" w:rightChars="50"/>
              <w:rPr>
                <w:rFonts w:ascii="宋体"/>
              </w:rPr>
            </w:pPr>
            <w:r>
              <w:rPr>
                <w:rFonts w:hint="eastAsia" w:ascii="宋体" w:hAnsi="宋体" w:cs="宋体"/>
              </w:rPr>
              <w:t>②资金分配额度是否合理，与项目实施单位或地方实际是否相适应。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3" w:hRule="atLeast"/>
          <w:jc w:val="center"/>
        </w:trPr>
        <w:tc>
          <w:tcPr>
            <w:tcW w:w="295" w:type="pct"/>
            <w:vMerge w:val="restart"/>
            <w:noWrap w:val="0"/>
            <w:vAlign w:val="center"/>
          </w:tcPr>
          <w:p>
            <w:pPr>
              <w:spacing w:line="240" w:lineRule="exact"/>
              <w:jc w:val="center"/>
              <w:rPr>
                <w:rFonts w:ascii="宋体"/>
              </w:rPr>
            </w:pPr>
            <w:r>
              <w:rPr>
                <w:rFonts w:hint="eastAsia" w:ascii="宋体" w:hAnsi="宋体" w:cs="宋体"/>
              </w:rPr>
              <w:t>过</w:t>
            </w:r>
          </w:p>
          <w:p>
            <w:pPr>
              <w:spacing w:line="240" w:lineRule="exact"/>
              <w:jc w:val="center"/>
              <w:rPr>
                <w:rFonts w:ascii="宋体"/>
              </w:rPr>
            </w:pPr>
          </w:p>
          <w:p>
            <w:pPr>
              <w:spacing w:line="240" w:lineRule="exact"/>
              <w:jc w:val="center"/>
              <w:rPr>
                <w:rFonts w:ascii="宋体"/>
              </w:rPr>
            </w:pPr>
          </w:p>
          <w:p>
            <w:pPr>
              <w:spacing w:line="240" w:lineRule="exact"/>
              <w:jc w:val="center"/>
              <w:rPr>
                <w:rFonts w:ascii="宋体"/>
              </w:rPr>
            </w:pPr>
            <w:r>
              <w:rPr>
                <w:rFonts w:hint="eastAsia" w:ascii="宋体" w:hAnsi="宋体" w:cs="宋体"/>
              </w:rPr>
              <w:t>程（</w:t>
            </w:r>
            <w:r>
              <w:rPr>
                <w:rFonts w:ascii="宋体" w:hAnsi="宋体" w:cs="宋体"/>
              </w:rPr>
              <w:t>20</w:t>
            </w:r>
            <w:r>
              <w:rPr>
                <w:rFonts w:hint="eastAsia" w:ascii="宋体" w:hAnsi="宋体" w:cs="宋体"/>
              </w:rPr>
              <w:t>分）</w:t>
            </w:r>
          </w:p>
        </w:tc>
        <w:tc>
          <w:tcPr>
            <w:tcW w:w="247" w:type="pct"/>
            <w:vMerge w:val="restart"/>
            <w:noWrap w:val="0"/>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资金</w:t>
            </w:r>
            <w:r>
              <w:rPr>
                <w:rFonts w:ascii="宋体"/>
              </w:rPr>
              <w:br w:type="textWrapping"/>
            </w:r>
            <w:r>
              <w:rPr>
                <w:rFonts w:hint="eastAsia" w:ascii="宋体" w:hAnsi="宋体" w:cs="宋体"/>
              </w:rPr>
              <w:t>管理（</w:t>
            </w:r>
            <w:r>
              <w:rPr>
                <w:rFonts w:ascii="宋体" w:hAnsi="宋体" w:cs="宋体"/>
              </w:rPr>
              <w:t>12</w:t>
            </w:r>
            <w:r>
              <w:rPr>
                <w:rFonts w:hint="eastAsia" w:ascii="宋体" w:hAnsi="宋体" w:cs="宋体"/>
              </w:rPr>
              <w:t>分）</w:t>
            </w:r>
          </w:p>
        </w:tc>
        <w:tc>
          <w:tcPr>
            <w:tcW w:w="454" w:type="pct"/>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w:t>
            </w:r>
          </w:p>
          <w:p>
            <w:pPr>
              <w:spacing w:line="240" w:lineRule="exact"/>
              <w:ind w:left="105" w:leftChars="50" w:right="105" w:rightChars="50"/>
              <w:jc w:val="center"/>
              <w:rPr>
                <w:rFonts w:ascii="宋体"/>
              </w:rPr>
            </w:pPr>
            <w:r>
              <w:rPr>
                <w:rFonts w:hint="eastAsia" w:ascii="宋体" w:hAnsi="宋体" w:cs="宋体"/>
              </w:rPr>
              <w:t>到位率（</w:t>
            </w:r>
            <w:r>
              <w:rPr>
                <w:rFonts w:ascii="宋体" w:hAnsi="宋体" w:cs="宋体"/>
              </w:rPr>
              <w:t>4</w:t>
            </w:r>
            <w:r>
              <w:rPr>
                <w:rFonts w:hint="eastAsia" w:ascii="宋体" w:hAnsi="宋体" w:cs="宋体"/>
              </w:rPr>
              <w:t>分）</w:t>
            </w:r>
          </w:p>
        </w:tc>
        <w:tc>
          <w:tcPr>
            <w:tcW w:w="294" w:type="pct"/>
            <w:noWrap w:val="0"/>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4</w:t>
            </w:r>
          </w:p>
        </w:tc>
        <w:tc>
          <w:tcPr>
            <w:tcW w:w="1428"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实际到位资金与预算资金的比率，用以反映和考核资金落实情况对预算支出实施的总体保障程度。</w:t>
            </w:r>
          </w:p>
        </w:tc>
        <w:tc>
          <w:tcPr>
            <w:tcW w:w="2282"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资金到位率</w:t>
            </w:r>
            <w:r>
              <w:rPr>
                <w:rFonts w:ascii="宋体" w:hAnsi="宋体" w:cs="宋体"/>
              </w:rPr>
              <w:t>=</w:t>
            </w:r>
            <w:r>
              <w:rPr>
                <w:rFonts w:hint="eastAsia" w:ascii="宋体" w:hAnsi="宋体" w:cs="宋体"/>
              </w:rPr>
              <w:t>（实际到位资金</w:t>
            </w:r>
            <w:r>
              <w:rPr>
                <w:rFonts w:ascii="宋体" w:hAnsi="宋体" w:cs="宋体"/>
              </w:rPr>
              <w:t>/</w:t>
            </w:r>
            <w:r>
              <w:rPr>
                <w:rFonts w:hint="eastAsia" w:ascii="宋体" w:hAnsi="宋体" w:cs="宋体"/>
              </w:rPr>
              <w:t>预算资金）×</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实际到位资金：一定时期（本年度或预算支出期）内落实到具体预算支出的资金。</w:t>
            </w:r>
            <w:r>
              <w:rPr>
                <w:rFonts w:ascii="宋体"/>
              </w:rPr>
              <w:br w:type="textWrapping"/>
            </w:r>
            <w:r>
              <w:rPr>
                <w:rFonts w:hint="eastAsia" w:ascii="宋体" w:hAnsi="宋体" w:cs="宋体"/>
              </w:rPr>
              <w:t>预算资金：一定时期（本年度或预算支出期）内预算安排到具体预算支出的资金。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65" w:hRule="atLeast"/>
          <w:jc w:val="center"/>
        </w:trPr>
        <w:tc>
          <w:tcPr>
            <w:tcW w:w="295" w:type="pct"/>
            <w:vMerge w:val="continue"/>
            <w:noWrap w:val="0"/>
            <w:vAlign w:val="center"/>
          </w:tcPr>
          <w:p>
            <w:pPr>
              <w:spacing w:line="240" w:lineRule="exact"/>
              <w:jc w:val="center"/>
              <w:rPr>
                <w:rFonts w:ascii="宋体"/>
              </w:rPr>
            </w:pPr>
          </w:p>
        </w:tc>
        <w:tc>
          <w:tcPr>
            <w:tcW w:w="247" w:type="pct"/>
            <w:vMerge w:val="continue"/>
            <w:noWrap w:val="0"/>
            <w:tcMar>
              <w:top w:w="10" w:type="dxa"/>
              <w:left w:w="10" w:type="dxa"/>
              <w:bottom w:w="0" w:type="dxa"/>
              <w:right w:w="10" w:type="dxa"/>
            </w:tcMar>
            <w:vAlign w:val="center"/>
          </w:tcPr>
          <w:p>
            <w:pPr>
              <w:spacing w:line="240" w:lineRule="exact"/>
              <w:jc w:val="center"/>
              <w:rPr>
                <w:rFonts w:ascii="宋体"/>
              </w:rPr>
            </w:pPr>
          </w:p>
        </w:tc>
        <w:tc>
          <w:tcPr>
            <w:tcW w:w="454" w:type="pct"/>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w:t>
            </w:r>
          </w:p>
          <w:p>
            <w:pPr>
              <w:spacing w:line="240" w:lineRule="exact"/>
              <w:ind w:left="105" w:leftChars="50" w:right="105" w:rightChars="50"/>
              <w:jc w:val="center"/>
              <w:rPr>
                <w:rFonts w:ascii="宋体"/>
              </w:rPr>
            </w:pPr>
            <w:r>
              <w:rPr>
                <w:rFonts w:hint="eastAsia" w:ascii="宋体" w:hAnsi="宋体" w:cs="宋体"/>
              </w:rPr>
              <w:t>执行率（</w:t>
            </w:r>
            <w:r>
              <w:rPr>
                <w:rFonts w:ascii="宋体" w:hAnsi="宋体" w:cs="宋体"/>
              </w:rPr>
              <w:t>4</w:t>
            </w:r>
            <w:r>
              <w:rPr>
                <w:rFonts w:hint="eastAsia" w:ascii="宋体" w:hAnsi="宋体" w:cs="宋体"/>
              </w:rPr>
              <w:t>分）</w:t>
            </w:r>
          </w:p>
        </w:tc>
        <w:tc>
          <w:tcPr>
            <w:tcW w:w="294" w:type="pct"/>
            <w:noWrap w:val="0"/>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4</w:t>
            </w:r>
          </w:p>
        </w:tc>
        <w:tc>
          <w:tcPr>
            <w:tcW w:w="1428"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预算资金是否按照计划执行，用以反映或考核预算支出预算执行情况。</w:t>
            </w:r>
          </w:p>
        </w:tc>
        <w:tc>
          <w:tcPr>
            <w:tcW w:w="2282"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预算执行率</w:t>
            </w:r>
            <w:r>
              <w:rPr>
                <w:rFonts w:ascii="宋体" w:hAnsi="宋体" w:cs="宋体"/>
              </w:rPr>
              <w:t>=</w:t>
            </w:r>
            <w:r>
              <w:rPr>
                <w:rFonts w:hint="eastAsia" w:ascii="宋体" w:hAnsi="宋体" w:cs="宋体"/>
              </w:rPr>
              <w:t>（实际支出资金</w:t>
            </w:r>
            <w:r>
              <w:rPr>
                <w:rFonts w:ascii="宋体" w:hAnsi="宋体" w:cs="宋体"/>
              </w:rPr>
              <w:t>/</w:t>
            </w:r>
            <w:r>
              <w:rPr>
                <w:rFonts w:hint="eastAsia" w:ascii="宋体" w:hAnsi="宋体" w:cs="宋体"/>
              </w:rPr>
              <w:t>实际到位资金）×</w:t>
            </w:r>
            <w:r>
              <w:rPr>
                <w:rFonts w:ascii="宋体" w:hAnsi="宋体" w:cs="宋体"/>
              </w:rPr>
              <w:t>100%</w:t>
            </w:r>
            <w:r>
              <w:rPr>
                <w:rFonts w:hint="eastAsia" w:ascii="宋体" w:hAnsi="宋体" w:cs="宋体"/>
              </w:rPr>
              <w:t>。</w:t>
            </w:r>
          </w:p>
          <w:p>
            <w:pPr>
              <w:spacing w:line="240" w:lineRule="exact"/>
              <w:ind w:left="105" w:leftChars="50" w:right="105" w:rightChars="50"/>
              <w:rPr>
                <w:rFonts w:ascii="宋体"/>
              </w:rPr>
            </w:pPr>
            <w:r>
              <w:rPr>
                <w:rFonts w:hint="eastAsia" w:ascii="宋体" w:hAnsi="宋体" w:cs="宋体"/>
              </w:rPr>
              <w:t>实际支出资金：一定时期（本年度或预算支出期）内预算支出实际拨付的资金。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noWrap w:val="0"/>
            <w:vAlign w:val="center"/>
          </w:tcPr>
          <w:p>
            <w:pPr>
              <w:spacing w:line="240" w:lineRule="exact"/>
              <w:jc w:val="center"/>
              <w:rPr>
                <w:rFonts w:ascii="宋体"/>
              </w:rPr>
            </w:pPr>
          </w:p>
        </w:tc>
        <w:tc>
          <w:tcPr>
            <w:tcW w:w="247" w:type="pct"/>
            <w:vMerge w:val="continue"/>
            <w:noWrap w:val="0"/>
            <w:vAlign w:val="center"/>
          </w:tcPr>
          <w:p>
            <w:pPr>
              <w:spacing w:line="240" w:lineRule="exact"/>
              <w:rPr>
                <w:rFonts w:ascii="宋体"/>
              </w:rPr>
            </w:pPr>
          </w:p>
        </w:tc>
        <w:tc>
          <w:tcPr>
            <w:tcW w:w="454" w:type="pct"/>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资金使用</w:t>
            </w:r>
          </w:p>
          <w:p>
            <w:pPr>
              <w:spacing w:line="240" w:lineRule="exact"/>
              <w:ind w:left="105" w:leftChars="50" w:right="105" w:rightChars="50"/>
              <w:jc w:val="center"/>
              <w:rPr>
                <w:rFonts w:ascii="宋体"/>
              </w:rPr>
            </w:pPr>
            <w:r>
              <w:rPr>
                <w:rFonts w:hint="eastAsia" w:ascii="宋体" w:hAnsi="宋体" w:cs="宋体"/>
              </w:rPr>
              <w:t>合规性（</w:t>
            </w:r>
            <w:r>
              <w:rPr>
                <w:rFonts w:ascii="宋体" w:hAnsi="宋体" w:cs="宋体"/>
              </w:rPr>
              <w:t>4</w:t>
            </w:r>
            <w:r>
              <w:rPr>
                <w:rFonts w:hint="eastAsia" w:ascii="宋体" w:hAnsi="宋体" w:cs="宋体"/>
              </w:rPr>
              <w:t>分）</w:t>
            </w:r>
          </w:p>
        </w:tc>
        <w:tc>
          <w:tcPr>
            <w:tcW w:w="294" w:type="pct"/>
            <w:noWrap w:val="0"/>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4</w:t>
            </w:r>
          </w:p>
        </w:tc>
        <w:tc>
          <w:tcPr>
            <w:tcW w:w="1428"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预算资金使用是否符合相关的财务管理制度规定，用以反映和考核预算资金的规范运行情况。</w:t>
            </w:r>
          </w:p>
        </w:tc>
        <w:tc>
          <w:tcPr>
            <w:tcW w:w="2282"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ight="105" w:rightChars="50"/>
              <w:rPr>
                <w:rFonts w:ascii="宋体"/>
              </w:rPr>
            </w:pPr>
            <w:r>
              <w:rPr>
                <w:rFonts w:hint="eastAsia" w:ascii="宋体" w:hAnsi="宋体" w:cs="宋体"/>
              </w:rPr>
              <w:t>①是否符合国家财经法规和财务管理制度以及有关专项资金管理办法的规定；</w:t>
            </w:r>
          </w:p>
          <w:p>
            <w:pPr>
              <w:spacing w:line="240" w:lineRule="exact"/>
              <w:ind w:right="105" w:rightChars="50" w:firstLine="105" w:firstLineChars="50"/>
              <w:rPr>
                <w:rFonts w:ascii="宋体"/>
              </w:rPr>
            </w:pPr>
            <w:r>
              <w:rPr>
                <w:rFonts w:hint="eastAsia" w:ascii="宋体" w:hAnsi="宋体" w:cs="宋体"/>
              </w:rPr>
              <w:t>②资金的拨付是否有完整的审批程序和手续；</w:t>
            </w:r>
          </w:p>
          <w:p>
            <w:pPr>
              <w:spacing w:line="240" w:lineRule="exact"/>
              <w:ind w:right="105" w:rightChars="50" w:firstLine="105" w:firstLineChars="50"/>
              <w:rPr>
                <w:rFonts w:ascii="宋体"/>
              </w:rPr>
            </w:pPr>
            <w:r>
              <w:rPr>
                <w:rFonts w:hint="eastAsia" w:ascii="宋体" w:hAnsi="宋体" w:cs="宋体"/>
              </w:rPr>
              <w:t>③是否符合预算支出预算批复或合同规定的用途；</w:t>
            </w:r>
          </w:p>
          <w:p>
            <w:pPr>
              <w:spacing w:line="240" w:lineRule="exact"/>
              <w:ind w:left="105" w:leftChars="50" w:right="105" w:rightChars="50"/>
              <w:rPr>
                <w:rFonts w:ascii="宋体"/>
              </w:rPr>
            </w:pPr>
            <w:r>
              <w:rPr>
                <w:rFonts w:hint="eastAsia" w:ascii="宋体" w:hAnsi="宋体" w:cs="宋体"/>
              </w:rPr>
              <w:t>④是否存在截留、挤占、挪用、虐列支出等情况。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noWrap/>
            <w:tcMar>
              <w:top w:w="10" w:type="dxa"/>
              <w:left w:w="10" w:type="dxa"/>
              <w:bottom w:w="0" w:type="dxa"/>
              <w:right w:w="10" w:type="dxa"/>
            </w:tcMar>
            <w:textDirection w:val="tbRlV"/>
            <w:vAlign w:val="center"/>
          </w:tcPr>
          <w:p>
            <w:pPr>
              <w:spacing w:line="240" w:lineRule="exact"/>
              <w:jc w:val="center"/>
              <w:rPr>
                <w:rFonts w:ascii="宋体"/>
              </w:rPr>
            </w:pPr>
          </w:p>
        </w:tc>
        <w:tc>
          <w:tcPr>
            <w:tcW w:w="247" w:type="pct"/>
            <w:vMerge w:val="restart"/>
            <w:noWrap w:val="0"/>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组织</w:t>
            </w:r>
          </w:p>
          <w:p>
            <w:pPr>
              <w:spacing w:line="240" w:lineRule="exact"/>
              <w:jc w:val="center"/>
              <w:rPr>
                <w:rFonts w:ascii="宋体"/>
              </w:rPr>
            </w:pPr>
            <w:r>
              <w:rPr>
                <w:rFonts w:hint="eastAsia" w:ascii="宋体" w:hAnsi="宋体" w:cs="宋体"/>
              </w:rPr>
              <w:t>实施（</w:t>
            </w:r>
            <w:r>
              <w:rPr>
                <w:rFonts w:ascii="宋体" w:hAnsi="宋体" w:cs="宋体"/>
              </w:rPr>
              <w:t>8</w:t>
            </w:r>
            <w:r>
              <w:rPr>
                <w:rFonts w:hint="eastAsia" w:ascii="宋体" w:hAnsi="宋体" w:cs="宋体"/>
              </w:rPr>
              <w:t>分）</w:t>
            </w:r>
          </w:p>
        </w:tc>
        <w:tc>
          <w:tcPr>
            <w:tcW w:w="454" w:type="pct"/>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管理制度</w:t>
            </w:r>
          </w:p>
          <w:p>
            <w:pPr>
              <w:spacing w:line="240" w:lineRule="exact"/>
              <w:ind w:left="105" w:leftChars="50" w:right="105" w:rightChars="50"/>
              <w:jc w:val="center"/>
              <w:rPr>
                <w:rFonts w:ascii="宋体"/>
              </w:rPr>
            </w:pPr>
            <w:r>
              <w:rPr>
                <w:rFonts w:hint="eastAsia" w:ascii="宋体" w:hAnsi="宋体" w:cs="宋体"/>
              </w:rPr>
              <w:t>健全性（</w:t>
            </w:r>
            <w:r>
              <w:rPr>
                <w:rFonts w:ascii="宋体" w:hAnsi="宋体" w:cs="宋体"/>
              </w:rPr>
              <w:t>4</w:t>
            </w:r>
            <w:r>
              <w:rPr>
                <w:rFonts w:hint="eastAsia" w:ascii="宋体" w:hAnsi="宋体" w:cs="宋体"/>
              </w:rPr>
              <w:t>分）</w:t>
            </w:r>
          </w:p>
        </w:tc>
        <w:tc>
          <w:tcPr>
            <w:tcW w:w="294" w:type="pct"/>
            <w:noWrap w:val="0"/>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4</w:t>
            </w:r>
          </w:p>
        </w:tc>
        <w:tc>
          <w:tcPr>
            <w:tcW w:w="1428"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预算支出实施单位的财务和业务管理制度是否健全，用以反映和考核财务和业务管理制度对预算支出顺利实施的保障情况。</w:t>
            </w:r>
          </w:p>
        </w:tc>
        <w:tc>
          <w:tcPr>
            <w:tcW w:w="2282"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①是否已制定或具有相应的业务管理制度；</w:t>
            </w:r>
            <w:r>
              <w:rPr>
                <w:rFonts w:ascii="宋体"/>
              </w:rPr>
              <w:br w:type="textWrapping"/>
            </w:r>
            <w:r>
              <w:rPr>
                <w:rFonts w:hint="eastAsia" w:ascii="宋体" w:hAnsi="宋体" w:cs="宋体"/>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noWrap w:val="0"/>
            <w:vAlign w:val="center"/>
          </w:tcPr>
          <w:p>
            <w:pPr>
              <w:spacing w:line="240" w:lineRule="exact"/>
              <w:rPr>
                <w:rFonts w:ascii="宋体"/>
              </w:rPr>
            </w:pPr>
          </w:p>
        </w:tc>
        <w:tc>
          <w:tcPr>
            <w:tcW w:w="247" w:type="pct"/>
            <w:vMerge w:val="continue"/>
            <w:noWrap w:val="0"/>
            <w:vAlign w:val="center"/>
          </w:tcPr>
          <w:p>
            <w:pPr>
              <w:spacing w:line="240" w:lineRule="exact"/>
              <w:rPr>
                <w:rFonts w:ascii="宋体"/>
              </w:rPr>
            </w:pPr>
          </w:p>
        </w:tc>
        <w:tc>
          <w:tcPr>
            <w:tcW w:w="454" w:type="pct"/>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制度执行</w:t>
            </w:r>
          </w:p>
          <w:p>
            <w:pPr>
              <w:spacing w:line="240" w:lineRule="exact"/>
              <w:ind w:left="105" w:leftChars="50" w:right="105" w:rightChars="50"/>
              <w:jc w:val="center"/>
              <w:rPr>
                <w:rFonts w:ascii="宋体"/>
              </w:rPr>
            </w:pPr>
            <w:r>
              <w:rPr>
                <w:rFonts w:hint="eastAsia" w:ascii="宋体" w:hAnsi="宋体" w:cs="宋体"/>
              </w:rPr>
              <w:t>有效性（</w:t>
            </w:r>
            <w:r>
              <w:rPr>
                <w:rFonts w:ascii="宋体" w:hAnsi="宋体" w:cs="宋体"/>
              </w:rPr>
              <w:t>4</w:t>
            </w:r>
            <w:r>
              <w:rPr>
                <w:rFonts w:hint="eastAsia" w:ascii="宋体" w:hAnsi="宋体" w:cs="宋体"/>
              </w:rPr>
              <w:t>分）</w:t>
            </w:r>
          </w:p>
        </w:tc>
        <w:tc>
          <w:tcPr>
            <w:tcW w:w="294" w:type="pct"/>
            <w:noWrap w:val="0"/>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4</w:t>
            </w:r>
          </w:p>
        </w:tc>
        <w:tc>
          <w:tcPr>
            <w:tcW w:w="1428"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预算支出实施是否符合相关业务管理规定，用以反映和考核业务管理制度的有效执行情况。</w:t>
            </w:r>
          </w:p>
        </w:tc>
        <w:tc>
          <w:tcPr>
            <w:tcW w:w="2282"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①是否遵守相关法律法规和相关管理规定；</w:t>
            </w:r>
            <w:r>
              <w:rPr>
                <w:rFonts w:ascii="宋体"/>
              </w:rPr>
              <w:br w:type="textWrapping"/>
            </w:r>
            <w:r>
              <w:rPr>
                <w:rFonts w:hint="eastAsia" w:ascii="宋体" w:hAnsi="宋体" w:cs="宋体"/>
              </w:rPr>
              <w:t>②预算支出调整及支出调整手续是否完备；</w:t>
            </w:r>
            <w:r>
              <w:rPr>
                <w:rFonts w:ascii="宋体"/>
              </w:rPr>
              <w:br w:type="textWrapping"/>
            </w:r>
            <w:r>
              <w:rPr>
                <w:rFonts w:hint="eastAsia" w:ascii="宋体" w:hAnsi="宋体" w:cs="宋体"/>
              </w:rPr>
              <w:t>③预算支出合同书、验收报告、技术鉴定等资料是否齐全并及时归档；</w:t>
            </w:r>
            <w:r>
              <w:rPr>
                <w:rFonts w:ascii="宋体"/>
              </w:rPr>
              <w:br w:type="textWrapping"/>
            </w:r>
            <w:r>
              <w:rPr>
                <w:rFonts w:hint="eastAsia" w:ascii="宋体" w:hAnsi="宋体" w:cs="宋体"/>
              </w:rPr>
              <w:t>④预算支出实施的人员条件、场地设备、信息支撑等是否落实到位。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295" w:type="pct"/>
            <w:vMerge w:val="restart"/>
            <w:noWrap/>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247" w:type="pct"/>
            <w:noWrap w:val="0"/>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数量（</w:t>
            </w:r>
            <w:r>
              <w:rPr>
                <w:rFonts w:ascii="宋体" w:hAnsi="宋体" w:cs="宋体"/>
              </w:rPr>
              <w:t>10</w:t>
            </w:r>
            <w:r>
              <w:rPr>
                <w:rFonts w:hint="eastAsia" w:ascii="宋体" w:hAnsi="宋体" w:cs="宋体"/>
              </w:rPr>
              <w:t>分）</w:t>
            </w:r>
          </w:p>
        </w:tc>
        <w:tc>
          <w:tcPr>
            <w:tcW w:w="454" w:type="pct"/>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实际</w:t>
            </w:r>
          </w:p>
          <w:p>
            <w:pPr>
              <w:spacing w:line="240" w:lineRule="exact"/>
              <w:ind w:left="105" w:leftChars="50" w:right="105" w:rightChars="50"/>
              <w:jc w:val="center"/>
              <w:rPr>
                <w:rFonts w:ascii="宋体"/>
              </w:rPr>
            </w:pPr>
            <w:r>
              <w:rPr>
                <w:rFonts w:hint="eastAsia" w:ascii="宋体" w:hAnsi="宋体" w:cs="宋体"/>
              </w:rPr>
              <w:t>完成率（</w:t>
            </w:r>
            <w:r>
              <w:rPr>
                <w:rFonts w:ascii="宋体" w:hAnsi="宋体" w:cs="宋体"/>
              </w:rPr>
              <w:t>10</w:t>
            </w:r>
            <w:r>
              <w:rPr>
                <w:rFonts w:hint="eastAsia" w:ascii="宋体" w:hAnsi="宋体" w:cs="宋体"/>
              </w:rPr>
              <w:t>分）</w:t>
            </w:r>
          </w:p>
        </w:tc>
        <w:tc>
          <w:tcPr>
            <w:tcW w:w="294" w:type="pct"/>
            <w:noWrap w:val="0"/>
            <w:vAlign w:val="center"/>
          </w:tcPr>
          <w:p>
            <w:pPr>
              <w:spacing w:line="240" w:lineRule="exact"/>
              <w:ind w:left="105" w:leftChars="50" w:right="105" w:rightChars="50"/>
              <w:jc w:val="center"/>
              <w:rPr>
                <w:rFonts w:hint="default" w:ascii="宋体" w:eastAsia="宋体"/>
                <w:lang w:val="en-US" w:eastAsia="zh-CN"/>
              </w:rPr>
            </w:pPr>
            <w:r>
              <w:rPr>
                <w:rFonts w:hint="eastAsia" w:ascii="宋体"/>
                <w:lang w:val="en-US" w:eastAsia="zh-CN"/>
              </w:rPr>
              <w:t>10</w:t>
            </w:r>
          </w:p>
        </w:tc>
        <w:tc>
          <w:tcPr>
            <w:tcW w:w="1428"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预算支出实施的实际产出数与计划产出数的比率，用以反映和考核预算支出产出数量目标的实现程度。</w:t>
            </w:r>
          </w:p>
        </w:tc>
        <w:tc>
          <w:tcPr>
            <w:tcW w:w="2282"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实际完成率</w:t>
            </w:r>
            <w:r>
              <w:rPr>
                <w:rFonts w:ascii="宋体" w:hAnsi="宋体" w:cs="宋体"/>
              </w:rPr>
              <w:t>=</w:t>
            </w:r>
            <w:r>
              <w:rPr>
                <w:rFonts w:hint="eastAsia" w:ascii="宋体" w:hAnsi="宋体" w:cs="宋体"/>
              </w:rPr>
              <w:t>（实际产出数</w:t>
            </w:r>
            <w:r>
              <w:rPr>
                <w:rFonts w:ascii="宋体" w:hAnsi="宋体" w:cs="宋体"/>
              </w:rPr>
              <w:t>/</w:t>
            </w:r>
            <w:r>
              <w:rPr>
                <w:rFonts w:hint="eastAsia" w:ascii="宋体" w:hAnsi="宋体" w:cs="宋体"/>
              </w:rPr>
              <w:t>计划产出数）×</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实际产出数：一定时期（本年度或预算支出期）内预算支出实际产出的产品或提供的服务数量。</w:t>
            </w:r>
            <w:r>
              <w:rPr>
                <w:rFonts w:ascii="宋体"/>
              </w:rPr>
              <w:br w:type="textWrapping"/>
            </w:r>
            <w:r>
              <w:rPr>
                <w:rFonts w:hint="eastAsia" w:ascii="宋体" w:hAnsi="宋体" w:cs="宋体"/>
              </w:rPr>
              <w:t>计划产出数：预算支出绩效目标确定的在一定时期（本年度或预算支出期）内计划产出的产品或提供的服务数量。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295" w:type="pct"/>
            <w:vMerge w:val="continue"/>
            <w:noWrap/>
            <w:tcMar>
              <w:top w:w="10" w:type="dxa"/>
              <w:left w:w="10" w:type="dxa"/>
              <w:bottom w:w="0" w:type="dxa"/>
              <w:right w:w="10" w:type="dxa"/>
            </w:tcMar>
            <w:textDirection w:val="tbRlV"/>
            <w:vAlign w:val="center"/>
          </w:tcPr>
          <w:p>
            <w:pPr>
              <w:spacing w:line="240" w:lineRule="exact"/>
              <w:jc w:val="center"/>
              <w:rPr>
                <w:rFonts w:ascii="宋体"/>
              </w:rPr>
            </w:pPr>
          </w:p>
        </w:tc>
        <w:tc>
          <w:tcPr>
            <w:tcW w:w="247" w:type="pct"/>
            <w:noWrap w:val="0"/>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质量（</w:t>
            </w:r>
            <w:r>
              <w:rPr>
                <w:rFonts w:ascii="宋体" w:hAnsi="宋体" w:cs="宋体"/>
              </w:rPr>
              <w:t>10</w:t>
            </w:r>
            <w:r>
              <w:rPr>
                <w:rFonts w:hint="eastAsia" w:ascii="宋体" w:hAnsi="宋体" w:cs="宋体"/>
              </w:rPr>
              <w:t>分）</w:t>
            </w:r>
          </w:p>
        </w:tc>
        <w:tc>
          <w:tcPr>
            <w:tcW w:w="454" w:type="pct"/>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质量</w:t>
            </w:r>
          </w:p>
          <w:p>
            <w:pPr>
              <w:spacing w:line="240" w:lineRule="exact"/>
              <w:ind w:left="105" w:leftChars="50" w:right="105" w:rightChars="50"/>
              <w:jc w:val="center"/>
              <w:rPr>
                <w:rFonts w:ascii="宋体"/>
              </w:rPr>
            </w:pPr>
            <w:r>
              <w:rPr>
                <w:rFonts w:hint="eastAsia" w:ascii="宋体" w:hAnsi="宋体" w:cs="宋体"/>
              </w:rPr>
              <w:t>达标率（</w:t>
            </w:r>
            <w:r>
              <w:rPr>
                <w:rFonts w:ascii="宋体" w:hAnsi="宋体" w:cs="宋体"/>
              </w:rPr>
              <w:t>10</w:t>
            </w:r>
            <w:r>
              <w:rPr>
                <w:rFonts w:hint="eastAsia" w:ascii="宋体" w:hAnsi="宋体" w:cs="宋体"/>
              </w:rPr>
              <w:t>分）</w:t>
            </w:r>
          </w:p>
        </w:tc>
        <w:tc>
          <w:tcPr>
            <w:tcW w:w="294" w:type="pct"/>
            <w:noWrap w:val="0"/>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9</w:t>
            </w:r>
          </w:p>
        </w:tc>
        <w:tc>
          <w:tcPr>
            <w:tcW w:w="1428"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预算支出完成的质量达标产出数与实际产出数的比率，用以反映和考核预算支出产出质量目标的实现程度。</w:t>
            </w:r>
          </w:p>
        </w:tc>
        <w:tc>
          <w:tcPr>
            <w:tcW w:w="2282"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质量达标率</w:t>
            </w:r>
            <w:r>
              <w:rPr>
                <w:rFonts w:ascii="宋体" w:hAnsi="宋体" w:cs="宋体"/>
              </w:rPr>
              <w:t>=</w:t>
            </w:r>
            <w:r>
              <w:rPr>
                <w:rFonts w:hint="eastAsia" w:ascii="宋体" w:hAnsi="宋体" w:cs="宋体"/>
              </w:rPr>
              <w:t>（质量达标产出数</w:t>
            </w:r>
            <w:r>
              <w:rPr>
                <w:rFonts w:ascii="宋体" w:hAnsi="宋体" w:cs="宋体"/>
              </w:rPr>
              <w:t>/</w:t>
            </w:r>
            <w:r>
              <w:rPr>
                <w:rFonts w:hint="eastAsia" w:ascii="宋体" w:hAnsi="宋体" w:cs="宋体"/>
              </w:rPr>
              <w:t>实际产出数）×</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295" w:type="pct"/>
            <w:vMerge w:val="restart"/>
            <w:noWrap w:val="0"/>
            <w:vAlign w:val="center"/>
          </w:tcPr>
          <w:p>
            <w:pPr>
              <w:spacing w:line="240" w:lineRule="exact"/>
              <w:ind w:left="113"/>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247" w:type="pct"/>
            <w:noWrap w:val="0"/>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时效（</w:t>
            </w:r>
            <w:r>
              <w:rPr>
                <w:rFonts w:ascii="宋体" w:hAnsi="宋体" w:cs="宋体"/>
              </w:rPr>
              <w:t>10</w:t>
            </w:r>
            <w:r>
              <w:rPr>
                <w:rFonts w:hint="eastAsia" w:ascii="宋体" w:hAnsi="宋体" w:cs="宋体"/>
              </w:rPr>
              <w:t>分）</w:t>
            </w:r>
          </w:p>
        </w:tc>
        <w:tc>
          <w:tcPr>
            <w:tcW w:w="454" w:type="pct"/>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完成</w:t>
            </w:r>
          </w:p>
          <w:p>
            <w:pPr>
              <w:spacing w:line="240" w:lineRule="exact"/>
              <w:ind w:left="105" w:leftChars="50" w:right="105" w:rightChars="50"/>
              <w:jc w:val="center"/>
              <w:rPr>
                <w:rFonts w:ascii="宋体"/>
              </w:rPr>
            </w:pPr>
            <w:r>
              <w:rPr>
                <w:rFonts w:hint="eastAsia" w:ascii="宋体" w:hAnsi="宋体" w:cs="宋体"/>
              </w:rPr>
              <w:t>及时性（</w:t>
            </w:r>
            <w:r>
              <w:rPr>
                <w:rFonts w:ascii="宋体" w:hAnsi="宋体" w:cs="宋体"/>
              </w:rPr>
              <w:t>10</w:t>
            </w:r>
            <w:r>
              <w:rPr>
                <w:rFonts w:hint="eastAsia" w:ascii="宋体" w:hAnsi="宋体" w:cs="宋体"/>
              </w:rPr>
              <w:t>分）</w:t>
            </w:r>
          </w:p>
        </w:tc>
        <w:tc>
          <w:tcPr>
            <w:tcW w:w="294" w:type="pct"/>
            <w:noWrap w:val="0"/>
            <w:vAlign w:val="center"/>
          </w:tcPr>
          <w:p>
            <w:pPr>
              <w:spacing w:line="240" w:lineRule="exact"/>
              <w:ind w:left="105" w:leftChars="50" w:right="105" w:rightChars="50"/>
              <w:jc w:val="center"/>
              <w:rPr>
                <w:rFonts w:hint="default" w:ascii="宋体" w:eastAsia="宋体"/>
                <w:lang w:val="en-US" w:eastAsia="zh-CN"/>
              </w:rPr>
            </w:pPr>
            <w:r>
              <w:rPr>
                <w:rFonts w:hint="eastAsia" w:ascii="宋体"/>
                <w:lang w:val="en-US" w:eastAsia="zh-CN"/>
              </w:rPr>
              <w:t>10</w:t>
            </w:r>
          </w:p>
        </w:tc>
        <w:tc>
          <w:tcPr>
            <w:tcW w:w="1428"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预算支出实际完成时间与计划完成时间的比较，用以反映和考核预算支出产出时效目标的实现程度。</w:t>
            </w:r>
          </w:p>
        </w:tc>
        <w:tc>
          <w:tcPr>
            <w:tcW w:w="2282"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实际完成时间：预算支出实施单位完成该预算支出实际所耗用的时间。</w:t>
            </w:r>
            <w:r>
              <w:rPr>
                <w:rFonts w:ascii="宋体"/>
              </w:rPr>
              <w:br w:type="textWrapping"/>
            </w:r>
            <w:r>
              <w:rPr>
                <w:rFonts w:hint="eastAsia" w:ascii="宋体" w:hAnsi="宋体" w:cs="宋体"/>
              </w:rPr>
              <w:t>计划完成时间：按照预算支出实施计划或相关规定完成该预算支出所需的时间。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noWrap w:val="0"/>
            <w:vAlign w:val="center"/>
          </w:tcPr>
          <w:p>
            <w:pPr>
              <w:spacing w:line="240" w:lineRule="exact"/>
              <w:ind w:left="113"/>
              <w:rPr>
                <w:rFonts w:ascii="宋体"/>
              </w:rPr>
            </w:pPr>
          </w:p>
        </w:tc>
        <w:tc>
          <w:tcPr>
            <w:tcW w:w="247" w:type="pct"/>
            <w:noWrap w:val="0"/>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成本（</w:t>
            </w:r>
            <w:r>
              <w:rPr>
                <w:rFonts w:ascii="宋体" w:hAnsi="宋体" w:cs="宋体"/>
              </w:rPr>
              <w:t>10</w:t>
            </w:r>
            <w:r>
              <w:rPr>
                <w:rFonts w:hint="eastAsia" w:ascii="宋体" w:hAnsi="宋体" w:cs="宋体"/>
              </w:rPr>
              <w:t>分）</w:t>
            </w:r>
          </w:p>
        </w:tc>
        <w:tc>
          <w:tcPr>
            <w:tcW w:w="454" w:type="pct"/>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成本</w:t>
            </w:r>
          </w:p>
          <w:p>
            <w:pPr>
              <w:spacing w:line="240" w:lineRule="exact"/>
              <w:ind w:left="105" w:leftChars="50" w:right="105" w:rightChars="50"/>
              <w:jc w:val="center"/>
              <w:rPr>
                <w:rFonts w:ascii="宋体"/>
              </w:rPr>
            </w:pPr>
            <w:r>
              <w:rPr>
                <w:rFonts w:hint="eastAsia" w:ascii="宋体" w:hAnsi="宋体" w:cs="宋体"/>
              </w:rPr>
              <w:t>节约率（</w:t>
            </w:r>
            <w:r>
              <w:rPr>
                <w:rFonts w:ascii="宋体" w:hAnsi="宋体" w:cs="宋体"/>
              </w:rPr>
              <w:t>10</w:t>
            </w:r>
            <w:r>
              <w:rPr>
                <w:rFonts w:hint="eastAsia" w:ascii="宋体" w:hAnsi="宋体" w:cs="宋体"/>
              </w:rPr>
              <w:t>分）</w:t>
            </w:r>
          </w:p>
        </w:tc>
        <w:tc>
          <w:tcPr>
            <w:tcW w:w="294" w:type="pct"/>
            <w:noWrap w:val="0"/>
            <w:vAlign w:val="center"/>
          </w:tcPr>
          <w:p>
            <w:pPr>
              <w:spacing w:line="240" w:lineRule="exact"/>
              <w:ind w:left="105" w:leftChars="50" w:right="105" w:rightChars="50"/>
              <w:jc w:val="center"/>
              <w:rPr>
                <w:rFonts w:hint="default" w:ascii="宋体" w:eastAsia="宋体"/>
                <w:lang w:val="en-US" w:eastAsia="zh-CN"/>
              </w:rPr>
            </w:pPr>
            <w:r>
              <w:rPr>
                <w:rFonts w:hint="eastAsia" w:ascii="宋体"/>
                <w:lang w:val="en-US" w:eastAsia="zh-CN"/>
              </w:rPr>
              <w:t>10</w:t>
            </w:r>
          </w:p>
        </w:tc>
        <w:tc>
          <w:tcPr>
            <w:tcW w:w="1428"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完成预算支出计划工作目标的实际节约成本与计划成本的比率，用以反映和考核预算支出的成本节约程度。</w:t>
            </w:r>
          </w:p>
        </w:tc>
        <w:tc>
          <w:tcPr>
            <w:tcW w:w="2282"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成本节约率</w:t>
            </w:r>
            <w:r>
              <w:rPr>
                <w:rFonts w:ascii="宋体" w:hAnsi="宋体" w:cs="宋体"/>
              </w:rPr>
              <w:t>=[</w:t>
            </w:r>
            <w:r>
              <w:rPr>
                <w:rFonts w:hint="eastAsia" w:ascii="宋体" w:hAnsi="宋体" w:cs="宋体"/>
              </w:rPr>
              <w:t>（计划成本</w:t>
            </w:r>
            <w:r>
              <w:rPr>
                <w:rFonts w:ascii="宋体" w:cs="宋体"/>
              </w:rPr>
              <w:t>-</w:t>
            </w:r>
            <w:r>
              <w:rPr>
                <w:rFonts w:hint="eastAsia" w:ascii="宋体" w:hAnsi="宋体" w:cs="宋体"/>
              </w:rPr>
              <w:t>实际成本）</w:t>
            </w:r>
            <w:r>
              <w:rPr>
                <w:rFonts w:ascii="宋体" w:hAnsi="宋体" w:cs="宋体"/>
              </w:rPr>
              <w:t>/</w:t>
            </w:r>
            <w:r>
              <w:rPr>
                <w:rFonts w:hint="eastAsia" w:ascii="宋体" w:hAnsi="宋体" w:cs="宋体"/>
              </w:rPr>
              <w:t>计划成本</w:t>
            </w:r>
            <w:r>
              <w:rPr>
                <w:rFonts w:ascii="宋体" w:hAnsi="宋体" w:cs="宋体"/>
              </w:rPr>
              <w:t>]</w:t>
            </w:r>
            <w:r>
              <w:rPr>
                <w:rFonts w:hint="eastAsia" w:ascii="宋体" w:hAnsi="宋体" w:cs="宋体"/>
              </w:rPr>
              <w:t>×</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实际成本：预算支出实施单位如期、保质、保量完成既定工作目标实际所耗费的支出。</w:t>
            </w:r>
            <w:r>
              <w:rPr>
                <w:rFonts w:ascii="宋体"/>
              </w:rPr>
              <w:br w:type="textWrapping"/>
            </w:r>
            <w:r>
              <w:rPr>
                <w:rFonts w:hint="eastAsia" w:ascii="宋体" w:hAnsi="宋体" w:cs="宋体"/>
              </w:rPr>
              <w:t>计划成本：预算支出实施单位为完成工作目标计划安排的支出，一般以预算支出预算为参考。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restart"/>
            <w:noWrap/>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效</w:t>
            </w:r>
            <w:r>
              <w:rPr>
                <w:rFonts w:ascii="宋体" w:hAnsi="宋体" w:cs="宋体"/>
              </w:rPr>
              <w:t xml:space="preserve">   </w:t>
            </w:r>
            <w:r>
              <w:rPr>
                <w:rFonts w:hint="eastAsia" w:ascii="宋体" w:hAnsi="宋体" w:cs="宋体"/>
              </w:rPr>
              <w:t>益（</w:t>
            </w:r>
            <w:r>
              <w:rPr>
                <w:rFonts w:ascii="宋体" w:hAnsi="宋体" w:cs="宋体"/>
              </w:rPr>
              <w:t>20</w:t>
            </w:r>
            <w:r>
              <w:rPr>
                <w:rFonts w:hint="eastAsia" w:ascii="宋体" w:hAnsi="宋体" w:cs="宋体"/>
              </w:rPr>
              <w:t>分）</w:t>
            </w:r>
          </w:p>
        </w:tc>
        <w:tc>
          <w:tcPr>
            <w:tcW w:w="247" w:type="pct"/>
            <w:vMerge w:val="restart"/>
            <w:noWrap w:val="0"/>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w:t>
            </w:r>
            <w:r>
              <w:rPr>
                <w:rFonts w:ascii="宋体"/>
              </w:rPr>
              <w:br w:type="textWrapping"/>
            </w:r>
            <w:r>
              <w:rPr>
                <w:rFonts w:hint="eastAsia" w:ascii="宋体" w:hAnsi="宋体" w:cs="宋体"/>
              </w:rPr>
              <w:t>效益（</w:t>
            </w:r>
            <w:r>
              <w:rPr>
                <w:rFonts w:ascii="宋体" w:hAnsi="宋体" w:cs="宋体"/>
              </w:rPr>
              <w:t>20</w:t>
            </w:r>
            <w:r>
              <w:rPr>
                <w:rFonts w:hint="eastAsia" w:ascii="宋体" w:hAnsi="宋体" w:cs="宋体"/>
              </w:rPr>
              <w:t>分）</w:t>
            </w:r>
          </w:p>
        </w:tc>
        <w:tc>
          <w:tcPr>
            <w:tcW w:w="454" w:type="pct"/>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实施效益（</w:t>
            </w:r>
            <w:r>
              <w:rPr>
                <w:rFonts w:ascii="宋体" w:hAnsi="宋体" w:cs="宋体"/>
              </w:rPr>
              <w:t>10</w:t>
            </w:r>
            <w:r>
              <w:rPr>
                <w:rFonts w:hint="eastAsia" w:ascii="宋体" w:hAnsi="宋体" w:cs="宋体"/>
              </w:rPr>
              <w:t>分）</w:t>
            </w:r>
          </w:p>
        </w:tc>
        <w:tc>
          <w:tcPr>
            <w:tcW w:w="294" w:type="pct"/>
            <w:noWrap w:val="0"/>
            <w:vAlign w:val="center"/>
          </w:tcPr>
          <w:p>
            <w:pPr>
              <w:spacing w:line="240" w:lineRule="exact"/>
              <w:ind w:left="105" w:leftChars="50" w:right="105" w:rightChars="50"/>
              <w:jc w:val="center"/>
              <w:rPr>
                <w:rFonts w:hint="default" w:ascii="宋体" w:eastAsia="宋体"/>
                <w:lang w:val="en-US" w:eastAsia="zh-CN"/>
              </w:rPr>
            </w:pPr>
            <w:r>
              <w:rPr>
                <w:rFonts w:hint="eastAsia" w:ascii="宋体"/>
                <w:lang w:val="en-US" w:eastAsia="zh-CN"/>
              </w:rPr>
              <w:t>10</w:t>
            </w:r>
          </w:p>
        </w:tc>
        <w:tc>
          <w:tcPr>
            <w:tcW w:w="1428"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预算支出实施所产生的效益。</w:t>
            </w:r>
          </w:p>
        </w:tc>
        <w:tc>
          <w:tcPr>
            <w:tcW w:w="2282"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预算支出实施所产生的社会效益、经济效益、生态效益、可持续影响等。可根据预算支出实际情况有选择地设置和细化。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noWrap w:val="0"/>
            <w:vAlign w:val="center"/>
          </w:tcPr>
          <w:p>
            <w:pPr>
              <w:spacing w:line="240" w:lineRule="exact"/>
              <w:rPr>
                <w:rFonts w:ascii="宋体"/>
              </w:rPr>
            </w:pPr>
          </w:p>
        </w:tc>
        <w:tc>
          <w:tcPr>
            <w:tcW w:w="247" w:type="pct"/>
            <w:vMerge w:val="continue"/>
            <w:noWrap w:val="0"/>
            <w:vAlign w:val="center"/>
          </w:tcPr>
          <w:p>
            <w:pPr>
              <w:spacing w:line="240" w:lineRule="exact"/>
              <w:rPr>
                <w:rFonts w:ascii="宋体"/>
              </w:rPr>
            </w:pPr>
          </w:p>
        </w:tc>
        <w:tc>
          <w:tcPr>
            <w:tcW w:w="454" w:type="pct"/>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社会公众</w:t>
            </w:r>
          </w:p>
          <w:p>
            <w:pPr>
              <w:spacing w:line="240" w:lineRule="exact"/>
              <w:ind w:left="105" w:leftChars="50" w:right="105" w:rightChars="50"/>
              <w:jc w:val="center"/>
              <w:rPr>
                <w:rFonts w:ascii="宋体"/>
              </w:rPr>
            </w:pPr>
            <w:r>
              <w:rPr>
                <w:rFonts w:hint="eastAsia" w:ascii="宋体" w:hAnsi="宋体" w:cs="宋体"/>
              </w:rPr>
              <w:t>或服务（</w:t>
            </w:r>
            <w:r>
              <w:rPr>
                <w:rFonts w:ascii="宋体" w:hAnsi="宋体" w:cs="宋体"/>
              </w:rPr>
              <w:t>10</w:t>
            </w:r>
            <w:r>
              <w:rPr>
                <w:rFonts w:hint="eastAsia" w:ascii="宋体" w:hAnsi="宋体" w:cs="宋体"/>
              </w:rPr>
              <w:t>分）对</w:t>
            </w:r>
          </w:p>
          <w:p>
            <w:pPr>
              <w:spacing w:line="240" w:lineRule="exact"/>
              <w:ind w:left="105" w:leftChars="50" w:right="105" w:rightChars="50"/>
              <w:jc w:val="center"/>
              <w:rPr>
                <w:rFonts w:ascii="宋体"/>
              </w:rPr>
            </w:pPr>
            <w:r>
              <w:rPr>
                <w:rFonts w:hint="eastAsia" w:ascii="宋体" w:hAnsi="宋体" w:cs="宋体"/>
              </w:rPr>
              <w:t>象满意度</w:t>
            </w:r>
          </w:p>
        </w:tc>
        <w:tc>
          <w:tcPr>
            <w:tcW w:w="294" w:type="pct"/>
            <w:noWrap w:val="0"/>
            <w:vAlign w:val="center"/>
          </w:tcPr>
          <w:p>
            <w:pPr>
              <w:spacing w:line="240" w:lineRule="exact"/>
              <w:ind w:left="105" w:leftChars="50" w:right="105" w:rightChars="50"/>
              <w:jc w:val="center"/>
              <w:rPr>
                <w:rFonts w:hint="default" w:ascii="宋体" w:eastAsia="宋体"/>
                <w:lang w:val="en-US" w:eastAsia="zh-CN"/>
              </w:rPr>
            </w:pPr>
            <w:r>
              <w:rPr>
                <w:rFonts w:hint="eastAsia" w:ascii="宋体"/>
                <w:lang w:val="en-US" w:eastAsia="zh-CN"/>
              </w:rPr>
              <w:t>10</w:t>
            </w:r>
          </w:p>
        </w:tc>
        <w:tc>
          <w:tcPr>
            <w:tcW w:w="1428"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社会公众或服务对象对预算支出实施效果的满意程度。</w:t>
            </w:r>
          </w:p>
        </w:tc>
        <w:tc>
          <w:tcPr>
            <w:tcW w:w="2282" w:type="pct"/>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社会公众或服务对象是指因该预算支出实施而受到影响的部门、群体或个人。一般采取社会调查的方式。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noWrap w:val="0"/>
            <w:vAlign w:val="center"/>
          </w:tcPr>
          <w:p>
            <w:pPr>
              <w:spacing w:line="240" w:lineRule="exact"/>
              <w:rPr>
                <w:rFonts w:ascii="宋体"/>
              </w:rPr>
            </w:pPr>
            <w:r>
              <w:rPr>
                <w:rFonts w:hint="eastAsia" w:ascii="宋体" w:hAnsi="宋体" w:cs="宋体"/>
              </w:rPr>
              <w:t>总分</w:t>
            </w:r>
          </w:p>
        </w:tc>
        <w:tc>
          <w:tcPr>
            <w:tcW w:w="247" w:type="pct"/>
            <w:noWrap w:val="0"/>
            <w:vAlign w:val="center"/>
          </w:tcPr>
          <w:p>
            <w:pPr>
              <w:spacing w:line="240" w:lineRule="exact"/>
              <w:rPr>
                <w:rFonts w:ascii="宋体"/>
              </w:rPr>
            </w:pPr>
          </w:p>
        </w:tc>
        <w:tc>
          <w:tcPr>
            <w:tcW w:w="454" w:type="pct"/>
            <w:noWrap w:val="0"/>
            <w:tcMar>
              <w:top w:w="10" w:type="dxa"/>
              <w:left w:w="10" w:type="dxa"/>
              <w:bottom w:w="0" w:type="dxa"/>
              <w:right w:w="10" w:type="dxa"/>
            </w:tcMar>
            <w:vAlign w:val="center"/>
          </w:tcPr>
          <w:p>
            <w:pPr>
              <w:spacing w:line="240" w:lineRule="exact"/>
              <w:ind w:left="105" w:leftChars="50" w:right="105" w:rightChars="50"/>
              <w:jc w:val="center"/>
              <w:rPr>
                <w:rFonts w:ascii="宋体"/>
              </w:rPr>
            </w:pPr>
          </w:p>
        </w:tc>
        <w:tc>
          <w:tcPr>
            <w:tcW w:w="294" w:type="pct"/>
            <w:noWrap w:val="0"/>
            <w:vAlign w:val="center"/>
          </w:tcPr>
          <w:p>
            <w:pPr>
              <w:spacing w:line="240" w:lineRule="exact"/>
              <w:ind w:left="105" w:leftChars="50" w:right="105" w:rightChars="50"/>
              <w:jc w:val="center"/>
              <w:rPr>
                <w:rFonts w:hint="default" w:ascii="宋体" w:eastAsia="宋体"/>
                <w:lang w:val="en-US" w:eastAsia="zh-CN"/>
              </w:rPr>
            </w:pPr>
            <w:r>
              <w:rPr>
                <w:rFonts w:hint="eastAsia" w:ascii="宋体"/>
                <w:lang w:val="en-US" w:eastAsia="zh-CN"/>
              </w:rPr>
              <w:t>98</w:t>
            </w:r>
          </w:p>
        </w:tc>
        <w:tc>
          <w:tcPr>
            <w:tcW w:w="1428" w:type="pct"/>
            <w:noWrap w:val="0"/>
            <w:tcMar>
              <w:top w:w="10" w:type="dxa"/>
              <w:left w:w="10" w:type="dxa"/>
              <w:bottom w:w="0" w:type="dxa"/>
              <w:right w:w="10" w:type="dxa"/>
            </w:tcMar>
            <w:vAlign w:val="center"/>
          </w:tcPr>
          <w:p>
            <w:pPr>
              <w:spacing w:line="240" w:lineRule="exact"/>
              <w:ind w:left="105" w:leftChars="50" w:right="105" w:rightChars="50"/>
              <w:rPr>
                <w:rFonts w:ascii="宋体"/>
              </w:rPr>
            </w:pPr>
          </w:p>
        </w:tc>
        <w:tc>
          <w:tcPr>
            <w:tcW w:w="2282" w:type="pct"/>
            <w:noWrap w:val="0"/>
            <w:tcMar>
              <w:top w:w="10" w:type="dxa"/>
              <w:left w:w="10" w:type="dxa"/>
              <w:bottom w:w="0" w:type="dxa"/>
              <w:right w:w="10" w:type="dxa"/>
            </w:tcMar>
            <w:vAlign w:val="center"/>
          </w:tcPr>
          <w:p>
            <w:pPr>
              <w:spacing w:line="240" w:lineRule="exact"/>
              <w:ind w:left="105" w:leftChars="50" w:right="105" w:rightChars="50"/>
              <w:rPr>
                <w:rFonts w:ascii="宋体"/>
              </w:rPr>
            </w:pPr>
          </w:p>
        </w:tc>
      </w:tr>
    </w:tbl>
    <w:p>
      <w:pPr>
        <w:pStyle w:val="3"/>
        <w:keepNext w:val="0"/>
        <w:keepLines w:val="0"/>
        <w:widowControl/>
        <w:suppressLineNumbers w:val="0"/>
        <w:spacing w:before="0" w:beforeAutospacing="0" w:after="0" w:afterAutospacing="0" w:line="360" w:lineRule="auto"/>
        <w:ind w:right="0"/>
        <w:jc w:val="both"/>
        <w:rPr>
          <w:rFonts w:hint="eastAsia" w:ascii="仿宋_GB2312" w:hAnsi="仿宋_GB2312" w:eastAsia="仿宋_GB2312" w:cs="仿宋_GB2312"/>
          <w:b w:val="0"/>
          <w:bCs w:val="0"/>
          <w:color w:val="333333"/>
          <w:sz w:val="32"/>
          <w:szCs w:val="32"/>
          <w:lang w:val="en-US" w:eastAsia="zh-CN"/>
        </w:rPr>
      </w:pPr>
    </w:p>
    <w:p>
      <w:pPr>
        <w:pStyle w:val="6"/>
      </w:pPr>
    </w:p>
    <w:p>
      <w:bookmarkStart w:id="0" w:name="_GoBack"/>
      <w:bookmarkEnd w:id="0"/>
    </w:p>
    <w:sectPr>
      <w:pgSz w:w="11906" w:h="16838"/>
      <w:pgMar w:top="1134" w:right="1531" w:bottom="1134" w:left="1531"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48D70F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1"/>
    <w:basedOn w:val="1"/>
    <w:next w:val="1"/>
    <w:unhideWhenUsed/>
    <w:qFormat/>
    <w:uiPriority w:val="0"/>
    <w:pPr>
      <w:spacing w:beforeLines="0" w:afterLines="0"/>
    </w:pPr>
    <w:rPr>
      <w:rFonts w:hint="eastAsia"/>
      <w:sz w:val="21"/>
      <w:szCs w:val="24"/>
    </w:rPr>
  </w:style>
  <w:style w:type="paragraph" w:styleId="3">
    <w:name w:val="Normal (Web)"/>
    <w:basedOn w:val="1"/>
    <w:qFormat/>
    <w:uiPriority w:val="0"/>
    <w:pPr>
      <w:spacing w:before="0" w:beforeAutospacing="0" w:after="120" w:afterAutospacing="0" w:line="315" w:lineRule="atLeast"/>
      <w:ind w:left="0" w:right="0"/>
      <w:jc w:val="left"/>
    </w:pPr>
    <w:rPr>
      <w:kern w:val="0"/>
      <w:sz w:val="16"/>
      <w:szCs w:val="16"/>
      <w:lang w:val="en-US" w:eastAsia="zh-CN" w:bidi="ar"/>
    </w:rPr>
  </w:style>
  <w:style w:type="paragraph" w:customStyle="1" w:styleId="6">
    <w:name w:val="_Style 5"/>
    <w:basedOn w:val="1"/>
    <w:qFormat/>
    <w:uiPriority w:val="0"/>
    <w:pPr>
      <w:ind w:firstLine="200" w:firstLineChars="200"/>
    </w:pPr>
    <w:rPr>
      <w:rFonts w:ascii="Times New Roman" w:eastAsia="宋体"/>
      <w:sz w:val="24"/>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2023-06-24T14:51:21Z</dcterms:created>
  <dc:creator>admin-3</dc:creator>
  <cp:lastModifiedBy>admin-3</cp:lastModifiedBy>
  <dcterms:modified xsi:type="dcterms:W3CDTF">2023-06-24T14:51:31Z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9175DD2C9E854551B92E648B6AEA98BB_12</vt:lpwstr>
  </property>
</Properties>
</file>