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r>
        <w:rPr>
          <w:rFonts w:hint="eastAsia" w:ascii="方正小标宋_GBK" w:hAnsi="方正小标宋_GBK" w:eastAsia="方正小标宋_GBK" w:cs="方正小标宋_GBK"/>
          <w:sz w:val="84"/>
          <w:szCs w:val="84"/>
          <w:lang w:val="en-US" w:eastAsia="zh-CN"/>
        </w:rPr>
        <w:t>中共益阳市赫山区委组织部</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中共益阳市赫山区委组织部概况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第一部分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中共</w:t>
      </w:r>
      <w:r>
        <w:rPr>
          <w:rFonts w:hint="eastAsia" w:ascii="方正小标宋_GBK" w:hAnsi="方正小标宋_GBK" w:eastAsia="方正小标宋_GBK" w:cs="方正小标宋_GBK"/>
          <w:sz w:val="72"/>
          <w:szCs w:val="72"/>
        </w:rPr>
        <w:t>益阳市赫山区</w:t>
      </w:r>
      <w:r>
        <w:rPr>
          <w:rFonts w:hint="eastAsia" w:ascii="方正小标宋_GBK" w:hAnsi="方正小标宋_GBK" w:eastAsia="方正小标宋_GBK" w:cs="方正小标宋_GBK"/>
          <w:sz w:val="72"/>
          <w:szCs w:val="72"/>
          <w:lang w:eastAsia="zh-CN"/>
        </w:rPr>
        <w:t>委</w:t>
      </w:r>
      <w:r>
        <w:rPr>
          <w:rFonts w:hint="eastAsia" w:ascii="方正小标宋_GBK" w:hAnsi="方正小标宋_GBK" w:eastAsia="方正小标宋_GBK" w:cs="方正小标宋_GBK"/>
          <w:sz w:val="72"/>
          <w:szCs w:val="72"/>
        </w:rPr>
        <w:t>组织部概况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rPr>
        <w:t>严格执行党的干部路线、方针、政策，负责全区干部队伍建设的管理，拟订或参与拟订组织、干部、人事工作的政策、规定、制度。负责全区党的建设制度改革工作的规划研究、部署和组织实施。</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rPr>
        <w:t>负责干部队伍建设的规划、指导和实施工作；负责全区干部监督工作的指导；负责全区干部教育培训的管理，制定和实施全区干部教育培训规划、计划，落实上级调训任务。</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执行公务员管理政策和法律法规。负责公务员职务与职级并行制度的组织实施；负责公务员和参照公务员法管理单位参公人员的考试录用、考核、奖惩、工资管理、信息统计、能力建设等工作；指导实施公务员调任、转任、挂职政策；负责公务员信息统计管理工作。</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rPr>
        <w:t>负责全区干部信息、人事档案、干部统计宏观指导；负责大组工网建设。负责全区人才工作和人才队伍建设的牵头抓总。推动和促进各类人才成长、开发和合理流动，参与选拔和管理有突出贡献的专家和专门人才。</w:t>
      </w:r>
    </w:p>
    <w:p>
      <w:pPr>
        <w:widowControl/>
        <w:spacing w:line="600" w:lineRule="exact"/>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w:t>
      </w:r>
      <w:r>
        <w:rPr>
          <w:rFonts w:hint="eastAsia" w:ascii="Times New Roman" w:hAnsi="Times New Roman" w:eastAsia="仿宋_GB2312" w:cs="仿宋_GB2312"/>
          <w:sz w:val="32"/>
          <w:szCs w:val="32"/>
        </w:rPr>
        <w:t>研究指导党组织建设工作；研究指导党员队伍建设工作；承担区委基层党建工作领导小组日常工作，综合协调有关部门统筹推进基层党建工作，健全和落实基层党建工作责任制。负责基层和全区党建述职评议；协调有关部门指导村级（社区）组织活动场所建设管理、发展壮大村级（社区）集体经济</w:t>
      </w:r>
      <w:r>
        <w:rPr>
          <w:rFonts w:hint="eastAsia" w:ascii="Times New Roman" w:hAnsi="Times New Roman" w:eastAsia="仿宋_GB2312" w:cs="仿宋_GB2312"/>
          <w:sz w:val="32"/>
          <w:szCs w:val="32"/>
          <w:lang w:eastAsia="zh-CN"/>
        </w:rPr>
        <w:t>。</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(六)</w:t>
      </w:r>
      <w:r>
        <w:rPr>
          <w:rFonts w:hint="eastAsia" w:ascii="Times New Roman" w:hAnsi="Times New Roman" w:eastAsia="仿宋_GB2312" w:cs="仿宋_GB2312"/>
          <w:sz w:val="32"/>
          <w:szCs w:val="32"/>
        </w:rPr>
        <w:t>承担区直属机关工作委员会、区委非公有制经济组织和社会组织工作委员会职责。</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(七)</w:t>
      </w:r>
      <w:r>
        <w:rPr>
          <w:rFonts w:hint="eastAsia" w:ascii="Times New Roman" w:hAnsi="Times New Roman" w:eastAsia="仿宋_GB2312" w:cs="仿宋_GB2312"/>
          <w:sz w:val="32"/>
          <w:szCs w:val="32"/>
        </w:rPr>
        <w:t>负责离退休老干部的管理服务工作，承办市、区委管理干部的离退休呈报、审批手续。</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(八)</w:t>
      </w:r>
      <w:r>
        <w:rPr>
          <w:rFonts w:hint="eastAsia" w:ascii="Times New Roman" w:hAnsi="Times New Roman" w:eastAsia="仿宋_GB2312" w:cs="仿宋_GB2312"/>
          <w:sz w:val="32"/>
          <w:szCs w:val="32"/>
        </w:rPr>
        <w:t>统筹协调全区绩效评估管理工作。</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(九)</w:t>
      </w:r>
      <w:r>
        <w:rPr>
          <w:rFonts w:hint="eastAsia" w:ascii="Times New Roman" w:hAnsi="Times New Roman" w:eastAsia="仿宋_GB2312" w:cs="仿宋_GB2312"/>
          <w:sz w:val="32"/>
          <w:szCs w:val="32"/>
        </w:rPr>
        <w:t>负责组织工作的综合协调、督促检查和调查研究；指导下级党组织开展组织工作，及时向区委和市委组织部报告工作；负责党员、干部的来信来访工作。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eastAsia="zh-CN"/>
        </w:rPr>
        <w:t>中共</w:t>
      </w:r>
      <w:r>
        <w:rPr>
          <w:rFonts w:hint="eastAsia" w:ascii="Times New Roman" w:hAnsi="Times New Roman" w:eastAsia="仿宋_GB2312" w:cs="仿宋_GB2312"/>
          <w:bCs/>
          <w:kern w:val="0"/>
          <w:sz w:val="32"/>
          <w:szCs w:val="32"/>
        </w:rPr>
        <w:t>益阳市赫山区</w:t>
      </w:r>
      <w:r>
        <w:rPr>
          <w:rFonts w:hint="eastAsia" w:ascii="Times New Roman" w:hAnsi="Times New Roman" w:eastAsia="仿宋_GB2312" w:cs="仿宋_GB2312"/>
          <w:bCs/>
          <w:kern w:val="0"/>
          <w:sz w:val="32"/>
          <w:szCs w:val="32"/>
          <w:lang w:eastAsia="zh-CN"/>
        </w:rPr>
        <w:t>委</w:t>
      </w:r>
      <w:r>
        <w:rPr>
          <w:rFonts w:hint="eastAsia" w:ascii="Times New Roman" w:hAnsi="Times New Roman" w:eastAsia="仿宋_GB2312" w:cs="仿宋_GB2312"/>
          <w:bCs/>
          <w:kern w:val="0"/>
          <w:sz w:val="32"/>
          <w:szCs w:val="32"/>
        </w:rPr>
        <w:t>组织部单位内设机构包括：</w:t>
      </w:r>
      <w:r>
        <w:rPr>
          <w:rFonts w:hint="eastAsia" w:ascii="仿宋_GB2312" w:hAnsi="微软雅黑" w:eastAsia="仿宋_GB2312" w:cs="仿宋_GB2312"/>
          <w:i w:val="0"/>
          <w:iCs w:val="0"/>
          <w:caps w:val="0"/>
          <w:color w:val="000000"/>
          <w:spacing w:val="0"/>
          <w:kern w:val="0"/>
          <w:sz w:val="32"/>
          <w:szCs w:val="32"/>
          <w:lang w:val="en-US" w:eastAsia="zh-CN" w:bidi="ar"/>
        </w:rPr>
        <w:t>办公室、调研室、干部科（青干科）、人才科、绩效科、公务员管理科、工资福利科、干部监督科（干部教育科、举报中心）、干部信息科、基层办（党代表联络办）、组织指导科、党管科（党员教育中心）、区直机关工委办、区委两新工委办、区驻村工作队管理中心、区委离退休工委办公室、区关工委办公室、区老干部服务中心、区绩效评估事务中心等19个科室。</w:t>
      </w:r>
    </w:p>
    <w:p>
      <w:pPr>
        <w:widowControl/>
        <w:spacing w:line="600" w:lineRule="exact"/>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eastAsia="zh-CN"/>
        </w:rPr>
        <w:t>中共</w:t>
      </w:r>
      <w:r>
        <w:rPr>
          <w:rFonts w:hint="eastAsia" w:ascii="Times New Roman" w:hAnsi="Times New Roman" w:eastAsia="仿宋_GB2312" w:cs="仿宋_GB2312"/>
          <w:bCs/>
          <w:kern w:val="0"/>
          <w:sz w:val="32"/>
          <w:szCs w:val="32"/>
        </w:rPr>
        <w:t>益阳市赫山区</w:t>
      </w:r>
      <w:r>
        <w:rPr>
          <w:rFonts w:hint="eastAsia" w:ascii="Times New Roman" w:hAnsi="Times New Roman" w:eastAsia="仿宋_GB2312" w:cs="仿宋_GB2312"/>
          <w:bCs/>
          <w:kern w:val="0"/>
          <w:sz w:val="32"/>
          <w:szCs w:val="32"/>
          <w:lang w:eastAsia="zh-CN"/>
        </w:rPr>
        <w:t>委</w:t>
      </w:r>
      <w:r>
        <w:rPr>
          <w:rFonts w:hint="eastAsia" w:ascii="Times New Roman" w:hAnsi="Times New Roman" w:eastAsia="仿宋_GB2312" w:cs="仿宋_GB2312"/>
          <w:bCs/>
          <w:kern w:val="0"/>
          <w:sz w:val="32"/>
          <w:szCs w:val="32"/>
        </w:rPr>
        <w:t>组织部202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eastAsia="zh-CN"/>
        </w:rPr>
        <w:t>中共</w:t>
      </w:r>
      <w:r>
        <w:rPr>
          <w:rFonts w:hint="eastAsia" w:ascii="Times New Roman" w:hAnsi="Times New Roman" w:eastAsia="仿宋_GB2312" w:cs="仿宋_GB2312"/>
          <w:bCs/>
          <w:kern w:val="0"/>
          <w:sz w:val="32"/>
          <w:szCs w:val="32"/>
        </w:rPr>
        <w:t>益阳市赫山区</w:t>
      </w:r>
      <w:r>
        <w:rPr>
          <w:rFonts w:hint="eastAsia" w:ascii="Times New Roman" w:hAnsi="Times New Roman" w:eastAsia="仿宋_GB2312" w:cs="仿宋_GB2312"/>
          <w:bCs/>
          <w:kern w:val="0"/>
          <w:sz w:val="32"/>
          <w:szCs w:val="32"/>
          <w:lang w:eastAsia="zh-CN"/>
        </w:rPr>
        <w:t>委</w:t>
      </w:r>
      <w:r>
        <w:rPr>
          <w:rFonts w:hint="eastAsia" w:ascii="Times New Roman" w:hAnsi="Times New Roman" w:eastAsia="仿宋_GB2312" w:cs="仿宋_GB2312"/>
          <w:bCs/>
          <w:kern w:val="0"/>
          <w:sz w:val="32"/>
          <w:szCs w:val="32"/>
        </w:rPr>
        <w:t>组织部单位本级</w:t>
      </w:r>
      <w:r>
        <w:rPr>
          <w:rFonts w:hint="eastAsia" w:ascii="Times New Roman" w:hAnsi="Times New Roman" w:eastAsia="仿宋_GB2312" w:cs="仿宋_GB2312"/>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both"/>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9"/>
      </w:pPr>
    </w:p>
    <w:p>
      <w:pPr>
        <w:pStyle w:val="9"/>
      </w:pPr>
    </w:p>
    <w:p>
      <w:pPr>
        <w:pStyle w:val="9"/>
      </w:pPr>
    </w:p>
    <w:p>
      <w:pPr>
        <w:pStyle w:val="9"/>
      </w:pPr>
      <w:r>
        <w:drawing>
          <wp:inline distT="0" distB="0" distL="114300" distR="114300">
            <wp:extent cx="6636385" cy="3979545"/>
            <wp:effectExtent l="0" t="0" r="1206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979545"/>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4640" cy="4439920"/>
            <wp:effectExtent l="0" t="0" r="381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4439920"/>
                    </a:xfrm>
                    <a:prstGeom prst="rect">
                      <a:avLst/>
                    </a:prstGeom>
                    <a:noFill/>
                    <a:ln>
                      <a:noFill/>
                    </a:ln>
                  </pic:spPr>
                </pic:pic>
              </a:graphicData>
            </a:graphic>
          </wp:inline>
        </w:drawing>
      </w:r>
    </w:p>
    <w:p>
      <w:pPr>
        <w:pStyle w:val="9"/>
      </w:pPr>
    </w:p>
    <w:p>
      <w:pPr>
        <w:pStyle w:val="9"/>
      </w:pPr>
    </w:p>
    <w:p>
      <w:pPr>
        <w:pStyle w:val="9"/>
      </w:pPr>
    </w:p>
    <w:p>
      <w:pPr>
        <w:pStyle w:val="9"/>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9"/>
      </w:pPr>
    </w:p>
    <w:p>
      <w:pPr>
        <w:pStyle w:val="9"/>
      </w:pPr>
    </w:p>
    <w:p>
      <w:pPr>
        <w:pStyle w:val="9"/>
      </w:pPr>
    </w:p>
    <w:p>
      <w:pPr>
        <w:pStyle w:val="9"/>
      </w:pPr>
      <w:r>
        <w:drawing>
          <wp:inline distT="0" distB="0" distL="114300" distR="114300">
            <wp:extent cx="6640830" cy="5958840"/>
            <wp:effectExtent l="0" t="0" r="762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5958840"/>
                    </a:xfrm>
                    <a:prstGeom prst="rect">
                      <a:avLst/>
                    </a:prstGeom>
                    <a:noFill/>
                    <a:ln>
                      <a:noFill/>
                    </a:ln>
                  </pic:spPr>
                </pic:pic>
              </a:graphicData>
            </a:graphic>
          </wp:inline>
        </w:drawing>
      </w:r>
    </w:p>
    <w:p>
      <w:pPr>
        <w:pStyle w:val="9"/>
      </w:pPr>
    </w:p>
    <w:p>
      <w:pPr>
        <w:pStyle w:val="9"/>
      </w:pPr>
    </w:p>
    <w:p>
      <w:pPr>
        <w:pStyle w:val="9"/>
      </w:pPr>
    </w:p>
    <w:p>
      <w:pPr>
        <w:pStyle w:val="9"/>
      </w:pPr>
    </w:p>
    <w:p>
      <w:pPr>
        <w:pStyle w:val="9"/>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9"/>
        <w:rPr>
          <w:rFonts w:hint="eastAsia" w:eastAsia="黑体"/>
          <w:lang w:eastAsia="zh-CN"/>
        </w:rPr>
      </w:pPr>
      <w:r>
        <w:rPr>
          <w:rFonts w:hint="eastAsia"/>
          <w:lang w:eastAsia="zh-CN"/>
        </w:rPr>
        <w:t>本年本单位无此项业务发生，本表无数据。</w:t>
      </w:r>
    </w:p>
    <w:p>
      <w:pPr>
        <w:pStyle w:val="9"/>
      </w:pPr>
    </w:p>
    <w:p>
      <w:pPr>
        <w:pStyle w:val="9"/>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9"/>
        <w:rPr>
          <w:rFonts w:hint="eastAsia" w:eastAsia="黑体"/>
          <w:lang w:eastAsia="zh-CN"/>
        </w:rPr>
      </w:pPr>
      <w:r>
        <w:rPr>
          <w:rFonts w:hint="eastAsia"/>
          <w:lang w:eastAsia="zh-CN"/>
        </w:rPr>
        <w:t>本年本单位无此项业务发生，本表无数据。</w:t>
      </w:r>
    </w:p>
    <w:p>
      <w:pPr>
        <w:pStyle w:val="9"/>
      </w:pPr>
    </w:p>
    <w:p>
      <w:pPr>
        <w:pStyle w:val="9"/>
      </w:pPr>
    </w:p>
    <w:p>
      <w:pPr>
        <w:pStyle w:val="9"/>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9"/>
        <w:rPr>
          <w:rFonts w:hint="eastAsia" w:eastAsia="黑体"/>
          <w:lang w:eastAsia="zh-CN"/>
        </w:rPr>
      </w:pPr>
      <w:r>
        <w:rPr>
          <w:rFonts w:hint="eastAsia"/>
          <w:lang w:eastAsia="zh-CN"/>
        </w:rPr>
        <w:t>本年本单位无此项业务发生，本表无数据。</w:t>
      </w:r>
    </w:p>
    <w:p>
      <w:pPr>
        <w:pStyle w:val="9"/>
        <w:jc w:val="center"/>
        <w:rPr>
          <w:sz w:val="72"/>
          <w:szCs w:val="72"/>
        </w:rPr>
      </w:pPr>
      <w:bookmarkStart w:id="0" w:name="_GoBack"/>
      <w:bookmarkEnd w:id="0"/>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年度度收入总计</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万元，与上年相比，减少</w:t>
      </w:r>
      <w:r>
        <w:rPr>
          <w:rFonts w:hint="eastAsia" w:ascii="Times New Roman" w:hAnsi="Times New Roman" w:eastAsia="仿宋_GB2312"/>
          <w:sz w:val="32"/>
          <w:szCs w:val="32"/>
          <w:highlight w:val="none"/>
          <w:lang w:val="en-US" w:eastAsia="zh-CN"/>
        </w:rPr>
        <w:t>18.64</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1.76</w:t>
      </w:r>
      <w:r>
        <w:rPr>
          <w:rFonts w:hint="eastAsia" w:ascii="Times New Roman" w:hAnsi="Times New Roman" w:eastAsia="仿宋_GB2312"/>
          <w:sz w:val="32"/>
          <w:szCs w:val="32"/>
          <w:highlight w:val="none"/>
        </w:rPr>
        <w:t>%。支出总计</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万元，与上年相比，减少</w:t>
      </w:r>
      <w:r>
        <w:rPr>
          <w:rFonts w:hint="eastAsia" w:ascii="Times New Roman" w:hAnsi="Times New Roman" w:eastAsia="仿宋_GB2312"/>
          <w:sz w:val="32"/>
          <w:szCs w:val="32"/>
          <w:highlight w:val="none"/>
          <w:lang w:val="en-US" w:eastAsia="zh-CN"/>
        </w:rPr>
        <w:t>18.64</w:t>
      </w:r>
      <w:r>
        <w:rPr>
          <w:rFonts w:hint="eastAsia" w:ascii="Times New Roman" w:hAnsi="Times New Roman" w:eastAsia="仿宋_GB2312"/>
          <w:sz w:val="32"/>
          <w:szCs w:val="32"/>
          <w:highlight w:val="none"/>
        </w:rPr>
        <w:t>元，减少</w:t>
      </w:r>
      <w:r>
        <w:rPr>
          <w:rFonts w:hint="eastAsia" w:ascii="Times New Roman" w:hAnsi="Times New Roman" w:eastAsia="仿宋_GB2312"/>
          <w:sz w:val="32"/>
          <w:szCs w:val="32"/>
          <w:highlight w:val="none"/>
          <w:lang w:val="en-US" w:eastAsia="zh-CN"/>
        </w:rPr>
        <w:t>1.76</w:t>
      </w:r>
      <w:r>
        <w:rPr>
          <w:rFonts w:hint="eastAsia" w:ascii="Times New Roman" w:hAnsi="Times New Roman" w:eastAsia="仿宋_GB2312"/>
          <w:sz w:val="32"/>
          <w:szCs w:val="32"/>
          <w:highlight w:val="none"/>
        </w:rPr>
        <w:t>%。收入减少主要是因为一般公共预算财政拨款减少，支出减少主要是因为缩减了一般公共服务支出和文化旅游体育与传媒支出。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年度收入合计1039.83万元，其中：财政拨款收入</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年度支出合计</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万元，其中：基本支出</w:t>
      </w:r>
      <w:r>
        <w:rPr>
          <w:rFonts w:hint="eastAsia" w:ascii="Times New Roman" w:hAnsi="Times New Roman" w:eastAsia="仿宋_GB2312"/>
          <w:sz w:val="32"/>
          <w:szCs w:val="32"/>
          <w:highlight w:val="none"/>
          <w:lang w:val="en-US" w:eastAsia="zh-CN"/>
        </w:rPr>
        <w:t>785.17</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75.51</w:t>
      </w:r>
      <w:r>
        <w:rPr>
          <w:rFonts w:hint="eastAsia" w:ascii="Times New Roman" w:hAnsi="Times New Roman" w:eastAsia="仿宋_GB2312"/>
          <w:sz w:val="32"/>
          <w:szCs w:val="32"/>
          <w:highlight w:val="none"/>
        </w:rPr>
        <w:t>%；项目支出</w:t>
      </w:r>
      <w:r>
        <w:rPr>
          <w:rFonts w:hint="eastAsia" w:ascii="Times New Roman" w:hAnsi="Times New Roman" w:eastAsia="仿宋_GB2312"/>
          <w:sz w:val="32"/>
          <w:szCs w:val="32"/>
          <w:highlight w:val="none"/>
          <w:lang w:val="en-US" w:eastAsia="zh-CN"/>
        </w:rPr>
        <w:t>254.66</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24.49</w:t>
      </w:r>
      <w:r>
        <w:rPr>
          <w:rFonts w:hint="eastAsia" w:ascii="Times New Roman" w:hAnsi="Times New Roman" w:eastAsia="仿宋_GB2312"/>
          <w:sz w:val="32"/>
          <w:szCs w:val="32"/>
          <w:highlight w:val="none"/>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四、财政拨款收入支出决算总体情况说明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年度财政拨款收入总计</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万元，与上年相比减少</w:t>
      </w:r>
      <w:r>
        <w:rPr>
          <w:rFonts w:hint="eastAsia" w:ascii="Times New Roman" w:hAnsi="Times New Roman" w:eastAsia="仿宋_GB2312"/>
          <w:sz w:val="32"/>
          <w:szCs w:val="32"/>
          <w:highlight w:val="none"/>
          <w:lang w:val="en-US" w:eastAsia="zh-CN"/>
        </w:rPr>
        <w:t>5.35</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0.51</w:t>
      </w:r>
      <w:r>
        <w:rPr>
          <w:rFonts w:hint="eastAsia" w:ascii="Times New Roman" w:hAnsi="Times New Roman" w:eastAsia="仿宋_GB2312"/>
          <w:sz w:val="32"/>
          <w:szCs w:val="32"/>
          <w:highlight w:val="none"/>
        </w:rPr>
        <w:t>%。财政拨款支出总计</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万元，与上年相比减少</w:t>
      </w:r>
      <w:r>
        <w:rPr>
          <w:rFonts w:hint="eastAsia" w:ascii="Times New Roman" w:hAnsi="Times New Roman" w:eastAsia="仿宋_GB2312"/>
          <w:sz w:val="32"/>
          <w:szCs w:val="32"/>
          <w:highlight w:val="none"/>
          <w:lang w:val="en-US" w:eastAsia="zh-CN"/>
        </w:rPr>
        <w:t>5.35</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0.51</w:t>
      </w:r>
      <w:r>
        <w:rPr>
          <w:rFonts w:hint="eastAsia" w:ascii="Times New Roman" w:hAnsi="Times New Roman" w:eastAsia="仿宋_GB2312"/>
          <w:sz w:val="32"/>
          <w:szCs w:val="32"/>
          <w:highlight w:val="none"/>
        </w:rPr>
        <w:t>%。财政拨款收入减少主要是因为一般公共预算财政拨款减少，支出减少主要是因为缩减了一般公共服务支出和文化旅游体育与传媒支出。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万元，占本年支出合计的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%，与上年相比，财政拨款支出减少</w:t>
      </w:r>
      <w:r>
        <w:rPr>
          <w:rFonts w:hint="eastAsia" w:ascii="Times New Roman" w:hAnsi="Times New Roman" w:eastAsia="仿宋_GB2312"/>
          <w:sz w:val="32"/>
          <w:szCs w:val="32"/>
          <w:highlight w:val="none"/>
          <w:lang w:val="en-US" w:eastAsia="zh-CN"/>
        </w:rPr>
        <w:t>5.35</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0.51</w:t>
      </w:r>
      <w:r>
        <w:rPr>
          <w:rFonts w:hint="eastAsia" w:ascii="Times New Roman" w:hAnsi="Times New Roman" w:eastAsia="仿宋_GB2312"/>
          <w:sz w:val="32"/>
          <w:szCs w:val="32"/>
          <w:highlight w:val="none"/>
        </w:rPr>
        <w:t>%，主要是因为因为厉行节约，缩减开支。</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年度财政拨款支出1039.83万元，主要用于以下方面：一般公共服务支出</w:t>
      </w:r>
      <w:r>
        <w:rPr>
          <w:rFonts w:hint="eastAsia" w:ascii="Times New Roman" w:hAnsi="Times New Roman" w:eastAsia="仿宋_GB2312"/>
          <w:sz w:val="32"/>
          <w:szCs w:val="32"/>
          <w:highlight w:val="none"/>
          <w:lang w:val="en-US" w:eastAsia="zh-CN"/>
        </w:rPr>
        <w:t>934.98</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89.92</w:t>
      </w:r>
      <w:r>
        <w:rPr>
          <w:rFonts w:hint="eastAsia" w:ascii="Times New Roman" w:hAnsi="Times New Roman" w:eastAsia="仿宋_GB2312"/>
          <w:sz w:val="32"/>
          <w:szCs w:val="32"/>
          <w:highlight w:val="none"/>
        </w:rPr>
        <w:t>%；科学技术支出</w:t>
      </w:r>
      <w:r>
        <w:rPr>
          <w:rFonts w:hint="eastAsia" w:ascii="Times New Roman" w:hAnsi="Times New Roman" w:eastAsia="仿宋_GB2312"/>
          <w:sz w:val="32"/>
          <w:szCs w:val="32"/>
          <w:highlight w:val="none"/>
          <w:lang w:val="en-US" w:eastAsia="zh-CN"/>
        </w:rPr>
        <w:t>9万元，占0.87%；</w:t>
      </w:r>
      <w:r>
        <w:rPr>
          <w:rFonts w:hint="eastAsia" w:ascii="Times New Roman" w:hAnsi="Times New Roman" w:eastAsia="仿宋_GB2312"/>
          <w:sz w:val="32"/>
          <w:szCs w:val="32"/>
          <w:highlight w:val="none"/>
        </w:rPr>
        <w:t>文化旅游体育与传媒支出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.5万元，占0.</w:t>
      </w:r>
      <w:r>
        <w:rPr>
          <w:rFonts w:hint="eastAsia" w:ascii="Times New Roman" w:hAnsi="Times New Roman" w:eastAsia="仿宋_GB2312"/>
          <w:sz w:val="32"/>
          <w:szCs w:val="32"/>
          <w:highlight w:val="none"/>
          <w:lang w:val="en-US" w:eastAsia="zh-CN"/>
        </w:rPr>
        <w:t>05</w:t>
      </w:r>
      <w:r>
        <w:rPr>
          <w:rFonts w:hint="eastAsia" w:ascii="Times New Roman" w:hAnsi="Times New Roman" w:eastAsia="仿宋_GB2312"/>
          <w:sz w:val="32"/>
          <w:szCs w:val="32"/>
          <w:highlight w:val="none"/>
        </w:rPr>
        <w:t>%;社会保障和就业支出</w:t>
      </w:r>
      <w:r>
        <w:rPr>
          <w:rFonts w:hint="eastAsia" w:ascii="Times New Roman" w:hAnsi="Times New Roman" w:eastAsia="仿宋_GB2312"/>
          <w:sz w:val="32"/>
          <w:szCs w:val="32"/>
          <w:highlight w:val="none"/>
          <w:lang w:val="en-US" w:eastAsia="zh-CN"/>
        </w:rPr>
        <w:t>47.84</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4.6</w:t>
      </w:r>
      <w:r>
        <w:rPr>
          <w:rFonts w:hint="eastAsia" w:ascii="Times New Roman" w:hAnsi="Times New Roman" w:eastAsia="仿宋_GB2312"/>
          <w:sz w:val="32"/>
          <w:szCs w:val="32"/>
          <w:highlight w:val="none"/>
        </w:rPr>
        <w:t>%；卫生健康支出</w:t>
      </w:r>
      <w:r>
        <w:rPr>
          <w:rFonts w:hint="eastAsia" w:ascii="Times New Roman" w:hAnsi="Times New Roman" w:eastAsia="仿宋_GB2312"/>
          <w:sz w:val="32"/>
          <w:szCs w:val="32"/>
          <w:highlight w:val="none"/>
          <w:lang w:val="en-US" w:eastAsia="zh-CN"/>
        </w:rPr>
        <w:t>27.72</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2.66</w:t>
      </w:r>
      <w:r>
        <w:rPr>
          <w:rFonts w:hint="eastAsia" w:ascii="Times New Roman" w:hAnsi="Times New Roman" w:eastAsia="仿宋_GB2312"/>
          <w:sz w:val="32"/>
          <w:szCs w:val="32"/>
          <w:highlight w:val="none"/>
        </w:rPr>
        <w:t>%；农林水支出</w:t>
      </w:r>
      <w:r>
        <w:rPr>
          <w:rFonts w:hint="eastAsia" w:ascii="Times New Roman" w:hAnsi="Times New Roman" w:eastAsia="仿宋_GB2312"/>
          <w:sz w:val="32"/>
          <w:szCs w:val="32"/>
          <w:highlight w:val="none"/>
          <w:lang w:val="en-US" w:eastAsia="zh-CN"/>
        </w:rPr>
        <w:t>19.27</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1.85</w:t>
      </w:r>
      <w:r>
        <w:rPr>
          <w:rFonts w:hint="eastAsia" w:ascii="Times New Roman" w:hAnsi="Times New Roman" w:eastAsia="仿宋_GB2312"/>
          <w:sz w:val="32"/>
          <w:szCs w:val="32"/>
          <w:highlight w:val="none"/>
        </w:rPr>
        <w:t>%；住房保障支出</w:t>
      </w:r>
      <w:r>
        <w:rPr>
          <w:rFonts w:hint="eastAsia" w:ascii="Times New Roman" w:hAnsi="Times New Roman" w:eastAsia="仿宋_GB2312"/>
          <w:sz w:val="32"/>
          <w:szCs w:val="32"/>
          <w:highlight w:val="none"/>
          <w:lang w:val="en-US" w:eastAsia="zh-CN"/>
        </w:rPr>
        <w:t>0.52</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0.05</w:t>
      </w:r>
      <w:r>
        <w:rPr>
          <w:rFonts w:hint="eastAsia" w:ascii="Times New Roman" w:hAnsi="Times New Roman" w:eastAsia="仿宋_GB2312"/>
          <w:sz w:val="32"/>
          <w:szCs w:val="32"/>
          <w:highlight w:val="none"/>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年度财政拨款支出年初预算数为</w:t>
      </w:r>
      <w:r>
        <w:rPr>
          <w:rFonts w:hint="eastAsia" w:ascii="Times New Roman" w:hAnsi="Times New Roman" w:eastAsia="仿宋_GB2312"/>
          <w:sz w:val="32"/>
          <w:szCs w:val="32"/>
          <w:highlight w:val="none"/>
          <w:lang w:val="en-US" w:eastAsia="zh-CN"/>
        </w:rPr>
        <w:t>681.32</w:t>
      </w:r>
      <w:r>
        <w:rPr>
          <w:rFonts w:hint="eastAsia" w:ascii="Times New Roman" w:hAnsi="Times New Roman" w:eastAsia="仿宋_GB2312"/>
          <w:sz w:val="32"/>
          <w:szCs w:val="32"/>
          <w:highlight w:val="none"/>
        </w:rPr>
        <w:t>万元，支出决算数为</w:t>
      </w:r>
      <w:r>
        <w:rPr>
          <w:rFonts w:hint="eastAsia" w:ascii="Times New Roman" w:hAnsi="Times New Roman" w:eastAsia="仿宋_GB2312"/>
          <w:sz w:val="32"/>
          <w:szCs w:val="32"/>
          <w:highlight w:val="none"/>
          <w:lang w:val="en-US" w:eastAsia="zh-CN"/>
        </w:rPr>
        <w:t>1039.83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152.62</w:t>
      </w:r>
      <w:r>
        <w:rPr>
          <w:rFonts w:hint="eastAsia" w:ascii="Times New Roman" w:hAnsi="Times New Roman" w:eastAsia="仿宋_GB2312"/>
          <w:sz w:val="32"/>
          <w:szCs w:val="32"/>
          <w:highlight w:val="none"/>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1、一般公共服务（类）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306.54</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440.76</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143.78</w:t>
      </w:r>
      <w:r>
        <w:rPr>
          <w:rFonts w:hint="eastAsia" w:ascii="Times New Roman" w:hAnsi="Times New Roman" w:eastAsia="仿宋_GB2312"/>
          <w:sz w:val="32"/>
          <w:szCs w:val="32"/>
          <w:highlight w:val="none"/>
        </w:rPr>
        <w:t>%，决算数大于年初预算数的主要原因是：临时性工作开展党建、老干现场会、人才引进和考试招聘</w:t>
      </w:r>
      <w:r>
        <w:rPr>
          <w:rFonts w:hint="eastAsia" w:ascii="Times New Roman" w:hAnsi="Times New Roman" w:eastAsia="仿宋_GB2312"/>
          <w:sz w:val="32"/>
          <w:szCs w:val="32"/>
          <w:highlight w:val="none"/>
          <w:lang w:eastAsia="zh-CN"/>
        </w:rPr>
        <w:t>、新增</w:t>
      </w:r>
      <w:r>
        <w:rPr>
          <w:rFonts w:hint="eastAsia" w:ascii="Times New Roman" w:hAnsi="Times New Roman" w:eastAsia="仿宋_GB2312"/>
          <w:sz w:val="32"/>
          <w:szCs w:val="32"/>
          <w:highlight w:val="none"/>
        </w:rPr>
        <w:t>专题读书班培训等支出较多。</w:t>
      </w:r>
    </w:p>
    <w:p>
      <w:pPr>
        <w:pStyle w:val="9"/>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283.24</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254.66</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89.91</w:t>
      </w:r>
      <w:r>
        <w:rPr>
          <w:rFonts w:hint="eastAsia" w:ascii="Times New Roman" w:hAnsi="Times New Roman" w:eastAsia="仿宋_GB2312"/>
          <w:sz w:val="32"/>
          <w:szCs w:val="32"/>
          <w:highlight w:val="none"/>
        </w:rPr>
        <w:t>%，决算数小于年初预算数的主要原因是：</w:t>
      </w:r>
      <w:r>
        <w:rPr>
          <w:rFonts w:hint="eastAsia" w:ascii="Times New Roman" w:hAnsi="Times New Roman" w:eastAsia="仿宋_GB2312"/>
          <w:sz w:val="32"/>
          <w:szCs w:val="32"/>
          <w:highlight w:val="none"/>
          <w:lang w:eastAsia="zh-CN"/>
        </w:rPr>
        <w:t>部分</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r>
        <w:rPr>
          <w:rFonts w:hint="eastAsia" w:ascii="Times New Roman" w:hAnsi="Times New Roman" w:eastAsia="仿宋_GB2312"/>
          <w:sz w:val="32"/>
          <w:szCs w:val="32"/>
          <w:highlight w:val="none"/>
          <w:lang w:eastAsia="zh-CN"/>
        </w:rPr>
        <w:t>计入到</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p>
    <w:p>
      <w:pPr>
        <w:pStyle w:val="9"/>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公务员事务</w:t>
      </w:r>
      <w:r>
        <w:rPr>
          <w:rFonts w:hint="eastAsia" w:ascii="Times New Roman" w:hAnsi="Times New Roman" w:eastAsia="仿宋_GB2312"/>
          <w:sz w:val="32"/>
          <w:szCs w:val="32"/>
          <w:highlight w:val="none"/>
        </w:rPr>
        <w:t>（项）。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32</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29.75</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92.97</w:t>
      </w:r>
      <w:r>
        <w:rPr>
          <w:rFonts w:hint="eastAsia" w:ascii="Times New Roman" w:hAnsi="Times New Roman" w:eastAsia="仿宋_GB2312"/>
          <w:sz w:val="32"/>
          <w:szCs w:val="32"/>
          <w:highlight w:val="none"/>
        </w:rPr>
        <w:t>%，决算数小于年初预算数的主要原因是：</w:t>
      </w:r>
      <w:r>
        <w:rPr>
          <w:rFonts w:hint="eastAsia" w:ascii="Times New Roman" w:hAnsi="Times New Roman" w:eastAsia="仿宋_GB2312"/>
          <w:sz w:val="32"/>
          <w:szCs w:val="32"/>
          <w:highlight w:val="none"/>
          <w:lang w:eastAsia="zh-CN"/>
        </w:rPr>
        <w:t>部分</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公务员事务</w:t>
      </w:r>
      <w:r>
        <w:rPr>
          <w:rFonts w:hint="eastAsia" w:ascii="Times New Roman" w:hAnsi="Times New Roman" w:eastAsia="仿宋_GB2312"/>
          <w:sz w:val="32"/>
          <w:szCs w:val="32"/>
          <w:highlight w:val="none"/>
        </w:rPr>
        <w:t>（项）</w:t>
      </w:r>
      <w:r>
        <w:rPr>
          <w:rFonts w:hint="eastAsia" w:ascii="Times New Roman" w:hAnsi="Times New Roman" w:eastAsia="仿宋_GB2312"/>
          <w:sz w:val="32"/>
          <w:szCs w:val="32"/>
          <w:highlight w:val="none"/>
          <w:lang w:eastAsia="zh-CN"/>
        </w:rPr>
        <w:t>计入到</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p>
    <w:p>
      <w:pPr>
        <w:pStyle w:val="9"/>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其他组织事务支出</w:t>
      </w:r>
      <w:r>
        <w:rPr>
          <w:rFonts w:hint="eastAsia" w:ascii="Times New Roman" w:hAnsi="Times New Roman" w:eastAsia="仿宋_GB2312"/>
          <w:sz w:val="32"/>
          <w:szCs w:val="32"/>
          <w:highlight w:val="none"/>
        </w:rPr>
        <w:t>（项）。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209.81</w:t>
      </w:r>
      <w:r>
        <w:rPr>
          <w:rFonts w:hint="eastAsia" w:ascii="Times New Roman" w:hAnsi="Times New Roman" w:eastAsia="仿宋_GB2312"/>
          <w:sz w:val="32"/>
          <w:szCs w:val="32"/>
          <w:highlight w:val="none"/>
        </w:rPr>
        <w:t>万元，决算数大于年初预算数的主要原因是：年初预算不细化，预算体现在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组织事务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r>
        <w:rPr>
          <w:rFonts w:hint="eastAsia" w:ascii="Times New Roman" w:hAnsi="Times New Roman" w:eastAsia="仿宋_GB2312"/>
          <w:sz w:val="32"/>
          <w:szCs w:val="32"/>
          <w:highlight w:val="none"/>
          <w:lang w:eastAsia="zh-CN"/>
        </w:rPr>
        <w:t>”。</w:t>
      </w:r>
    </w:p>
    <w:p>
      <w:pPr>
        <w:pStyle w:val="9"/>
        <w:keepNext w:val="0"/>
        <w:keepLines w:val="0"/>
        <w:pageBreakBefore w:val="0"/>
        <w:widowControl w:val="0"/>
        <w:numPr>
          <w:ilvl w:val="0"/>
          <w:numId w:val="2"/>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科学技术支出（类）其他科学技术支出（款）其他科学技术支出（项）。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万元，决算数大于年初预算数的主要原因是：</w:t>
      </w:r>
      <w:r>
        <w:rPr>
          <w:rFonts w:hint="eastAsia" w:ascii="Times New Roman" w:hAnsi="Times New Roman" w:eastAsia="仿宋_GB2312"/>
          <w:sz w:val="32"/>
          <w:szCs w:val="32"/>
          <w:highlight w:val="none"/>
          <w:lang w:eastAsia="zh-CN"/>
        </w:rPr>
        <w:t>新增</w:t>
      </w:r>
      <w:r>
        <w:rPr>
          <w:rFonts w:hint="eastAsia" w:ascii="Times New Roman" w:hAnsi="Times New Roman" w:eastAsia="仿宋_GB2312"/>
          <w:sz w:val="32"/>
          <w:szCs w:val="32"/>
          <w:highlight w:val="none"/>
        </w:rPr>
        <w:t>其他科学技术支出。</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6、文化旅游体育与传媒支出</w:t>
      </w:r>
      <w:r>
        <w:rPr>
          <w:rFonts w:hint="eastAsia" w:ascii="Times New Roman" w:hAnsi="Times New Roman" w:eastAsia="仿宋_GB2312"/>
          <w:sz w:val="32"/>
          <w:szCs w:val="32"/>
          <w:highlight w:val="none"/>
        </w:rPr>
        <w:t>（类）其他文化旅游体育与传媒支出（款）其他文化旅游体育与传媒支出（项）。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0.5</w:t>
      </w:r>
      <w:r>
        <w:rPr>
          <w:rFonts w:hint="eastAsia" w:ascii="Times New Roman" w:hAnsi="Times New Roman" w:eastAsia="仿宋_GB2312"/>
          <w:sz w:val="32"/>
          <w:szCs w:val="32"/>
          <w:highlight w:val="none"/>
        </w:rPr>
        <w:t>万元，决算数大于年初预算数的主要原因是：当年新增老干门球比赛支出。</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社会保障和就业支出（类）行政事业单位养老支出（款）机关事业单位基本养老保险缴费支出（项）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32.05</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31.24</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97.47</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决算数小于年初预算数主要原因是：人员调动。</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社会保障和就业支出（类）</w:t>
      </w:r>
      <w:r>
        <w:rPr>
          <w:rFonts w:hint="eastAsia" w:ascii="Times New Roman" w:hAnsi="Times New Roman" w:eastAsia="仿宋_GB2312"/>
          <w:sz w:val="32"/>
          <w:szCs w:val="32"/>
          <w:highlight w:val="none"/>
          <w:lang w:eastAsia="zh-CN"/>
        </w:rPr>
        <w:t>抚恤</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死亡抚恤</w:t>
      </w:r>
      <w:r>
        <w:rPr>
          <w:rFonts w:hint="eastAsia" w:ascii="Times New Roman" w:hAnsi="Times New Roman" w:eastAsia="仿宋_GB2312"/>
          <w:sz w:val="32"/>
          <w:szCs w:val="32"/>
          <w:highlight w:val="none"/>
        </w:rPr>
        <w:t>（项）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16.6</w:t>
      </w:r>
      <w:r>
        <w:rPr>
          <w:rFonts w:hint="eastAsia" w:ascii="Times New Roman" w:hAnsi="Times New Roman" w:eastAsia="仿宋_GB2312"/>
          <w:sz w:val="32"/>
          <w:szCs w:val="32"/>
          <w:highlight w:val="none"/>
        </w:rPr>
        <w:t>万元，决算数小于年初预算数主要原因是：</w:t>
      </w:r>
      <w:r>
        <w:rPr>
          <w:rFonts w:hint="eastAsia" w:ascii="Times New Roman" w:hAnsi="Times New Roman" w:eastAsia="仿宋_GB2312"/>
          <w:sz w:val="32"/>
          <w:szCs w:val="32"/>
          <w:highlight w:val="none"/>
          <w:lang w:eastAsia="zh-CN"/>
        </w:rPr>
        <w:t>当年新增退休人员死亡，支付抚恤金</w:t>
      </w:r>
      <w:r>
        <w:rPr>
          <w:rFonts w:hint="eastAsia" w:ascii="Times New Roman" w:hAnsi="Times New Roman" w:eastAsia="仿宋_GB2312"/>
          <w:sz w:val="32"/>
          <w:szCs w:val="32"/>
          <w:highlight w:val="none"/>
        </w:rPr>
        <w:t>。</w:t>
      </w:r>
    </w:p>
    <w:p>
      <w:pPr>
        <w:pStyle w:val="9"/>
        <w:keepNext w:val="0"/>
        <w:keepLines w:val="0"/>
        <w:pageBreakBefore w:val="0"/>
        <w:widowControl w:val="0"/>
        <w:numPr>
          <w:ilvl w:val="0"/>
          <w:numId w:val="0"/>
        </w:numPr>
        <w:kinsoku/>
        <w:wordWrap/>
        <w:overflowPunct/>
        <w:topLinePunct w:val="0"/>
        <w:bidi w:val="0"/>
        <w:snapToGrid/>
        <w:spacing w:line="600" w:lineRule="exact"/>
        <w:ind w:left="319" w:leftChars="152" w:firstLine="320" w:firstLineChars="1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卫生健康支出（类）行政事业单位医疗（款）行政单位医疗（项）年初预算为</w:t>
      </w:r>
      <w:r>
        <w:rPr>
          <w:rFonts w:hint="eastAsia" w:ascii="Times New Roman" w:hAnsi="Times New Roman" w:eastAsia="仿宋_GB2312"/>
          <w:sz w:val="32"/>
          <w:szCs w:val="32"/>
          <w:highlight w:val="none"/>
          <w:lang w:val="en-US" w:eastAsia="zh-CN"/>
        </w:rPr>
        <w:t>27.49</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27.72</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100.83</w:t>
      </w:r>
      <w:r>
        <w:rPr>
          <w:rFonts w:hint="eastAsia" w:ascii="Times New Roman" w:hAnsi="Times New Roman" w:eastAsia="仿宋_GB2312"/>
          <w:sz w:val="32"/>
          <w:szCs w:val="32"/>
          <w:highlight w:val="none"/>
        </w:rPr>
        <w:t>%，决算数</w:t>
      </w:r>
      <w:r>
        <w:rPr>
          <w:rFonts w:hint="eastAsia" w:ascii="Times New Roman" w:hAnsi="Times New Roman" w:eastAsia="仿宋_GB2312"/>
          <w:sz w:val="32"/>
          <w:szCs w:val="32"/>
          <w:highlight w:val="none"/>
          <w:lang w:eastAsia="zh-CN"/>
        </w:rPr>
        <w:t>大</w:t>
      </w:r>
      <w:r>
        <w:rPr>
          <w:rFonts w:hint="eastAsia" w:ascii="Times New Roman" w:hAnsi="Times New Roman" w:eastAsia="仿宋_GB2312"/>
          <w:sz w:val="32"/>
          <w:szCs w:val="32"/>
          <w:highlight w:val="none"/>
        </w:rPr>
        <w:t>于年初预算数主要原因是：人员</w:t>
      </w:r>
      <w:r>
        <w:rPr>
          <w:rFonts w:hint="eastAsia" w:ascii="Times New Roman" w:hAnsi="Times New Roman" w:eastAsia="仿宋_GB2312"/>
          <w:sz w:val="32"/>
          <w:szCs w:val="32"/>
          <w:highlight w:val="none"/>
          <w:lang w:eastAsia="zh-CN"/>
        </w:rPr>
        <w:t>补缴上年度医保</w:t>
      </w:r>
      <w:r>
        <w:rPr>
          <w:rFonts w:hint="eastAsia" w:ascii="Times New Roman" w:hAnsi="Times New Roman" w:eastAsia="仿宋_GB2312"/>
          <w:sz w:val="32"/>
          <w:szCs w:val="32"/>
          <w:highlight w:val="none"/>
        </w:rPr>
        <w:t>。</w:t>
      </w:r>
    </w:p>
    <w:p>
      <w:pPr>
        <w:pStyle w:val="9"/>
        <w:keepNext w:val="0"/>
        <w:keepLines w:val="0"/>
        <w:pageBreakBefore w:val="0"/>
        <w:widowControl w:val="0"/>
        <w:numPr>
          <w:ilvl w:val="0"/>
          <w:numId w:val="0"/>
        </w:numPr>
        <w:kinsoku/>
        <w:wordWrap/>
        <w:overflowPunct/>
        <w:topLinePunct w:val="0"/>
        <w:bidi w:val="0"/>
        <w:snapToGrid/>
        <w:spacing w:line="600" w:lineRule="exact"/>
        <w:ind w:left="638" w:leftChars="304" w:firstLine="0" w:firstLineChars="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农林水支出（类）农业农村（款）对高校毕业生到基层任职补助（项）年初预算为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19.27</w:t>
      </w:r>
      <w:r>
        <w:rPr>
          <w:rFonts w:hint="eastAsia" w:ascii="Times New Roman" w:hAnsi="Times New Roman" w:eastAsia="仿宋_GB2312"/>
          <w:sz w:val="32"/>
          <w:szCs w:val="32"/>
          <w:highlight w:val="none"/>
        </w:rPr>
        <w:t>万元，决算数</w:t>
      </w:r>
      <w:r>
        <w:rPr>
          <w:rFonts w:hint="eastAsia" w:ascii="Times New Roman" w:hAnsi="Times New Roman" w:eastAsia="仿宋_GB2312"/>
          <w:sz w:val="32"/>
          <w:szCs w:val="32"/>
          <w:highlight w:val="none"/>
          <w:lang w:eastAsia="zh-CN"/>
        </w:rPr>
        <w:t>大</w:t>
      </w:r>
      <w:r>
        <w:rPr>
          <w:rFonts w:hint="eastAsia" w:ascii="Times New Roman" w:hAnsi="Times New Roman" w:eastAsia="仿宋_GB2312"/>
          <w:sz w:val="32"/>
          <w:szCs w:val="32"/>
          <w:highlight w:val="none"/>
        </w:rPr>
        <w:t>于年初预算数主要原因是：</w:t>
      </w:r>
      <w:r>
        <w:rPr>
          <w:rFonts w:hint="eastAsia" w:ascii="Times New Roman" w:hAnsi="Times New Roman" w:eastAsia="仿宋_GB2312"/>
          <w:sz w:val="32"/>
          <w:szCs w:val="32"/>
          <w:highlight w:val="none"/>
          <w:lang w:eastAsia="zh-CN"/>
        </w:rPr>
        <w:t>新增</w:t>
      </w:r>
      <w:r>
        <w:rPr>
          <w:rFonts w:hint="eastAsia" w:ascii="Times New Roman" w:hAnsi="Times New Roman" w:eastAsia="仿宋_GB2312"/>
          <w:sz w:val="32"/>
          <w:szCs w:val="32"/>
          <w:highlight w:val="none"/>
        </w:rPr>
        <w:t>对高校毕业生到基层任职补助。</w:t>
      </w:r>
    </w:p>
    <w:p>
      <w:pPr>
        <w:pStyle w:val="9"/>
        <w:keepNext w:val="0"/>
        <w:keepLines w:val="0"/>
        <w:pageBreakBefore w:val="0"/>
        <w:widowControl w:val="0"/>
        <w:numPr>
          <w:ilvl w:val="0"/>
          <w:numId w:val="0"/>
        </w:numPr>
        <w:kinsoku/>
        <w:wordWrap/>
        <w:overflowPunct/>
        <w:topLinePunct w:val="0"/>
        <w:bidi w:val="0"/>
        <w:snapToGrid/>
        <w:spacing w:line="600" w:lineRule="exact"/>
        <w:ind w:leftChars="200" w:firstLine="320" w:firstLineChars="1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11、</w:t>
      </w:r>
      <w:r>
        <w:rPr>
          <w:rFonts w:hint="eastAsia" w:ascii="Times New Roman" w:hAnsi="Times New Roman" w:eastAsia="仿宋_GB2312"/>
          <w:sz w:val="32"/>
          <w:szCs w:val="32"/>
          <w:highlight w:val="none"/>
        </w:rPr>
        <w:t>住房保障支出（类）住房改革支出（款）住房公积金（项）</w:t>
      </w:r>
    </w:p>
    <w:p>
      <w:pPr>
        <w:pStyle w:val="9"/>
        <w:keepNext w:val="0"/>
        <w:keepLines w:val="0"/>
        <w:pageBreakBefore w:val="0"/>
        <w:widowControl w:val="0"/>
        <w:numPr>
          <w:ilvl w:val="0"/>
          <w:numId w:val="0"/>
        </w:numPr>
        <w:kinsoku/>
        <w:wordWrap/>
        <w:overflowPunct/>
        <w:topLinePunct w:val="0"/>
        <w:bidi w:val="0"/>
        <w:snapToGrid/>
        <w:spacing w:line="600" w:lineRule="exact"/>
        <w:ind w:left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0.52</w:t>
      </w:r>
      <w:r>
        <w:rPr>
          <w:rFonts w:hint="eastAsia" w:ascii="Times New Roman" w:hAnsi="Times New Roman" w:eastAsia="仿宋_GB2312"/>
          <w:sz w:val="32"/>
          <w:szCs w:val="32"/>
          <w:highlight w:val="none"/>
        </w:rPr>
        <w:t>万元，决算数</w:t>
      </w:r>
      <w:r>
        <w:rPr>
          <w:rFonts w:hint="eastAsia" w:ascii="Times New Roman" w:hAnsi="Times New Roman" w:eastAsia="仿宋_GB2312"/>
          <w:sz w:val="32"/>
          <w:szCs w:val="32"/>
          <w:highlight w:val="none"/>
          <w:lang w:eastAsia="zh-CN"/>
        </w:rPr>
        <w:t>大</w:t>
      </w:r>
      <w:r>
        <w:rPr>
          <w:rFonts w:hint="eastAsia" w:ascii="Times New Roman" w:hAnsi="Times New Roman" w:eastAsia="仿宋_GB2312"/>
          <w:sz w:val="32"/>
          <w:szCs w:val="32"/>
          <w:highlight w:val="none"/>
        </w:rPr>
        <w:t>于年初预算数主要原因是：人员调动。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年度财政拨款基本支出</w:t>
      </w:r>
      <w:r>
        <w:rPr>
          <w:rFonts w:hint="eastAsia" w:ascii="Times New Roman" w:hAnsi="Times New Roman" w:eastAsia="仿宋_GB2312"/>
          <w:sz w:val="32"/>
          <w:szCs w:val="32"/>
          <w:highlight w:val="none"/>
          <w:lang w:val="en-US" w:eastAsia="zh-CN"/>
        </w:rPr>
        <w:t>785.16</w:t>
      </w:r>
      <w:r>
        <w:rPr>
          <w:rFonts w:hint="eastAsia" w:ascii="Times New Roman" w:hAnsi="Times New Roman" w:eastAsia="仿宋_GB2312"/>
          <w:sz w:val="32"/>
          <w:szCs w:val="32"/>
          <w:highlight w:val="none"/>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b/>
          <w:bCs/>
          <w:sz w:val="32"/>
          <w:szCs w:val="32"/>
          <w:highlight w:val="none"/>
        </w:rPr>
        <w:t>人员经费</w:t>
      </w:r>
      <w:r>
        <w:rPr>
          <w:rFonts w:hint="eastAsia" w:ascii="Times New Roman" w:hAnsi="Times New Roman" w:eastAsia="仿宋_GB2312"/>
          <w:sz w:val="32"/>
          <w:szCs w:val="32"/>
          <w:highlight w:val="none"/>
          <w:lang w:val="en-US" w:eastAsia="zh-CN"/>
        </w:rPr>
        <w:t>529.04</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67.38</w:t>
      </w:r>
      <w:r>
        <w:rPr>
          <w:rFonts w:hint="eastAsia" w:ascii="Times New Roman" w:hAnsi="Times New Roman" w:eastAsia="仿宋_GB2312"/>
          <w:sz w:val="32"/>
          <w:szCs w:val="32"/>
          <w:highlight w:val="none"/>
        </w:rPr>
        <w:t>%,主要包括基本工资、津贴补贴、奖金、伙食补助费</w:t>
      </w:r>
      <w:r>
        <w:rPr>
          <w:rFonts w:hint="eastAsia" w:ascii="Times New Roman" w:hAnsi="Times New Roman" w:eastAsia="仿宋_GB2312"/>
          <w:sz w:val="32"/>
          <w:szCs w:val="32"/>
          <w:highlight w:val="none"/>
          <w:lang w:eastAsia="zh-CN"/>
        </w:rPr>
        <w:t>、绩效工资、机关事业单位基本养老保险缴费、职业年金缴费、职工基本医疗保险缴费、其他社会保障缴费、医疗费、住房公积金、抚恤金、生活补助、医疗费补助、其他对个人和家庭的补助。</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rPr>
        <w:t>公用经费</w:t>
      </w:r>
      <w:r>
        <w:rPr>
          <w:rFonts w:hint="eastAsia" w:ascii="Times New Roman" w:hAnsi="Times New Roman" w:eastAsia="仿宋_GB2312"/>
          <w:sz w:val="32"/>
          <w:szCs w:val="32"/>
          <w:highlight w:val="none"/>
          <w:lang w:val="en-US" w:eastAsia="zh-CN"/>
        </w:rPr>
        <w:t>256.12</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32.62</w:t>
      </w:r>
      <w:r>
        <w:rPr>
          <w:rFonts w:hint="eastAsia" w:ascii="Times New Roman" w:hAnsi="Times New Roman" w:eastAsia="仿宋_GB2312"/>
          <w:sz w:val="32"/>
          <w:szCs w:val="32"/>
          <w:highlight w:val="none"/>
        </w:rPr>
        <w:t>%，主要包括办公费、印刷费、咨询费、手续费、水费、电费、邮电费、差旅费、维修（护）费、会议费、</w:t>
      </w:r>
      <w:r>
        <w:rPr>
          <w:rFonts w:hint="eastAsia" w:ascii="Times New Roman" w:hAnsi="Times New Roman" w:eastAsia="仿宋_GB2312"/>
          <w:sz w:val="32"/>
          <w:szCs w:val="32"/>
          <w:highlight w:val="none"/>
          <w:lang w:eastAsia="zh-CN"/>
        </w:rPr>
        <w:t>培训费、</w:t>
      </w:r>
      <w:r>
        <w:rPr>
          <w:rFonts w:hint="eastAsia" w:ascii="Times New Roman" w:hAnsi="Times New Roman" w:eastAsia="仿宋_GB2312"/>
          <w:sz w:val="32"/>
          <w:szCs w:val="32"/>
          <w:highlight w:val="none"/>
        </w:rPr>
        <w:t>劳务费、</w:t>
      </w:r>
      <w:r>
        <w:rPr>
          <w:rFonts w:hint="eastAsia" w:ascii="Times New Roman" w:hAnsi="Times New Roman" w:eastAsia="仿宋_GB2312"/>
          <w:sz w:val="32"/>
          <w:szCs w:val="32"/>
          <w:highlight w:val="none"/>
          <w:lang w:eastAsia="zh-CN"/>
        </w:rPr>
        <w:t>委托业务费、</w:t>
      </w:r>
      <w:r>
        <w:rPr>
          <w:rFonts w:hint="eastAsia" w:ascii="Times New Roman" w:hAnsi="Times New Roman" w:eastAsia="仿宋_GB2312"/>
          <w:sz w:val="32"/>
          <w:szCs w:val="32"/>
          <w:highlight w:val="none"/>
        </w:rPr>
        <w:t>工会经费、</w:t>
      </w:r>
      <w:r>
        <w:rPr>
          <w:rFonts w:hint="eastAsia" w:ascii="Times New Roman" w:hAnsi="Times New Roman" w:eastAsia="仿宋_GB2312"/>
          <w:sz w:val="32"/>
          <w:szCs w:val="32"/>
          <w:highlight w:val="none"/>
          <w:lang w:eastAsia="zh-CN"/>
        </w:rPr>
        <w:t>福利费、</w:t>
      </w:r>
      <w:r>
        <w:rPr>
          <w:rFonts w:hint="eastAsia" w:ascii="Times New Roman" w:hAnsi="Times New Roman" w:eastAsia="仿宋_GB2312"/>
          <w:sz w:val="32"/>
          <w:szCs w:val="32"/>
          <w:highlight w:val="none"/>
        </w:rPr>
        <w:t>公务用车运行维护费、其他交通费、其他商品服务支出。</w:t>
      </w:r>
    </w:p>
    <w:p>
      <w:pPr>
        <w:pStyle w:val="9"/>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财政拨款三公经费支出决算情况说明</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highlight w:val="none"/>
        </w:rPr>
      </w:pPr>
      <w:r>
        <w:rPr>
          <w:rFonts w:hint="eastAsia" w:ascii="楷体" w:hAnsi="楷体" w:eastAsia="楷体" w:cs="楷体"/>
          <w:b/>
          <w:bCs w:val="0"/>
          <w:sz w:val="32"/>
          <w:szCs w:val="32"/>
          <w:highlight w:val="none"/>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“三公”经费财政拨款支出预算为</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万元，完成预算的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因公出国（境）费支出预算为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万元，与上年相比持平，202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年本单位未进行因公出国（境）活动。</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公务接待费支出预算为</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万元，完成预算的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%，与上年相比持平。</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公务用车购置费支出预算为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万元，与上年相比持平，202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年未购置公务用车。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公务用车运行维护费支出预算为</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万元，完成预算的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%，与上年相比持平。</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highlight w:val="none"/>
        </w:rPr>
      </w:pPr>
      <w:r>
        <w:rPr>
          <w:rFonts w:hint="eastAsia" w:ascii="楷体" w:hAnsi="楷体" w:eastAsia="楷体" w:cs="楷体"/>
          <w:b/>
          <w:bCs w:val="0"/>
          <w:sz w:val="32"/>
          <w:szCs w:val="32"/>
          <w:highlight w:val="none"/>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年度“三公”经费财政拨款支出决算中，公务接待费支出决算</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20</w:t>
      </w:r>
      <w:r>
        <w:rPr>
          <w:rFonts w:hint="eastAsia" w:ascii="Times New Roman" w:hAnsi="Times New Roman" w:eastAsia="仿宋_GB2312"/>
          <w:sz w:val="32"/>
          <w:szCs w:val="32"/>
          <w:highlight w:val="none"/>
        </w:rPr>
        <w:t>%,因公出国（境）费支出决算</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%,公务用车购置费及运行维护费支出决算</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80</w:t>
      </w:r>
      <w:r>
        <w:rPr>
          <w:rFonts w:hint="eastAsia" w:ascii="Times New Roman" w:hAnsi="Times New Roman" w:eastAsia="仿宋_GB2312"/>
          <w:sz w:val="32"/>
          <w:szCs w:val="32"/>
          <w:highlight w:val="none"/>
        </w:rPr>
        <w:t>%。其中：</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因公出国（境）费支出决算</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万元，全年安排因公出国（境）团组</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个，累计</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人次</w:t>
      </w:r>
      <w:r>
        <w:rPr>
          <w:rFonts w:hint="eastAsia" w:ascii="楷体" w:hAnsi="楷体" w:eastAsia="楷体" w:cs="楷体"/>
          <w:b/>
          <w:bCs/>
          <w:i/>
          <w:color w:val="auto"/>
          <w:sz w:val="32"/>
          <w:szCs w:val="32"/>
          <w:highlight w:val="none"/>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2、公务接待费支出决算为</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万元，全年共接待来访团组</w:t>
      </w: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个、来宾</w:t>
      </w:r>
      <w:r>
        <w:rPr>
          <w:rFonts w:hint="eastAsia" w:ascii="Times New Roman" w:hAnsi="Times New Roman" w:eastAsia="仿宋_GB2312"/>
          <w:sz w:val="32"/>
          <w:szCs w:val="32"/>
          <w:highlight w:val="none"/>
          <w:lang w:val="en-US" w:eastAsia="zh-CN"/>
        </w:rPr>
        <w:t>83</w:t>
      </w:r>
      <w:r>
        <w:rPr>
          <w:rFonts w:hint="eastAsia" w:ascii="Times New Roman" w:hAnsi="Times New Roman" w:eastAsia="仿宋_GB2312"/>
          <w:sz w:val="32"/>
          <w:szCs w:val="32"/>
          <w:highlight w:val="none"/>
        </w:rPr>
        <w:t>人次，主要是</w:t>
      </w:r>
      <w:r>
        <w:rPr>
          <w:rFonts w:hint="eastAsia" w:ascii="Times New Roman" w:hAnsi="Times New Roman" w:eastAsia="仿宋_GB2312"/>
          <w:sz w:val="32"/>
          <w:szCs w:val="32"/>
          <w:highlight w:val="none"/>
          <w:lang w:eastAsia="zh-CN"/>
        </w:rPr>
        <w:t>上级调研考察</w:t>
      </w:r>
      <w:r>
        <w:rPr>
          <w:rFonts w:hint="eastAsia" w:ascii="Times New Roman" w:hAnsi="Times New Roman" w:eastAsia="仿宋_GB2312"/>
          <w:sz w:val="32"/>
          <w:szCs w:val="32"/>
          <w:highlight w:val="none"/>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highlight w:val="none"/>
          <w:lang w:val="en-US" w:eastAsia="zh-CN" w:bidi="ar-SA"/>
        </w:rPr>
      </w:pPr>
      <w:r>
        <w:rPr>
          <w:rFonts w:hint="eastAsia" w:ascii="Times New Roman" w:hAnsi="Times New Roman" w:eastAsia="仿宋_GB2312"/>
          <w:sz w:val="32"/>
          <w:szCs w:val="32"/>
          <w:highlight w:val="none"/>
        </w:rPr>
        <w:t>3、公务用车购置费及运行维护费支出决算为</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万元，其中：公务用车购置费</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万元，单位本级更新公务用车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w:t>
      </w:r>
      <w:r>
        <w:rPr>
          <w:rFonts w:hint="eastAsia"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sz w:val="32"/>
          <w:szCs w:val="32"/>
          <w:highlight w:val="none"/>
        </w:rPr>
        <w:t>公务用车运行维护费</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万元，主要是</w:t>
      </w:r>
      <w:r>
        <w:rPr>
          <w:rFonts w:hint="eastAsia" w:ascii="Times New Roman" w:hAnsi="Times New Roman" w:eastAsia="仿宋_GB2312"/>
          <w:sz w:val="32"/>
          <w:szCs w:val="32"/>
          <w:highlight w:val="none"/>
          <w:lang w:eastAsia="zh-CN"/>
        </w:rPr>
        <w:t>保养、保险、油费等</w:t>
      </w:r>
      <w:r>
        <w:rPr>
          <w:rFonts w:hint="eastAsia" w:ascii="Times New Roman" w:hAnsi="Times New Roman" w:eastAsia="仿宋_GB2312"/>
          <w:sz w:val="32"/>
          <w:szCs w:val="32"/>
          <w:highlight w:val="none"/>
        </w:rPr>
        <w:t>支出，截止202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年12月31日，我单位开支财政拨款的公务用车保有量为</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年度度本部门无政府性基金预算收支。</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本部门202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年度机关运行经费支出</w:t>
      </w:r>
      <w:r>
        <w:rPr>
          <w:rFonts w:hint="eastAsia" w:ascii="Times New Roman" w:hAnsi="Times New Roman" w:eastAsia="仿宋_GB2312"/>
          <w:sz w:val="32"/>
          <w:szCs w:val="32"/>
          <w:highlight w:val="none"/>
          <w:lang w:val="en-US" w:eastAsia="zh-CN"/>
        </w:rPr>
        <w:t>256.12</w:t>
      </w:r>
      <w:r>
        <w:rPr>
          <w:rFonts w:hint="eastAsia" w:ascii="Times New Roman" w:hAnsi="Times New Roman" w:eastAsia="仿宋_GB2312"/>
          <w:sz w:val="32"/>
          <w:szCs w:val="32"/>
          <w:highlight w:val="none"/>
        </w:rPr>
        <w:t>万元，比上年决算数减少</w:t>
      </w:r>
      <w:r>
        <w:rPr>
          <w:rFonts w:hint="eastAsia" w:ascii="Times New Roman" w:hAnsi="Times New Roman" w:eastAsia="仿宋_GB2312"/>
          <w:sz w:val="32"/>
          <w:szCs w:val="32"/>
          <w:highlight w:val="none"/>
          <w:lang w:val="en-US" w:eastAsia="zh-CN"/>
        </w:rPr>
        <w:t>207.52</w:t>
      </w:r>
      <w:r>
        <w:rPr>
          <w:rFonts w:hint="eastAsia" w:ascii="Times New Roman" w:hAnsi="Times New Roman" w:eastAsia="仿宋_GB2312"/>
          <w:sz w:val="32"/>
          <w:szCs w:val="32"/>
          <w:highlight w:val="none"/>
        </w:rPr>
        <w:t>万元，降低</w:t>
      </w:r>
      <w:r>
        <w:rPr>
          <w:rFonts w:hint="eastAsia" w:ascii="Times New Roman" w:hAnsi="Times New Roman" w:eastAsia="仿宋_GB2312"/>
          <w:sz w:val="32"/>
          <w:szCs w:val="32"/>
          <w:highlight w:val="none"/>
          <w:lang w:val="en-US" w:eastAsia="zh-CN"/>
        </w:rPr>
        <w:t>44.76</w:t>
      </w:r>
      <w:r>
        <w:rPr>
          <w:rFonts w:hint="eastAsia" w:ascii="Times New Roman" w:hAnsi="Times New Roman" w:eastAsia="仿宋_GB2312"/>
          <w:sz w:val="32"/>
          <w:szCs w:val="32"/>
          <w:highlight w:val="none"/>
        </w:rPr>
        <w:t>%。主要原因是：专用材料费</w:t>
      </w:r>
      <w:r>
        <w:rPr>
          <w:rFonts w:hint="eastAsia" w:ascii="Times New Roman" w:hAnsi="Times New Roman" w:eastAsia="仿宋_GB2312"/>
          <w:sz w:val="32"/>
          <w:szCs w:val="32"/>
          <w:highlight w:val="none"/>
          <w:lang w:eastAsia="zh-CN"/>
        </w:rPr>
        <w:t>减少。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年本部门开支会议费</w:t>
      </w:r>
      <w:r>
        <w:rPr>
          <w:rFonts w:hint="eastAsia" w:ascii="Times New Roman" w:hAnsi="Times New Roman" w:eastAsia="仿宋_GB2312"/>
          <w:sz w:val="32"/>
          <w:szCs w:val="32"/>
          <w:highlight w:val="none"/>
          <w:lang w:val="en-US" w:eastAsia="zh-CN"/>
        </w:rPr>
        <w:t>25.16</w:t>
      </w:r>
      <w:r>
        <w:rPr>
          <w:rFonts w:hint="eastAsia" w:ascii="Times New Roman" w:hAnsi="Times New Roman" w:eastAsia="仿宋_GB2312"/>
          <w:sz w:val="32"/>
          <w:szCs w:val="32"/>
          <w:highlight w:val="none"/>
        </w:rPr>
        <w:t>万元，用于召开</w:t>
      </w:r>
      <w:r>
        <w:rPr>
          <w:rFonts w:hint="eastAsia" w:ascii="Times New Roman" w:hAnsi="Times New Roman" w:eastAsia="仿宋_GB2312"/>
          <w:sz w:val="32"/>
          <w:szCs w:val="32"/>
          <w:highlight w:val="none"/>
          <w:lang w:eastAsia="zh-CN"/>
        </w:rPr>
        <w:t>全区组织工作</w:t>
      </w:r>
      <w:r>
        <w:rPr>
          <w:rFonts w:hint="eastAsia" w:ascii="Times New Roman" w:hAnsi="Times New Roman" w:eastAsia="仿宋_GB2312"/>
          <w:sz w:val="32"/>
          <w:szCs w:val="32"/>
          <w:highlight w:val="none"/>
        </w:rPr>
        <w:t>会议</w:t>
      </w:r>
      <w:r>
        <w:rPr>
          <w:rFonts w:hint="eastAsia" w:ascii="Times New Roman" w:hAnsi="Times New Roman" w:eastAsia="仿宋_GB2312"/>
          <w:sz w:val="32"/>
          <w:szCs w:val="32"/>
          <w:highlight w:val="none"/>
          <w:lang w:eastAsia="zh-CN"/>
        </w:rPr>
        <w:t>、党建现场会、</w:t>
      </w:r>
      <w:r>
        <w:rPr>
          <w:rFonts w:hint="eastAsia" w:ascii="Times New Roman" w:hAnsi="Times New Roman" w:eastAsia="仿宋_GB2312"/>
          <w:sz w:val="32"/>
          <w:szCs w:val="32"/>
          <w:highlight w:val="none"/>
        </w:rPr>
        <w:t>老干现场会</w:t>
      </w:r>
      <w:r>
        <w:rPr>
          <w:rFonts w:hint="eastAsia" w:ascii="Times New Roman" w:hAnsi="Times New Roman" w:eastAsia="仿宋_GB2312"/>
          <w:sz w:val="32"/>
          <w:szCs w:val="32"/>
          <w:highlight w:val="none"/>
          <w:lang w:eastAsia="zh-CN"/>
        </w:rPr>
        <w:t>、全区离退休老干部座谈会、其他临时性会议等</w:t>
      </w:r>
      <w:r>
        <w:rPr>
          <w:rFonts w:hint="eastAsia" w:ascii="Times New Roman" w:hAnsi="Times New Roman" w:eastAsia="仿宋_GB2312"/>
          <w:sz w:val="32"/>
          <w:szCs w:val="32"/>
          <w:highlight w:val="none"/>
        </w:rPr>
        <w:t>，人数</w:t>
      </w:r>
      <w:r>
        <w:rPr>
          <w:rFonts w:hint="eastAsia" w:ascii="Times New Roman" w:hAnsi="Times New Roman" w:eastAsia="仿宋_GB2312"/>
          <w:sz w:val="32"/>
          <w:szCs w:val="32"/>
          <w:highlight w:val="none"/>
          <w:lang w:val="en-US" w:eastAsia="zh-CN"/>
        </w:rPr>
        <w:t>680</w:t>
      </w:r>
      <w:r>
        <w:rPr>
          <w:rFonts w:hint="eastAsia" w:ascii="Times New Roman" w:hAnsi="Times New Roman" w:eastAsia="仿宋_GB2312"/>
          <w:sz w:val="32"/>
          <w:szCs w:val="32"/>
          <w:highlight w:val="none"/>
        </w:rPr>
        <w:t>人，内容为</w:t>
      </w:r>
      <w:r>
        <w:rPr>
          <w:rFonts w:hint="eastAsia" w:ascii="Times New Roman" w:hAnsi="Times New Roman" w:eastAsia="仿宋_GB2312"/>
          <w:sz w:val="32"/>
          <w:szCs w:val="32"/>
          <w:highlight w:val="none"/>
          <w:lang w:val="en-US" w:eastAsia="zh-CN"/>
        </w:rPr>
        <w:t>2022年度</w:t>
      </w:r>
      <w:r>
        <w:rPr>
          <w:rFonts w:hint="eastAsia" w:ascii="Times New Roman" w:hAnsi="Times New Roman" w:eastAsia="仿宋_GB2312"/>
          <w:sz w:val="32"/>
          <w:szCs w:val="32"/>
          <w:highlight w:val="none"/>
          <w:lang w:eastAsia="zh-CN"/>
        </w:rPr>
        <w:t>组织工作总结表彰</w:t>
      </w:r>
      <w:r>
        <w:rPr>
          <w:rFonts w:hint="eastAsia" w:ascii="Times New Roman" w:hAnsi="Times New Roman" w:eastAsia="仿宋_GB2312"/>
          <w:sz w:val="32"/>
          <w:szCs w:val="32"/>
          <w:highlight w:val="none"/>
          <w:lang w:val="en-US" w:eastAsia="zh-CN"/>
        </w:rPr>
        <w:t>2023年计划部署</w:t>
      </w:r>
      <w:r>
        <w:rPr>
          <w:rFonts w:hint="eastAsia" w:ascii="Times New Roman" w:hAnsi="Times New Roman" w:eastAsia="仿宋_GB2312"/>
          <w:sz w:val="32"/>
          <w:szCs w:val="32"/>
          <w:highlight w:val="none"/>
          <w:lang w:eastAsia="zh-CN"/>
        </w:rPr>
        <w:t>、党建现场会、</w:t>
      </w:r>
      <w:r>
        <w:rPr>
          <w:rFonts w:hint="eastAsia" w:ascii="Times New Roman" w:hAnsi="Times New Roman" w:eastAsia="仿宋_GB2312"/>
          <w:sz w:val="32"/>
          <w:szCs w:val="32"/>
          <w:highlight w:val="none"/>
        </w:rPr>
        <w:t>老干现场会</w:t>
      </w:r>
      <w:r>
        <w:rPr>
          <w:rFonts w:hint="eastAsia" w:ascii="Times New Roman" w:hAnsi="Times New Roman" w:eastAsia="仿宋_GB2312"/>
          <w:sz w:val="32"/>
          <w:szCs w:val="32"/>
          <w:highlight w:val="none"/>
          <w:lang w:eastAsia="zh-CN"/>
        </w:rPr>
        <w:t>、离退休老干部座谈、其他临时工作会议</w:t>
      </w:r>
      <w:r>
        <w:rPr>
          <w:rFonts w:hint="eastAsia" w:ascii="Times New Roman" w:hAnsi="Times New Roman" w:eastAsia="仿宋_GB2312"/>
          <w:sz w:val="32"/>
          <w:szCs w:val="32"/>
          <w:highlight w:val="none"/>
        </w:rPr>
        <w:t>；开支培训费</w:t>
      </w:r>
      <w:r>
        <w:rPr>
          <w:rFonts w:hint="eastAsia" w:ascii="Times New Roman" w:hAnsi="Times New Roman" w:eastAsia="仿宋_GB2312"/>
          <w:sz w:val="32"/>
          <w:szCs w:val="32"/>
          <w:highlight w:val="none"/>
          <w:lang w:val="en-US" w:eastAsia="zh-CN"/>
        </w:rPr>
        <w:t>35.15</w:t>
      </w:r>
      <w:r>
        <w:rPr>
          <w:rFonts w:hint="eastAsia" w:ascii="Times New Roman" w:hAnsi="Times New Roman" w:eastAsia="仿宋_GB2312"/>
          <w:sz w:val="32"/>
          <w:szCs w:val="32"/>
          <w:highlight w:val="none"/>
        </w:rPr>
        <w:t>万元，用于开展2022年赫山区学习贯彻党的十九届六中全会精神专题读书班培训</w:t>
      </w:r>
      <w:r>
        <w:rPr>
          <w:rFonts w:hint="eastAsia" w:ascii="Times New Roman" w:hAnsi="Times New Roman" w:eastAsia="仿宋_GB2312"/>
          <w:sz w:val="32"/>
          <w:szCs w:val="32"/>
          <w:highlight w:val="none"/>
          <w:lang w:eastAsia="zh-CN"/>
        </w:rPr>
        <w:t>和其他业务工作培训</w:t>
      </w:r>
      <w:r>
        <w:rPr>
          <w:rFonts w:hint="eastAsia" w:ascii="Times New Roman" w:hAnsi="Times New Roman" w:eastAsia="仿宋_GB2312"/>
          <w:sz w:val="32"/>
          <w:szCs w:val="32"/>
          <w:highlight w:val="none"/>
        </w:rPr>
        <w:t>，人数</w:t>
      </w:r>
      <w:r>
        <w:rPr>
          <w:rFonts w:hint="eastAsia" w:ascii="Times New Roman" w:hAnsi="Times New Roman" w:eastAsia="仿宋_GB2312"/>
          <w:sz w:val="32"/>
          <w:szCs w:val="32"/>
          <w:highlight w:val="none"/>
          <w:lang w:val="en-US" w:eastAsia="zh-CN"/>
        </w:rPr>
        <w:t>160</w:t>
      </w:r>
      <w:r>
        <w:rPr>
          <w:rFonts w:hint="eastAsia" w:ascii="Times New Roman" w:hAnsi="Times New Roman" w:eastAsia="仿宋_GB2312"/>
          <w:sz w:val="32"/>
          <w:szCs w:val="32"/>
          <w:highlight w:val="none"/>
        </w:rPr>
        <w:t>人，内容为学习贯彻党的十九届六中全会精神</w:t>
      </w:r>
      <w:r>
        <w:rPr>
          <w:rFonts w:hint="eastAsia" w:ascii="Times New Roman" w:hAnsi="Times New Roman" w:eastAsia="仿宋_GB2312"/>
          <w:sz w:val="32"/>
          <w:szCs w:val="32"/>
          <w:highlight w:val="none"/>
          <w:lang w:eastAsia="zh-CN"/>
        </w:rPr>
        <w:t>和其他业务工作培训</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未</w:t>
      </w:r>
      <w:r>
        <w:rPr>
          <w:rFonts w:hint="eastAsia" w:ascii="Times New Roman" w:hAnsi="Times New Roman" w:eastAsia="仿宋_GB2312"/>
          <w:sz w:val="32"/>
          <w:szCs w:val="32"/>
          <w:highlight w:val="none"/>
        </w:rPr>
        <w:t>举办节庆、晚会、论坛、赛事活动。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本部门202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w:t>
      </w:r>
      <w:r>
        <w:rPr>
          <w:rFonts w:hint="eastAsia" w:ascii="Times New Roman" w:hAnsi="Times New Roman" w:eastAsia="仿宋_GB2312"/>
          <w:sz w:val="32"/>
          <w:szCs w:val="32"/>
          <w:highlight w:val="none"/>
          <w:lang w:eastAsia="zh-CN"/>
        </w:rPr>
        <w:t>无</w:t>
      </w:r>
      <w:r>
        <w:rPr>
          <w:rFonts w:hint="eastAsia" w:ascii="Times New Roman" w:hAnsi="Times New Roman" w:eastAsia="仿宋_GB2312"/>
          <w:sz w:val="32"/>
          <w:szCs w:val="32"/>
          <w:highlight w:val="none"/>
        </w:rPr>
        <w:t>政府采购支出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截至202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年12月31日，本单位共有车辆</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辆，其中，主要领导干部用车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辆，机要通信用车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辆、应急保障用车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辆、执法执勤用车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辆、特种专业技术用车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辆、其他用车</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辆，其他用车主要是</w:t>
      </w:r>
      <w:r>
        <w:rPr>
          <w:rFonts w:hint="eastAsia" w:ascii="Times New Roman" w:hAnsi="Times New Roman" w:eastAsia="仿宋_GB2312"/>
          <w:sz w:val="32"/>
          <w:szCs w:val="32"/>
          <w:highlight w:val="none"/>
          <w:lang w:eastAsia="zh-CN"/>
        </w:rPr>
        <w:t>老干保障用车</w:t>
      </w:r>
      <w:r>
        <w:rPr>
          <w:rFonts w:hint="eastAsia" w:ascii="Times New Roman" w:hAnsi="Times New Roman" w:eastAsia="仿宋_GB2312"/>
          <w:sz w:val="32"/>
          <w:szCs w:val="32"/>
          <w:highlight w:val="none"/>
        </w:rPr>
        <w:t>；单位价值50万元以上通用设备</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台（套）；单位价值100万元以上专用设备</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十三、关于</w:t>
      </w: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黑体" w:hAnsi="黑体" w:eastAsia="黑体" w:cs="黑体"/>
          <w:b w:val="0"/>
          <w:bCs/>
          <w:sz w:val="32"/>
          <w:szCs w:val="32"/>
          <w:highlight w:val="none"/>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（一）</w:t>
      </w:r>
      <w:r>
        <w:rPr>
          <w:rFonts w:hint="eastAsia" w:ascii="楷体" w:hAnsi="楷体" w:eastAsia="楷体" w:cs="楷体"/>
          <w:b/>
          <w:bCs/>
          <w:sz w:val="32"/>
          <w:szCs w:val="32"/>
          <w:highlight w:val="none"/>
        </w:rPr>
        <w:t>部门整体支出绩效情况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津贴补贴政策落实情况：严格规范公务员工资津贴补贴，除了按照中央、国务院明确规定正常发放的津贴补贴外，自设项目或提高标准发放的各类津贴补贴一律取消。</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资产管理情况：制定了《赫山区委组织部资产管理制度》，建立了固定资产台账，指定专人管理，及时登记，科学使用，实现了“一物一卡一条码”。固定资产的调出、处置、报废、报损严格执行国家有关规定的审批程序办理。</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“三公”经费控制情况：2022年，本单位“三公”经费支出</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万元，其中：公务用车运行维护费4万元，公务接待费</w:t>
      </w:r>
      <w:r>
        <w:rPr>
          <w:rFonts w:hint="eastAsia" w:ascii="Times New Roman" w:hAnsi="Times New Roman" w:eastAsia="仿宋_GB2312"/>
          <w:sz w:val="32"/>
          <w:szCs w:val="32"/>
          <w:highlight w:val="none"/>
          <w:lang w:val="en-US" w:eastAsia="zh-CN"/>
        </w:rPr>
        <w:t>1万元</w:t>
      </w:r>
      <w:r>
        <w:rPr>
          <w:rFonts w:hint="eastAsia" w:ascii="Times New Roman" w:hAnsi="Times New Roman" w:eastAsia="仿宋_GB2312"/>
          <w:sz w:val="32"/>
          <w:szCs w:val="32"/>
          <w:highlight w:val="none"/>
        </w:rPr>
        <w:t>，无出国出境费。</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预决算公开情况：根据区财政局的统一部署及相关要求，本单位已在赫山信息网站上进行了预（决）算公开。</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存量资金管理情况：本单位已实行国库集中支付管理，对于超时未使用的存量资金，由财政统一收回。</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（二）</w:t>
      </w:r>
      <w:r>
        <w:rPr>
          <w:rFonts w:hint="eastAsia" w:ascii="楷体" w:hAnsi="楷体" w:eastAsia="楷体" w:cs="楷体"/>
          <w:b/>
          <w:bCs/>
          <w:sz w:val="32"/>
          <w:szCs w:val="32"/>
          <w:highlight w:val="none"/>
        </w:rPr>
        <w:t>存在的问题及原因分析</w:t>
      </w:r>
    </w:p>
    <w:p>
      <w:pPr>
        <w:pStyle w:val="9"/>
        <w:jc w:val="center"/>
        <w:rPr>
          <w:sz w:val="72"/>
          <w:szCs w:val="72"/>
          <w:highlight w:val="none"/>
        </w:rPr>
      </w:pP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因部分工作是年中或年末根据省市相关要求开展，未纳入年初预算，另外还有部分不可预见经费的追加，无法纳入预算，导致预算执行存在偏差。</w:t>
      </w: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both"/>
        <w:rPr>
          <w:rFonts w:hint="eastAsia" w:ascii="方正小标宋_GBK" w:hAnsi="方正小标宋_GBK" w:eastAsia="方正小标宋_GBK" w:cs="方正小标宋_GBK"/>
          <w:sz w:val="72"/>
          <w:szCs w:val="72"/>
          <w:highlight w:val="none"/>
        </w:rPr>
      </w:pPr>
    </w:p>
    <w:p>
      <w:pPr>
        <w:pStyle w:val="9"/>
        <w:jc w:val="center"/>
        <w:rPr>
          <w:rFonts w:hint="eastAsia" w:ascii="方正小标宋_GBK" w:hAnsi="方正小标宋_GBK" w:eastAsia="方正小标宋_GBK" w:cs="方正小标宋_GBK"/>
          <w:sz w:val="72"/>
          <w:szCs w:val="72"/>
          <w:highlight w:val="none"/>
        </w:rPr>
      </w:pPr>
    </w:p>
    <w:p>
      <w:pPr>
        <w:pStyle w:val="9"/>
        <w:jc w:val="center"/>
        <w:rPr>
          <w:rFonts w:hint="eastAsia" w:ascii="方正小标宋_GBK" w:hAnsi="方正小标宋_GBK" w:eastAsia="方正小标宋_GBK" w:cs="方正小标宋_GBK"/>
          <w:sz w:val="72"/>
          <w:szCs w:val="72"/>
          <w:highlight w:val="none"/>
        </w:rPr>
      </w:pPr>
    </w:p>
    <w:p>
      <w:pPr>
        <w:pStyle w:val="9"/>
        <w:jc w:val="center"/>
        <w:rPr>
          <w:rFonts w:hint="eastAsia" w:ascii="方正小标宋_GBK" w:hAnsi="方正小标宋_GBK" w:eastAsia="方正小标宋_GBK" w:cs="方正小标宋_GBK"/>
          <w:sz w:val="72"/>
          <w:szCs w:val="72"/>
          <w:highlight w:val="none"/>
        </w:rPr>
      </w:pPr>
    </w:p>
    <w:p>
      <w:pPr>
        <w:pStyle w:val="9"/>
        <w:jc w:val="center"/>
        <w:rPr>
          <w:rFonts w:hint="eastAsia" w:ascii="方正小标宋_GBK" w:hAnsi="方正小标宋_GBK" w:eastAsia="方正小标宋_GBK" w:cs="方正小标宋_GBK"/>
          <w:sz w:val="72"/>
          <w:szCs w:val="72"/>
          <w:highlight w:val="none"/>
        </w:rPr>
      </w:pPr>
    </w:p>
    <w:p>
      <w:pPr>
        <w:pStyle w:val="9"/>
        <w:jc w:val="center"/>
        <w:rPr>
          <w:rFonts w:hint="eastAsia" w:ascii="方正小标宋_GBK" w:hAnsi="方正小标宋_GBK" w:eastAsia="方正小标宋_GBK" w:cs="方正小标宋_GBK"/>
          <w:sz w:val="72"/>
          <w:szCs w:val="72"/>
          <w:highlight w:val="none"/>
        </w:rPr>
      </w:pPr>
      <w:r>
        <w:rPr>
          <w:rFonts w:hint="eastAsia" w:ascii="方正小标宋_GBK" w:hAnsi="方正小标宋_GBK" w:eastAsia="方正小标宋_GBK" w:cs="方正小标宋_GBK"/>
          <w:sz w:val="72"/>
          <w:szCs w:val="72"/>
          <w:highlight w:val="none"/>
        </w:rPr>
        <w:t>第四部分</w:t>
      </w:r>
    </w:p>
    <w:p>
      <w:pPr>
        <w:jc w:val="center"/>
        <w:rPr>
          <w:rFonts w:hint="eastAsia" w:ascii="方正小标宋_GBK" w:hAnsi="方正小标宋_GBK" w:eastAsia="方正小标宋_GBK" w:cs="方正小标宋_GBK"/>
          <w:color w:val="000000"/>
          <w:kern w:val="0"/>
          <w:sz w:val="70"/>
          <w:szCs w:val="70"/>
          <w:highlight w:val="none"/>
        </w:rPr>
      </w:pPr>
    </w:p>
    <w:p>
      <w:pPr>
        <w:jc w:val="center"/>
        <w:rPr>
          <w:rFonts w:hint="eastAsia" w:ascii="方正小标宋_GBK" w:hAnsi="方正小标宋_GBK" w:eastAsia="方正小标宋_GBK" w:cs="方正小标宋_GBK"/>
          <w:color w:val="000000"/>
          <w:kern w:val="0"/>
          <w:sz w:val="70"/>
          <w:szCs w:val="70"/>
          <w:highlight w:val="none"/>
        </w:rPr>
      </w:pPr>
      <w:r>
        <w:rPr>
          <w:rFonts w:hint="eastAsia" w:ascii="方正小标宋_GBK" w:hAnsi="方正小标宋_GBK" w:eastAsia="方正小标宋_GBK" w:cs="方正小标宋_GBK"/>
          <w:color w:val="000000"/>
          <w:kern w:val="0"/>
          <w:sz w:val="70"/>
          <w:szCs w:val="70"/>
          <w:highlight w:val="none"/>
        </w:rPr>
        <w:t>名词解释</w:t>
      </w:r>
    </w:p>
    <w:p>
      <w:pPr>
        <w:widowControl/>
        <w:jc w:val="left"/>
        <w:rPr>
          <w:rFonts w:cs="黑体" w:asciiTheme="minorEastAsia" w:hAnsiTheme="minorEastAsia"/>
          <w:color w:val="000000"/>
          <w:kern w:val="0"/>
          <w:sz w:val="32"/>
          <w:szCs w:val="32"/>
          <w:highlight w:val="none"/>
        </w:rPr>
      </w:pPr>
      <w:r>
        <w:rPr>
          <w:rFonts w:hint="eastAsia" w:ascii="方正小标宋_GBK" w:hAnsi="方正小标宋_GBK" w:eastAsia="方正小标宋_GBK" w:cs="方正小标宋_GBK"/>
          <w:color w:val="000000"/>
          <w:kern w:val="0"/>
          <w:sz w:val="70"/>
          <w:szCs w:val="70"/>
          <w:highlight w:val="none"/>
        </w:rPr>
        <w:br w:type="page"/>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财政拨款收入：指本级财政当年拨付的资金。</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上年结转和结余：指以前年度尚未完成、结转到本年按有关规定继续使用的资金。</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年末结转和结余资金：指本年度或以前年度预算安排、因客观条件发生变化无法按原计划实施，需要延迟到以后年度按有关规定继续使用的资金。</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基本支出：指保障机构正常运转、完成支日常工作任务而发生的人员支出和公用支出。</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项目支出：指在基本支出之外为完成特定行政任务和事业发展目标所发生的支出。</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“三公”经费：指用财政拨款安排的因公出国（境）费、公务用车购置及运行费和公务接待费。</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政府采购 ：是指国家各级政府为从事日常的政务活动或为了满足公共服务的目的，利用国家财政性资金和政府借款购买货物、工程和服务的行为。</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一般公共服务支出（类）组织事务（款）行政运行（项）：反映行政单位（包含实行公务员管理的事业单位）的基本支出。</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般公共服务支出（类）组织事务（款）机关服务（项）：反映为行政单位（包含实行公务员管理的事业单位）提供后勤服务的各类后勤服务中心、医务室等附属事业单位的支出。其他事业单位的支出，凡单独设置了项级科目的，在单独设置的项级科目中反映。未单独设项级科目的，在“其他”项级科目中反映。</w:t>
      </w:r>
    </w:p>
    <w:p>
      <w:pPr>
        <w:pStyle w:val="9"/>
        <w:keepNext w:val="0"/>
        <w:keepLines w:val="0"/>
        <w:pageBreakBefore w:val="0"/>
        <w:widowControl w:val="0"/>
        <w:numPr>
          <w:ilvl w:val="0"/>
          <w:numId w:val="4"/>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一般公共服务支出（类）组织事务（款）其他组织事务支出（项）：反映除上述项目以外其他用于中国共产党组织部门的事务支出。</w:t>
      </w:r>
    </w:p>
    <w:p>
      <w:pPr>
        <w:pStyle w:val="9"/>
        <w:keepNext w:val="0"/>
        <w:keepLines w:val="0"/>
        <w:pageBreakBefore w:val="0"/>
        <w:widowControl w:val="0"/>
        <w:kinsoku/>
        <w:wordWrap/>
        <w:overflowPunct/>
        <w:topLinePunct w:val="0"/>
        <w:bidi w:val="0"/>
        <w:snapToGrid/>
        <w:spacing w:line="600" w:lineRule="exact"/>
        <w:jc w:val="left"/>
        <w:textAlignment w:val="auto"/>
        <w:rPr>
          <w:rFonts w:hint="eastAsia" w:ascii="Times New Roman" w:hAnsi="Times New Roman" w:eastAsia="仿宋_GB2312"/>
          <w:sz w:val="32"/>
          <w:szCs w:val="32"/>
          <w:highlight w:val="none"/>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3E1F8"/>
    <w:multiLevelType w:val="singleLevel"/>
    <w:tmpl w:val="D003E1F8"/>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76A483"/>
    <w:multiLevelType w:val="singleLevel"/>
    <w:tmpl w:val="6276A483"/>
    <w:lvl w:ilvl="0" w:tentative="0">
      <w:start w:val="1"/>
      <w:numFmt w:val="chineseCounting"/>
      <w:suff w:val="nothing"/>
      <w:lvlText w:val="%1、"/>
      <w:lvlJc w:val="left"/>
      <w:rPr>
        <w:rFonts w:hint="eastAsia"/>
      </w:rPr>
    </w:lvl>
  </w:abstractNum>
  <w:abstractNum w:abstractNumId="3">
    <w:nsid w:val="76144FE6"/>
    <w:multiLevelType w:val="singleLevel"/>
    <w:tmpl w:val="76144FE6"/>
    <w:lvl w:ilvl="0" w:tentative="0">
      <w:start w:val="2"/>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68A2DC1"/>
    <w:rsid w:val="07E06245"/>
    <w:rsid w:val="0BA01265"/>
    <w:rsid w:val="108A1F59"/>
    <w:rsid w:val="155D713F"/>
    <w:rsid w:val="1C7D749C"/>
    <w:rsid w:val="1DBE7147"/>
    <w:rsid w:val="1DC01566"/>
    <w:rsid w:val="1E0323E2"/>
    <w:rsid w:val="1E63487B"/>
    <w:rsid w:val="22A23A5C"/>
    <w:rsid w:val="25AF6C10"/>
    <w:rsid w:val="2A047E74"/>
    <w:rsid w:val="2CB414D8"/>
    <w:rsid w:val="3285584A"/>
    <w:rsid w:val="3718565C"/>
    <w:rsid w:val="38F52888"/>
    <w:rsid w:val="3A364976"/>
    <w:rsid w:val="3BEC295A"/>
    <w:rsid w:val="3F9A2DF4"/>
    <w:rsid w:val="40B47AB2"/>
    <w:rsid w:val="433C5D1E"/>
    <w:rsid w:val="48E457D4"/>
    <w:rsid w:val="4CCE5C39"/>
    <w:rsid w:val="4D124428"/>
    <w:rsid w:val="4DB75FD1"/>
    <w:rsid w:val="4E972113"/>
    <w:rsid w:val="4E9B7113"/>
    <w:rsid w:val="530D1306"/>
    <w:rsid w:val="53EE31D5"/>
    <w:rsid w:val="55CE14B2"/>
    <w:rsid w:val="55F96EC7"/>
    <w:rsid w:val="5777D4F5"/>
    <w:rsid w:val="58527FAB"/>
    <w:rsid w:val="595A6B72"/>
    <w:rsid w:val="5C4A6E10"/>
    <w:rsid w:val="5D0E408C"/>
    <w:rsid w:val="5F34284D"/>
    <w:rsid w:val="5FC6BB1E"/>
    <w:rsid w:val="5FF720F1"/>
    <w:rsid w:val="63203E24"/>
    <w:rsid w:val="65635B94"/>
    <w:rsid w:val="65BB5EAB"/>
    <w:rsid w:val="66581708"/>
    <w:rsid w:val="69B77E79"/>
    <w:rsid w:val="6F6535B7"/>
    <w:rsid w:val="737D59BA"/>
    <w:rsid w:val="73D5728D"/>
    <w:rsid w:val="77C37683"/>
    <w:rsid w:val="77F51105"/>
    <w:rsid w:val="78887AAE"/>
    <w:rsid w:val="79FF515B"/>
    <w:rsid w:val="7A4C31C1"/>
    <w:rsid w:val="7B4F4A3A"/>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4</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2023-09-19T09:07:50Z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