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赫山区审计局</w:t>
      </w:r>
      <w:r>
        <w:rPr>
          <w:rFonts w:hint="eastAsia" w:ascii="方正小标宋_GBK" w:hAnsi="方正小标宋_GBK" w:eastAsia="方正小标宋_GBK" w:cs="方正小标宋_GBK"/>
          <w:sz w:val="84"/>
          <w:szCs w:val="84"/>
        </w:rPr>
        <w:t>部门决算</w:t>
      </w:r>
    </w:p>
    <w:p>
      <w:pPr>
        <w:pStyle w:val="11"/>
        <w:jc w:val="center"/>
        <w:rPr>
          <w:rFonts w:hint="eastAsia" w:ascii="方正小标宋_GBK" w:hAnsi="方正小标宋_GBK" w:eastAsia="方正小标宋_GBK" w:cs="方正小标宋_GBK"/>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both"/>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赫山区审计局</w:t>
      </w:r>
      <w:r>
        <w:rPr>
          <w:rFonts w:hint="eastAsia" w:ascii="黑体" w:hAnsi="黑体" w:eastAsia="黑体" w:cs="黑体"/>
          <w:b w:val="0"/>
          <w:bCs/>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赫山区审计局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2"/>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（一）拟定全区审计工作政策、规章制度、专业领域审计工作规划并监督执行。对直接审计、调查和核查事项依法进行审计评价，做出审计决定或提出审计建议。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二）主管全区审计工作。负责对全区财政收支和法律法规规定属于审计监督范围的财务收支的真实、合法和效益进行审计监督，对公共资金、国有资产、国有资源和领导干部履行经济责任情况进行审计全覆盖，对领导干部实行自然资源资产离任审计，对中央、省、市、区有关重大政策措施贯彻落实情况进行跟踪审计。对审计、专项审计调查和核查社会审计机构相关审计报告的结果承担责任，并负有督促被审计单位整改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三）向区委审计委员会、区政府区长提出年度区级预算执行和其他财政支出情况审计报告。受区政府委托向区人大常委会提出区级预算执行和其他财政收支情况的审计工作报告、审计查出问题整改情况报告。向区委、区政府报告对其他事项的审计和专项审计调查情况及结果。依法向社会公布审计结果。向区直有关部门、乡镇、街道、园区党（工）委通报审计情况和审计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四）直接审计下列事项，出具审计报告，在法定职权范围内做出审计决定：中央、省、市、区有关重大政策措施贯彻落实情况；区级财政预算执行情况和其他财政收支，区直各部门（含直属单位）预算执行情况和其他财政收支；各乡镇（街道、园区）及区属园区预算执行情况、决算草案和其他财政收支，中央、省级、市级和区级财政转移支付资金；使用财政资金的事业单位和社会团体的财务收支。区政府投资和以区政府投资为主的建设项目的预算执行情况和决算，区级重大公共工程项目的资金管理使用和建设运营情况；自然资源管理、污染防治和生态保护与修复情况；区属国有企业和金融机构、区属资本占控股或主导地位的企业和金融机构的资产、负债和损益情况；我区驻外非经营性机构的财务收支；有关社会保障基金、社会捐赠资金以及其他有关基金、资金的财务收支；国际组织和外国政府援助、贷款项目；法律法规规定的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（五）按规定向区管党政主要领导干部及其他单位主要负责人实施经济责任审计和自然资源资产离任审计。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（六）组织实施对国家财经法律法规、规章、政策和宏观调控措施执行情况、财政预算管理及国有资产管理使用等与国家财政收支有关的特定事项进行专项审计调查。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（七）负责上级审计机关授权的审计项目和专项审计调查项目的组织实施。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（八）依法检查审计执行情况，督促整改审计查出的问题，依法办理被审计单位对审计决定提请行政复议、行政诉讼或区政府裁决中的有关事项，协助有关部门查出相关重大案件。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（九）指导和监督内部审计工作，核查社会审计机构对依法属于审计监督对象的单位出具的相关审计报告。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（十）指导和推广信息技术在全区审计系统的应用。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仿宋" w:hAnsi="仿宋" w:eastAsia="仿宋" w:cs="仿宋"/>
          <w:bCs/>
          <w:kern w:val="0"/>
          <w:sz w:val="30"/>
          <w:szCs w:val="30"/>
          <w:lang w:val="en-US" w:eastAsia="zh-CN"/>
        </w:rPr>
      </w:pPr>
      <w:r>
        <w:rPr>
          <w:rFonts w:hint="eastAsia" w:ascii="仿宋" w:hAnsi="仿宋" w:eastAsia="仿宋" w:cs="仿宋"/>
          <w:bCs/>
          <w:kern w:val="0"/>
          <w:sz w:val="30"/>
          <w:szCs w:val="30"/>
          <w:lang w:val="en-US" w:eastAsia="zh-CN"/>
        </w:rPr>
        <w:t>（十一）完成区委、区政府、区委审计委员会交办的其他任务。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00" w:firstLineChars="200"/>
        <w:jc w:val="left"/>
        <w:textAlignment w:val="auto"/>
        <w:rPr>
          <w:rFonts w:hint="eastAsia" w:ascii="Times New Roman" w:hAnsi="Times New Roman" w:eastAsia="仿宋_GB2312" w:cs="仿宋_GB2312"/>
          <w:sz w:val="32"/>
          <w:szCs w:val="32"/>
        </w:rPr>
      </w:pPr>
      <w:r>
        <w:rPr>
          <w:rFonts w:hint="eastAsia" w:ascii="仿宋" w:hAnsi="仿宋" w:eastAsia="仿宋" w:cs="仿宋"/>
          <w:bCs/>
          <w:kern w:val="0"/>
          <w:sz w:val="30"/>
          <w:szCs w:val="30"/>
          <w:lang w:val="en-US" w:eastAsia="zh-CN"/>
        </w:rPr>
        <w:t>（十二）职能转变，进一步完善审计管理体制。加强全区审计工作统筹，理顺内部职责关系，优化审计资源配置，充实加强一线审计力量，构建集中统一、全面覆盖、权威高效的审计监督体系。优化设计工作机制，坚持科技强审，完善业务流程，改进工作方式，加强与相关部门的沟通协调，充分调动内部审计和社会审计力量，增强监督合力。</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仿宋" w:hAnsi="仿宋" w:eastAsia="仿宋" w:cs="仿宋"/>
          <w:bCs/>
          <w:kern w:val="0"/>
          <w:sz w:val="30"/>
          <w:szCs w:val="30"/>
          <w:lang w:val="en-US" w:eastAsia="zh-CN"/>
        </w:rPr>
      </w:pPr>
      <w:r>
        <w:rPr>
          <w:rFonts w:hint="eastAsia" w:ascii="Times New Roman" w:hAnsi="Times New Roman" w:eastAsia="仿宋_GB2312" w:cs="仿宋_GB2312"/>
          <w:bCs/>
          <w:kern w:val="0"/>
          <w:sz w:val="32"/>
          <w:szCs w:val="32"/>
        </w:rPr>
        <w:t>（一）内设机构设置。</w:t>
      </w:r>
      <w:r>
        <w:rPr>
          <w:rFonts w:hint="eastAsia" w:ascii="仿宋" w:hAnsi="仿宋" w:eastAsia="仿宋" w:cs="仿宋"/>
          <w:bCs/>
          <w:kern w:val="0"/>
          <w:sz w:val="30"/>
          <w:szCs w:val="30"/>
          <w:lang w:val="en-US" w:eastAsia="zh-CN"/>
        </w:rPr>
        <w:t>益阳市赫山区审计局单位内设机构包括：区委审计委员会办公室秘书室、局办公室、法规审理股、财政金融审计股、经济责任审计股、农业与资源环境审计股、行政事业和社会保障审计股、审计执行股、计划统计股和重大项目和固定资产投资审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600" w:lineRule="exact"/>
        <w:ind w:left="0" w:right="0" w:firstLine="640" w:firstLineChars="200"/>
        <w:jc w:val="left"/>
        <w:textAlignment w:val="auto"/>
        <w:rPr>
          <w:rFonts w:hint="eastAsia" w:ascii="仿宋" w:hAnsi="仿宋" w:eastAsia="仿宋" w:cs="仿宋"/>
          <w:bCs/>
          <w:kern w:val="0"/>
          <w:sz w:val="30"/>
          <w:szCs w:val="30"/>
          <w:lang w:val="en-US" w:eastAsia="zh-CN"/>
        </w:rPr>
      </w:pPr>
      <w:r>
        <w:rPr>
          <w:rFonts w:hint="eastAsia" w:ascii="Times New Roman" w:hAnsi="Times New Roman" w:eastAsia="仿宋_GB2312" w:cs="仿宋_GB2312"/>
          <w:bCs/>
          <w:kern w:val="0"/>
          <w:sz w:val="32"/>
          <w:szCs w:val="32"/>
        </w:rPr>
        <w:t>（二）决算单位构成。</w:t>
      </w:r>
      <w:r>
        <w:rPr>
          <w:rFonts w:hint="eastAsia" w:ascii="仿宋" w:hAnsi="仿宋" w:eastAsia="仿宋" w:cs="仿宋"/>
          <w:bCs/>
          <w:kern w:val="0"/>
          <w:sz w:val="30"/>
          <w:szCs w:val="30"/>
          <w:lang w:val="en-US" w:eastAsia="zh-CN"/>
        </w:rPr>
        <w:t>益阳市赫山区审计局只有本级，没有其他二级决算单位，因此纳入2022年部门决算范围的只有赫山区审计局本级。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1"/>
        <w:jc w:val="center"/>
        <w:rPr>
          <w:rFonts w:hint="eastAsia" w:ascii="方正小标宋_GBK" w:hAnsi="方正小标宋_GBK" w:eastAsia="方正小标宋_GBK" w:cs="方正小标宋_GBK"/>
          <w:sz w:val="84"/>
          <w:szCs w:val="84"/>
        </w:rPr>
      </w:pPr>
    </w:p>
    <w:p>
      <w:pPr>
        <w:pStyle w:val="11"/>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both"/>
        <w:rPr>
          <w:rFonts w:hint="default" w:eastAsiaTheme="minorEastAsia"/>
          <w:sz w:val="72"/>
          <w:szCs w:val="72"/>
          <w:lang w:val="en-US" w:eastAsia="zh-CN"/>
        </w:rPr>
      </w:pPr>
      <w:r>
        <w:rPr>
          <w:rFonts w:hint="eastAsia"/>
          <w:sz w:val="72"/>
          <w:szCs w:val="72"/>
          <w:lang w:val="en-US" w:eastAsia="zh-CN"/>
        </w:rPr>
        <w:t xml:space="preserve">  </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1"/>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pStyle w:val="11"/>
      </w:pPr>
    </w:p>
    <w:p>
      <w:pPr>
        <w:pStyle w:val="11"/>
      </w:pPr>
      <w:r>
        <w:drawing>
          <wp:inline distT="0" distB="0" distL="114300" distR="114300">
            <wp:extent cx="6636385" cy="2957830"/>
            <wp:effectExtent l="0" t="0" r="12065" b="139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957830"/>
                    </a:xfrm>
                    <a:prstGeom prst="rect">
                      <a:avLst/>
                    </a:prstGeom>
                    <a:noFill/>
                    <a:ln>
                      <a:noFill/>
                    </a:ln>
                  </pic:spPr>
                </pic:pic>
              </a:graphicData>
            </a:graphic>
          </wp:inline>
        </w:drawing>
      </w:r>
    </w:p>
    <w:p>
      <w:pPr>
        <w:pStyle w:val="11"/>
      </w:pPr>
    </w:p>
    <w:p>
      <w:pPr>
        <w:pStyle w:val="11"/>
      </w:pPr>
    </w:p>
    <w:p>
      <w:pPr>
        <w:pStyle w:val="11"/>
      </w:pPr>
      <w:r>
        <w:drawing>
          <wp:inline distT="0" distB="0" distL="114300" distR="114300">
            <wp:extent cx="6644640" cy="3300095"/>
            <wp:effectExtent l="0" t="0" r="381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3300095"/>
                    </a:xfrm>
                    <a:prstGeom prst="rect">
                      <a:avLst/>
                    </a:prstGeom>
                    <a:noFill/>
                    <a:ln>
                      <a:noFill/>
                    </a:ln>
                  </pic:spPr>
                </pic:pic>
              </a:graphicData>
            </a:graphic>
          </wp:inline>
        </w:drawing>
      </w:r>
    </w:p>
    <w:p>
      <w:pPr>
        <w:pStyle w:val="11"/>
      </w:pPr>
    </w:p>
    <w:p>
      <w:pPr>
        <w:pStyle w:val="11"/>
      </w:pPr>
    </w:p>
    <w:p>
      <w:pPr>
        <w:pStyle w:val="11"/>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pStyle w:val="11"/>
      </w:pPr>
    </w:p>
    <w:p>
      <w:pPr>
        <w:pStyle w:val="11"/>
      </w:pPr>
      <w:r>
        <w:drawing>
          <wp:inline distT="0" distB="0" distL="114300" distR="114300">
            <wp:extent cx="6640830" cy="3912870"/>
            <wp:effectExtent l="0" t="0" r="7620" b="1143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912870"/>
                    </a:xfrm>
                    <a:prstGeom prst="rect">
                      <a:avLst/>
                    </a:prstGeom>
                    <a:noFill/>
                    <a:ln>
                      <a:noFill/>
                    </a:ln>
                  </pic:spPr>
                </pic:pic>
              </a:graphicData>
            </a:graphic>
          </wp:inline>
        </w:drawing>
      </w:r>
    </w:p>
    <w:p>
      <w:pPr>
        <w:pStyle w:val="11"/>
      </w:pPr>
    </w:p>
    <w:p>
      <w:pPr>
        <w:pStyle w:val="11"/>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pStyle w:val="11"/>
      </w:pPr>
    </w:p>
    <w:p>
      <w:pPr>
        <w:pStyle w:val="11"/>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pStyle w:val="11"/>
        <w:rPr>
          <w:rFonts w:hint="eastAsia"/>
          <w:lang w:eastAsia="zh-CN"/>
        </w:rPr>
      </w:pPr>
      <w:r>
        <w:rPr>
          <w:rFonts w:hint="eastAsia"/>
          <w:lang w:eastAsia="zh-CN"/>
        </w:rPr>
        <w:t>本年本单位无此业务发生，本表无数据。</w:t>
      </w:r>
    </w:p>
    <w:p>
      <w:pPr>
        <w:pStyle w:val="11"/>
        <w:rPr>
          <w:rFonts w:hint="eastAsia"/>
          <w:lang w:eastAsia="zh-CN"/>
        </w:rPr>
      </w:pPr>
    </w:p>
    <w:p>
      <w:pPr>
        <w:pStyle w:val="11"/>
      </w:pPr>
    </w:p>
    <w:p>
      <w:pPr>
        <w:pStyle w:val="11"/>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pStyle w:val="11"/>
        <w:rPr>
          <w:rFonts w:hint="eastAsia"/>
          <w:lang w:eastAsia="zh-CN"/>
        </w:rPr>
      </w:pPr>
      <w:r>
        <w:rPr>
          <w:rFonts w:hint="eastAsia"/>
          <w:lang w:eastAsia="zh-CN"/>
        </w:rPr>
        <w:t>本年本单位无此业务发生，本表无数据。</w:t>
      </w:r>
    </w:p>
    <w:p>
      <w:pPr>
        <w:pStyle w:val="11"/>
      </w:pPr>
      <w:bookmarkStart w:id="0" w:name="_GoBack"/>
      <w:bookmarkEnd w:id="0"/>
    </w:p>
    <w:p>
      <w:pPr>
        <w:pStyle w:val="11"/>
      </w:pPr>
    </w:p>
    <w:p>
      <w:pPr>
        <w:pStyle w:val="11"/>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pStyle w:val="11"/>
        <w:rPr>
          <w:sz w:val="72"/>
          <w:szCs w:val="72"/>
        </w:rPr>
      </w:pPr>
    </w:p>
    <w:p>
      <w:pPr>
        <w:pStyle w:val="11"/>
        <w:rPr>
          <w:sz w:val="72"/>
          <w:szCs w:val="72"/>
        </w:rPr>
      </w:pPr>
    </w:p>
    <w:p>
      <w:pPr>
        <w:pStyle w:val="11"/>
        <w:jc w:val="center"/>
        <w:rPr>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1"/>
        <w:jc w:val="center"/>
        <w:rPr>
          <w:rFonts w:hint="eastAsia" w:ascii="方正小标宋_GBK" w:hAnsi="方正小标宋_GBK" w:eastAsia="方正小标宋_GBK" w:cs="方正小标宋_GBK"/>
          <w:sz w:val="70"/>
          <w:szCs w:val="70"/>
        </w:rPr>
      </w:pPr>
    </w:p>
    <w:p>
      <w:pPr>
        <w:pStyle w:val="11"/>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875.59</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145.67</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19.96</w:t>
      </w:r>
      <w:r>
        <w:rPr>
          <w:rFonts w:hint="eastAsia" w:ascii="Times New Roman" w:hAnsi="Times New Roman" w:eastAsia="仿宋_GB2312"/>
          <w:sz w:val="32"/>
          <w:szCs w:val="32"/>
        </w:rPr>
        <w:t>%，主要是因</w:t>
      </w:r>
      <w:r>
        <w:rPr>
          <w:rFonts w:hint="eastAsia" w:ascii="Times New Roman" w:hAnsi="Times New Roman" w:eastAsia="仿宋_GB2312"/>
          <w:sz w:val="32"/>
          <w:szCs w:val="32"/>
          <w:lang w:val="en-US" w:eastAsia="zh-CN"/>
        </w:rPr>
        <w:t>为审计外包服务费的跨年度支付。</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875.59</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872.63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99.66</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2.96</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0.34</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875.59</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771.04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88.06</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104.55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11.94</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872.63</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248.59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39.84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审计外包服务费的跨年度支付。</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872.63</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99.66</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248.59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39.84</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审计外包服务费的跨年度支付。</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872.63</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815.68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93.47</w:t>
      </w:r>
      <w:r>
        <w:rPr>
          <w:rFonts w:hint="eastAsia" w:ascii="Times New Roman" w:hAnsi="Times New Roman" w:eastAsia="仿宋_GB2312"/>
          <w:sz w:val="32"/>
          <w:szCs w:val="32"/>
        </w:rPr>
        <w:t>%；社会保障和就业支出29.09万元，占</w:t>
      </w:r>
      <w:r>
        <w:rPr>
          <w:rFonts w:hint="eastAsia" w:ascii="Times New Roman" w:hAnsi="Times New Roman" w:eastAsia="仿宋_GB2312"/>
          <w:sz w:val="32"/>
          <w:szCs w:val="32"/>
          <w:lang w:val="en-US" w:eastAsia="zh-CN"/>
        </w:rPr>
        <w:t>3.34</w:t>
      </w:r>
      <w:r>
        <w:rPr>
          <w:rFonts w:hint="eastAsia" w:ascii="Times New Roman" w:hAnsi="Times New Roman" w:eastAsia="仿宋_GB2312"/>
          <w:sz w:val="32"/>
          <w:szCs w:val="32"/>
        </w:rPr>
        <w:t>%;卫生健康支出27.69</w:t>
      </w:r>
      <w:r>
        <w:rPr>
          <w:rFonts w:hint="eastAsia" w:ascii="Times New Roman" w:hAnsi="Times New Roman" w:eastAsia="仿宋_GB2312"/>
          <w:sz w:val="32"/>
          <w:szCs w:val="32"/>
          <w:lang w:val="en-US" w:eastAsia="zh-CN"/>
        </w:rPr>
        <w:t>万元，占3.17%；住房保障支出0.17万元，占0.02%。</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645.66</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872.63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135.15</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val="en-US" w:eastAsia="zh-CN"/>
        </w:rPr>
        <w:t>审计事务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276.54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587.63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212.49</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使用了上年度结余结转资金。</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w:t>
      </w:r>
      <w:r>
        <w:rPr>
          <w:rFonts w:hint="eastAsia" w:ascii="Times New Roman" w:hAnsi="Times New Roman" w:eastAsia="仿宋_GB2312"/>
          <w:sz w:val="32"/>
          <w:szCs w:val="32"/>
          <w:lang w:val="en-US" w:eastAsia="zh-CN"/>
        </w:rPr>
        <w:t>审计事务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审计业务</w:t>
      </w:r>
      <w:r>
        <w:rPr>
          <w:rFonts w:hint="eastAsia" w:ascii="Times New Roman" w:hAnsi="Times New Roman" w:eastAsia="仿宋_GB2312"/>
          <w:sz w:val="32"/>
          <w:szCs w:val="32"/>
        </w:rPr>
        <w:t>（项）。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315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186.61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59.24</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val="en-US" w:eastAsia="zh-CN"/>
        </w:rPr>
        <w:t>审计项目跨年度，故审计外包费未能在当年支出。</w:t>
      </w:r>
    </w:p>
    <w:p>
      <w:pPr>
        <w:pStyle w:val="11"/>
        <w:keepNext w:val="0"/>
        <w:keepLines w:val="0"/>
        <w:pageBreakBefore w:val="0"/>
        <w:widowControl w:val="0"/>
        <w:numPr>
          <w:ilvl w:val="0"/>
          <w:numId w:val="2"/>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一般公共服务（类）审计事务（款）其他审计事务支出（项）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41.44</w:t>
      </w:r>
      <w:r>
        <w:rPr>
          <w:rFonts w:hint="eastAsia" w:ascii="Times New Roman" w:hAnsi="Times New Roman" w:eastAsia="仿宋_GB2312"/>
          <w:sz w:val="32"/>
          <w:szCs w:val="32"/>
        </w:rPr>
        <w:t>万元，决算数小于年初预算数的主要原因是：</w:t>
      </w:r>
      <w:r>
        <w:rPr>
          <w:rFonts w:hint="eastAsia" w:ascii="Times New Roman" w:hAnsi="Times New Roman" w:eastAsia="仿宋_GB2312"/>
          <w:sz w:val="32"/>
          <w:szCs w:val="32"/>
          <w:lang w:val="en-US" w:eastAsia="zh-CN"/>
        </w:rPr>
        <w:t>使用了上年度结余结转资金。</w:t>
      </w:r>
    </w:p>
    <w:p>
      <w:pPr>
        <w:pStyle w:val="11"/>
        <w:keepNext w:val="0"/>
        <w:keepLines w:val="0"/>
        <w:pageBreakBefore w:val="0"/>
        <w:widowControl w:val="0"/>
        <w:numPr>
          <w:ilvl w:val="0"/>
          <w:numId w:val="2"/>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社会保障和就业支出（类）行政事业单位养老支出（款）机关事业单位基本养老保险缴费支出（项）</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28.42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29.09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102.35</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人员调入调出。</w:t>
      </w:r>
    </w:p>
    <w:p>
      <w:pPr>
        <w:pStyle w:val="11"/>
        <w:keepNext w:val="0"/>
        <w:keepLines w:val="0"/>
        <w:pageBreakBefore w:val="0"/>
        <w:widowControl w:val="0"/>
        <w:numPr>
          <w:ilvl w:val="0"/>
          <w:numId w:val="2"/>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卫生和健康支出（类）行政事业单位医疗（款）行政单位医疗（项）</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25.7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27.69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107.74</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人员调入调出。</w:t>
      </w:r>
    </w:p>
    <w:p>
      <w:pPr>
        <w:pStyle w:val="11"/>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6、住房保障支出（类）住房改革支出（款）住房公积金（项）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人员调入调出。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768.08</w:t>
      </w:r>
      <w:r>
        <w:rPr>
          <w:rFonts w:hint="eastAsia" w:ascii="Times New Roman" w:hAnsi="Times New Roman" w:eastAsia="仿宋_GB2312"/>
          <w:sz w:val="32"/>
          <w:szCs w:val="32"/>
        </w:rPr>
        <w:t>万元，其中：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525.34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68.27</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绩效工资、机关事业单位基本养老保险缴费、职业年金缴费、职工基本医疗保险缴费、公务员医疗补助缴费、其他社会保障缴费、住房公积金、医疗费、对个人和家庭补助</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242.74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31.73</w:t>
      </w:r>
      <w:r>
        <w:rPr>
          <w:rFonts w:hint="eastAsia" w:ascii="Times New Roman" w:hAnsi="Times New Roman" w:eastAsia="仿宋_GB2312"/>
          <w:sz w:val="32"/>
          <w:szCs w:val="32"/>
        </w:rPr>
        <w:t>%，主要包括办公费、印刷费、咨询费、手续费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电费、差旅费、维修费、会议费、培训费、公务接待费、专用材料费</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0.13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0.13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0.13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公务接待费支出决算为</w:t>
      </w:r>
      <w:r>
        <w:rPr>
          <w:rFonts w:hint="eastAsia" w:ascii="Times New Roman" w:hAnsi="Times New Roman" w:eastAsia="仿宋_GB2312"/>
          <w:sz w:val="32"/>
          <w:szCs w:val="32"/>
          <w:lang w:val="en-US" w:eastAsia="zh-CN"/>
        </w:rPr>
        <w:t>0.13</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7</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val="en-US" w:eastAsia="zh-CN"/>
        </w:rPr>
        <w:t>外县到我局联系审计工作</w:t>
      </w:r>
      <w:r>
        <w:rPr>
          <w:rFonts w:hint="eastAsia" w:ascii="Times New Roman" w:hAnsi="Times New Roman" w:eastAsia="仿宋_GB2312"/>
          <w:sz w:val="32"/>
          <w:szCs w:val="32"/>
        </w:rPr>
        <w:t>发生的接待支出。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2022年本部门无政府性基金预算收支。</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242.74</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9.22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3.95</w:t>
      </w:r>
      <w:r>
        <w:rPr>
          <w:rFonts w:hint="eastAsia" w:ascii="Times New Roman" w:hAnsi="Times New Roman" w:eastAsia="仿宋_GB2312"/>
          <w:sz w:val="32"/>
          <w:szCs w:val="32"/>
        </w:rPr>
        <w:t>%。主要原因是：。</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9.69</w:t>
      </w:r>
      <w:r>
        <w:rPr>
          <w:rFonts w:hint="eastAsia" w:ascii="Times New Roman" w:hAnsi="Times New Roman" w:eastAsia="仿宋_GB2312"/>
          <w:sz w:val="32"/>
          <w:szCs w:val="32"/>
        </w:rPr>
        <w:t>万元，用于</w:t>
      </w:r>
      <w:r>
        <w:rPr>
          <w:rFonts w:hint="eastAsia" w:ascii="Times New Roman" w:hAnsi="Times New Roman" w:eastAsia="仿宋_GB2312"/>
          <w:sz w:val="32"/>
          <w:szCs w:val="32"/>
          <w:lang w:val="en-US" w:eastAsia="zh-CN"/>
        </w:rPr>
        <w:t>审计整改工作</w:t>
      </w:r>
      <w:r>
        <w:rPr>
          <w:rFonts w:hint="eastAsia" w:ascii="Times New Roman" w:hAnsi="Times New Roman" w:eastAsia="仿宋_GB2312"/>
          <w:sz w:val="32"/>
          <w:szCs w:val="32"/>
        </w:rPr>
        <w:t>会议</w:t>
      </w:r>
      <w:r>
        <w:rPr>
          <w:rFonts w:hint="eastAsia" w:ascii="Times New Roman" w:hAnsi="Times New Roman" w:eastAsia="仿宋_GB2312"/>
          <w:sz w:val="32"/>
          <w:szCs w:val="32"/>
          <w:lang w:val="en-US" w:eastAsia="zh-CN"/>
        </w:rPr>
        <w:t>发生的费用，全年召开多次，每次人数不等。</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194097.48</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80076.58</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9860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104160.9</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194097.48</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194097.48</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41.25</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5.08</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53.67</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3"/>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auto" w:fill="FFFFFF"/>
        </w:rPr>
        <w:t>1.预决算公开。202</w:t>
      </w:r>
      <w:r>
        <w:rPr>
          <w:rFonts w:hint="eastAsia" w:ascii="仿宋" w:hAnsi="仿宋" w:eastAsia="仿宋" w:cs="仿宋"/>
          <w:i w:val="0"/>
          <w:iCs w:val="0"/>
          <w:caps w:val="0"/>
          <w:color w:val="333333"/>
          <w:spacing w:val="0"/>
          <w:sz w:val="32"/>
          <w:szCs w:val="32"/>
          <w:shd w:val="clear" w:color="auto" w:fill="FFFFFF"/>
          <w:lang w:val="en-US" w:eastAsia="zh-CN"/>
        </w:rPr>
        <w:t>2</w:t>
      </w:r>
      <w:r>
        <w:rPr>
          <w:rFonts w:hint="eastAsia" w:ascii="仿宋" w:hAnsi="仿宋" w:eastAsia="仿宋" w:cs="仿宋"/>
          <w:i w:val="0"/>
          <w:iCs w:val="0"/>
          <w:caps w:val="0"/>
          <w:color w:val="333333"/>
          <w:spacing w:val="0"/>
          <w:sz w:val="32"/>
          <w:szCs w:val="32"/>
          <w:shd w:val="clear" w:color="auto" w:fill="FFFFFF"/>
        </w:rPr>
        <w:t>年我局按照财政部门的要求，在规定时间按规定内容在赫山区门户网站进行预决算公开，并确保基础数据信息和会计信息资料真实、准确。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3"/>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auto" w:fill="FFFFFF"/>
        </w:rPr>
        <w:t>2.资产管理：我们进一步加强资产的管理，完成202</w:t>
      </w:r>
      <w:r>
        <w:rPr>
          <w:rFonts w:hint="eastAsia" w:ascii="仿宋" w:hAnsi="仿宋" w:eastAsia="仿宋" w:cs="仿宋"/>
          <w:i w:val="0"/>
          <w:iCs w:val="0"/>
          <w:caps w:val="0"/>
          <w:color w:val="333333"/>
          <w:spacing w:val="0"/>
          <w:sz w:val="32"/>
          <w:szCs w:val="32"/>
          <w:shd w:val="clear" w:color="auto" w:fill="FFFFFF"/>
          <w:lang w:val="en-US" w:eastAsia="zh-CN"/>
        </w:rPr>
        <w:t>2</w:t>
      </w:r>
      <w:r>
        <w:rPr>
          <w:rFonts w:hint="eastAsia" w:ascii="仿宋" w:hAnsi="仿宋" w:eastAsia="仿宋" w:cs="仿宋"/>
          <w:i w:val="0"/>
          <w:iCs w:val="0"/>
          <w:caps w:val="0"/>
          <w:color w:val="333333"/>
          <w:spacing w:val="0"/>
          <w:sz w:val="32"/>
          <w:szCs w:val="32"/>
          <w:shd w:val="clear" w:color="auto" w:fill="FFFFFF"/>
        </w:rPr>
        <w:t>年国有资产年报，明确了具体责任人，严格报批、销审等手续，单位无任何资产流失现象。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3"/>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auto" w:fill="FFFFFF"/>
        </w:rPr>
        <w:t>3.“三公经费”控制情况。贯彻落实上级有关精神，严格控制“三公经费”支出，取得了良好效果。202</w:t>
      </w:r>
      <w:r>
        <w:rPr>
          <w:rFonts w:hint="eastAsia" w:ascii="仿宋" w:hAnsi="仿宋" w:eastAsia="仿宋" w:cs="仿宋"/>
          <w:i w:val="0"/>
          <w:iCs w:val="0"/>
          <w:caps w:val="0"/>
          <w:color w:val="333333"/>
          <w:spacing w:val="0"/>
          <w:sz w:val="32"/>
          <w:szCs w:val="32"/>
          <w:shd w:val="clear" w:color="auto" w:fill="FFFFFF"/>
          <w:lang w:val="en-US" w:eastAsia="zh-CN"/>
        </w:rPr>
        <w:t>2</w:t>
      </w:r>
      <w:r>
        <w:rPr>
          <w:rFonts w:hint="eastAsia" w:ascii="仿宋" w:hAnsi="仿宋" w:eastAsia="仿宋" w:cs="仿宋"/>
          <w:i w:val="0"/>
          <w:iCs w:val="0"/>
          <w:caps w:val="0"/>
          <w:color w:val="333333"/>
          <w:spacing w:val="0"/>
          <w:sz w:val="32"/>
          <w:szCs w:val="32"/>
          <w:shd w:val="clear" w:color="auto" w:fill="FFFFFF"/>
        </w:rPr>
        <w:t>年度在接待工作中节约开支从严把关。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atLeast"/>
        <w:ind w:left="0" w:right="0" w:firstLine="643"/>
        <w:jc w:val="both"/>
        <w:textAlignment w:val="auto"/>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sz w:val="32"/>
          <w:szCs w:val="32"/>
          <w:shd w:val="clear" w:color="auto" w:fill="FFFFFF"/>
        </w:rPr>
        <w:t>4.内部管理制度建设。完善了《益阳市赫山区审计局机关财务管理制度》，包含总章、经费审批权限、经费报账程序、预算管理与收入管理、支出管理、资产管理、票据印章管理、岗位职责分工、机关食堂采购、责任追究、附则等共十二章五十条，相关内部管理制度合法合规完整，并在实际工作中的到有效执行。</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eastAsia" w:ascii="等线" w:hAnsi="等线" w:eastAsia="等线" w:cs="等线"/>
          <w:i w:val="0"/>
          <w:iCs w:val="0"/>
          <w:caps w:val="0"/>
          <w:color w:val="333333"/>
          <w:spacing w:val="0"/>
          <w:sz w:val="21"/>
          <w:szCs w:val="21"/>
        </w:rPr>
      </w:pPr>
      <w:r>
        <w:rPr>
          <w:rFonts w:hint="eastAsia" w:ascii="仿宋" w:hAnsi="仿宋" w:eastAsia="仿宋" w:cs="仿宋"/>
          <w:i w:val="0"/>
          <w:iCs w:val="0"/>
          <w:caps w:val="0"/>
          <w:color w:val="333333"/>
          <w:spacing w:val="0"/>
          <w:sz w:val="32"/>
          <w:szCs w:val="32"/>
          <w:shd w:val="clear" w:color="auto" w:fill="FFFFFF"/>
        </w:rPr>
        <w:t>5.社会效益。</w:t>
      </w:r>
      <w:r>
        <w:rPr>
          <w:rFonts w:hint="eastAsia" w:ascii="仿宋" w:hAnsi="仿宋" w:eastAsia="仿宋" w:cs="仿宋"/>
          <w:i w:val="0"/>
          <w:iCs w:val="0"/>
          <w:caps w:val="0"/>
          <w:color w:val="333333"/>
          <w:spacing w:val="0"/>
          <w:kern w:val="0"/>
          <w:sz w:val="32"/>
          <w:szCs w:val="32"/>
          <w:shd w:val="clear" w:color="auto" w:fill="FFFFFF"/>
          <w:lang w:val="en-US" w:eastAsia="zh-CN" w:bidi="ar"/>
        </w:rPr>
        <w:t>2022年，在市审计局和区委、区政府的正确领导下，我局领导班子成员率领全局干部职工，以习近平新时代中国特色社会主义思想为指导，深入学习贯彻党的十九届六中全会、党的二十大、习近平总书记在湖南考察的重要讲话和对审计工作的重要指示批示精神，采用“集体领导、分管负责、股室为主、各负其责”的机关运行机制，坚持“依法审计、服务大局、围绕中心、突出重点、求实务实”的审计工作方针，贯彻</w:t>
      </w:r>
      <w:r>
        <w:rPr>
          <w:rFonts w:hint="default" w:ascii="仿宋" w:hAnsi="仿宋" w:eastAsia="仿宋" w:cs="仿宋"/>
          <w:i w:val="0"/>
          <w:iCs w:val="0"/>
          <w:caps w:val="0"/>
          <w:color w:val="333333"/>
          <w:spacing w:val="0"/>
          <w:kern w:val="0"/>
          <w:sz w:val="32"/>
          <w:szCs w:val="32"/>
          <w:shd w:val="clear" w:color="auto" w:fill="FFFFFF"/>
          <w:lang w:val="en-US" w:eastAsia="zh-CN" w:bidi="ar"/>
        </w:rPr>
        <w:t>落实中央、省</w:t>
      </w:r>
      <w:r>
        <w:rPr>
          <w:rFonts w:hint="eastAsia" w:ascii="仿宋" w:hAnsi="仿宋" w:eastAsia="仿宋" w:cs="仿宋"/>
          <w:i w:val="0"/>
          <w:iCs w:val="0"/>
          <w:caps w:val="0"/>
          <w:color w:val="333333"/>
          <w:spacing w:val="0"/>
          <w:kern w:val="0"/>
          <w:sz w:val="32"/>
          <w:szCs w:val="32"/>
          <w:shd w:val="clear" w:color="auto" w:fill="FFFFFF"/>
          <w:lang w:val="en-US" w:eastAsia="zh-CN" w:bidi="ar"/>
        </w:rPr>
        <w:t>委</w:t>
      </w:r>
      <w:r>
        <w:rPr>
          <w:rFonts w:hint="default" w:ascii="仿宋" w:hAnsi="仿宋" w:eastAsia="仿宋" w:cs="仿宋"/>
          <w:i w:val="0"/>
          <w:iCs w:val="0"/>
          <w:caps w:val="0"/>
          <w:color w:val="333333"/>
          <w:spacing w:val="0"/>
          <w:kern w:val="0"/>
          <w:sz w:val="32"/>
          <w:szCs w:val="32"/>
          <w:shd w:val="clear" w:color="auto" w:fill="FFFFFF"/>
          <w:lang w:val="en-US" w:eastAsia="zh-CN" w:bidi="ar"/>
        </w:rPr>
        <w:t>、市</w:t>
      </w:r>
      <w:r>
        <w:rPr>
          <w:rFonts w:hint="eastAsia" w:ascii="仿宋" w:hAnsi="仿宋" w:eastAsia="仿宋" w:cs="仿宋"/>
          <w:i w:val="0"/>
          <w:iCs w:val="0"/>
          <w:caps w:val="0"/>
          <w:color w:val="333333"/>
          <w:spacing w:val="0"/>
          <w:kern w:val="0"/>
          <w:sz w:val="32"/>
          <w:szCs w:val="32"/>
          <w:shd w:val="clear" w:color="auto" w:fill="FFFFFF"/>
          <w:lang w:val="en-US" w:eastAsia="zh-CN" w:bidi="ar"/>
        </w:rPr>
        <w:t>委和区委</w:t>
      </w:r>
      <w:r>
        <w:rPr>
          <w:rFonts w:hint="default" w:ascii="仿宋" w:hAnsi="仿宋" w:eastAsia="仿宋" w:cs="仿宋"/>
          <w:i w:val="0"/>
          <w:iCs w:val="0"/>
          <w:caps w:val="0"/>
          <w:color w:val="333333"/>
          <w:spacing w:val="0"/>
          <w:kern w:val="0"/>
          <w:sz w:val="32"/>
          <w:szCs w:val="32"/>
          <w:shd w:val="clear" w:color="auto" w:fill="FFFFFF"/>
          <w:lang w:val="en-US" w:eastAsia="zh-CN" w:bidi="ar"/>
        </w:rPr>
        <w:t>审计委员</w:t>
      </w:r>
      <w:r>
        <w:rPr>
          <w:rFonts w:hint="eastAsia" w:ascii="仿宋" w:hAnsi="仿宋" w:eastAsia="仿宋" w:cs="仿宋"/>
          <w:i w:val="0"/>
          <w:iCs w:val="0"/>
          <w:caps w:val="0"/>
          <w:color w:val="333333"/>
          <w:spacing w:val="0"/>
          <w:kern w:val="0"/>
          <w:sz w:val="32"/>
          <w:szCs w:val="32"/>
          <w:shd w:val="clear" w:color="auto" w:fill="FFFFFF"/>
          <w:lang w:val="en-US" w:eastAsia="zh-CN" w:bidi="ar"/>
        </w:rPr>
        <w:t>会、市审计局和</w:t>
      </w:r>
      <w:r>
        <w:rPr>
          <w:rFonts w:hint="default" w:ascii="仿宋" w:hAnsi="仿宋" w:eastAsia="仿宋" w:cs="仿宋"/>
          <w:i w:val="0"/>
          <w:iCs w:val="0"/>
          <w:caps w:val="0"/>
          <w:color w:val="333333"/>
          <w:spacing w:val="0"/>
          <w:kern w:val="0"/>
          <w:sz w:val="32"/>
          <w:szCs w:val="32"/>
          <w:shd w:val="clear" w:color="auto" w:fill="FFFFFF"/>
          <w:lang w:val="en-US" w:eastAsia="zh-CN" w:bidi="ar"/>
        </w:rPr>
        <w:t>区委、区政府重大决策部署，认真履行审计监督职责</w:t>
      </w:r>
      <w:r>
        <w:rPr>
          <w:rFonts w:hint="eastAsia" w:ascii="仿宋" w:hAnsi="仿宋" w:eastAsia="仿宋" w:cs="仿宋"/>
          <w:i w:val="0"/>
          <w:iCs w:val="0"/>
          <w:caps w:val="0"/>
          <w:color w:val="333333"/>
          <w:spacing w:val="0"/>
          <w:kern w:val="0"/>
          <w:sz w:val="32"/>
          <w:szCs w:val="32"/>
          <w:shd w:val="clear" w:color="auto" w:fill="FFFFFF"/>
          <w:lang w:val="en-US" w:eastAsia="zh-CN" w:bidi="ar"/>
        </w:rPr>
        <w:t>。今年，我局</w:t>
      </w:r>
      <w:r>
        <w:rPr>
          <w:rFonts w:hint="default" w:ascii="仿宋" w:hAnsi="仿宋" w:eastAsia="仿宋" w:cs="仿宋"/>
          <w:i w:val="0"/>
          <w:iCs w:val="0"/>
          <w:caps w:val="0"/>
          <w:color w:val="333333"/>
          <w:spacing w:val="0"/>
          <w:kern w:val="0"/>
          <w:sz w:val="32"/>
          <w:szCs w:val="32"/>
          <w:shd w:val="clear" w:color="auto" w:fill="FFFFFF"/>
          <w:lang w:val="en-US" w:eastAsia="zh-CN" w:bidi="ar"/>
        </w:rPr>
        <w:t>派出审计组参与市审计局组织的为期1个月的审计</w:t>
      </w:r>
      <w:r>
        <w:rPr>
          <w:rFonts w:hint="eastAsia" w:ascii="仿宋" w:hAnsi="仿宋" w:eastAsia="仿宋" w:cs="仿宋"/>
          <w:i w:val="0"/>
          <w:iCs w:val="0"/>
          <w:caps w:val="0"/>
          <w:color w:val="333333"/>
          <w:spacing w:val="0"/>
          <w:kern w:val="0"/>
          <w:sz w:val="32"/>
          <w:szCs w:val="32"/>
          <w:shd w:val="clear" w:color="auto" w:fill="FFFFFF"/>
          <w:lang w:val="en-US" w:eastAsia="zh-CN" w:bidi="ar"/>
        </w:rPr>
        <w:t>交叉</w:t>
      </w:r>
      <w:r>
        <w:rPr>
          <w:rFonts w:hint="default" w:ascii="仿宋" w:hAnsi="仿宋" w:eastAsia="仿宋" w:cs="仿宋"/>
          <w:i w:val="0"/>
          <w:iCs w:val="0"/>
          <w:caps w:val="0"/>
          <w:color w:val="333333"/>
          <w:spacing w:val="0"/>
          <w:kern w:val="0"/>
          <w:sz w:val="32"/>
          <w:szCs w:val="32"/>
          <w:shd w:val="clear" w:color="auto" w:fill="FFFFFF"/>
          <w:lang w:val="en-US" w:eastAsia="zh-CN" w:bidi="ar"/>
        </w:rPr>
        <w:t>项目，抽调</w:t>
      </w:r>
      <w:r>
        <w:rPr>
          <w:rFonts w:hint="eastAsia" w:ascii="仿宋" w:hAnsi="仿宋" w:eastAsia="仿宋" w:cs="仿宋"/>
          <w:i w:val="0"/>
          <w:iCs w:val="0"/>
          <w:caps w:val="0"/>
          <w:color w:val="333333"/>
          <w:spacing w:val="0"/>
          <w:kern w:val="0"/>
          <w:sz w:val="32"/>
          <w:szCs w:val="32"/>
          <w:shd w:val="clear" w:color="auto" w:fill="FFFFFF"/>
          <w:lang w:val="en-US" w:eastAsia="zh-CN" w:bidi="ar"/>
        </w:rPr>
        <w:t>3</w:t>
      </w:r>
      <w:r>
        <w:rPr>
          <w:rFonts w:hint="default" w:ascii="仿宋" w:hAnsi="仿宋" w:eastAsia="仿宋" w:cs="仿宋"/>
          <w:i w:val="0"/>
          <w:iCs w:val="0"/>
          <w:caps w:val="0"/>
          <w:color w:val="333333"/>
          <w:spacing w:val="0"/>
          <w:kern w:val="0"/>
          <w:sz w:val="32"/>
          <w:szCs w:val="32"/>
          <w:shd w:val="clear" w:color="auto" w:fill="FFFFFF"/>
          <w:lang w:val="en-US" w:eastAsia="zh-CN" w:bidi="ar"/>
        </w:rPr>
        <w:t>人参与</w:t>
      </w:r>
      <w:r>
        <w:rPr>
          <w:rFonts w:hint="eastAsia" w:ascii="仿宋" w:hAnsi="仿宋" w:eastAsia="仿宋" w:cs="仿宋"/>
          <w:i w:val="0"/>
          <w:iCs w:val="0"/>
          <w:caps w:val="0"/>
          <w:color w:val="333333"/>
          <w:spacing w:val="0"/>
          <w:kern w:val="0"/>
          <w:sz w:val="32"/>
          <w:szCs w:val="32"/>
          <w:shd w:val="clear" w:color="auto" w:fill="FFFFFF"/>
          <w:lang w:val="en-US" w:eastAsia="zh-CN" w:bidi="ar"/>
        </w:rPr>
        <w:t>6</w:t>
      </w:r>
      <w:r>
        <w:rPr>
          <w:rFonts w:hint="default" w:ascii="仿宋" w:hAnsi="仿宋" w:eastAsia="仿宋" w:cs="仿宋"/>
          <w:i w:val="0"/>
          <w:iCs w:val="0"/>
          <w:caps w:val="0"/>
          <w:color w:val="333333"/>
          <w:spacing w:val="0"/>
          <w:kern w:val="0"/>
          <w:sz w:val="32"/>
          <w:szCs w:val="32"/>
          <w:shd w:val="clear" w:color="auto" w:fill="FFFFFF"/>
          <w:lang w:val="en-US" w:eastAsia="zh-CN" w:bidi="ar"/>
        </w:rPr>
        <w:t>轮省</w:t>
      </w:r>
      <w:r>
        <w:rPr>
          <w:rFonts w:hint="eastAsia" w:ascii="仿宋" w:hAnsi="仿宋" w:eastAsia="仿宋" w:cs="仿宋"/>
          <w:i w:val="0"/>
          <w:iCs w:val="0"/>
          <w:caps w:val="0"/>
          <w:color w:val="333333"/>
          <w:spacing w:val="0"/>
          <w:kern w:val="0"/>
          <w:sz w:val="32"/>
          <w:szCs w:val="32"/>
          <w:shd w:val="clear" w:color="auto" w:fill="FFFFFF"/>
          <w:lang w:val="en-US" w:eastAsia="zh-CN" w:bidi="ar"/>
        </w:rPr>
        <w:t>委、</w:t>
      </w:r>
      <w:r>
        <w:rPr>
          <w:rFonts w:hint="default" w:ascii="仿宋" w:hAnsi="仿宋" w:eastAsia="仿宋" w:cs="仿宋"/>
          <w:i w:val="0"/>
          <w:iCs w:val="0"/>
          <w:caps w:val="0"/>
          <w:color w:val="333333"/>
          <w:spacing w:val="0"/>
          <w:kern w:val="0"/>
          <w:sz w:val="32"/>
          <w:szCs w:val="32"/>
          <w:shd w:val="clear" w:color="auto" w:fill="FFFFFF"/>
          <w:lang w:val="en-US" w:eastAsia="zh-CN" w:bidi="ar"/>
        </w:rPr>
        <w:t>市</w:t>
      </w:r>
      <w:r>
        <w:rPr>
          <w:rFonts w:hint="eastAsia" w:ascii="仿宋" w:hAnsi="仿宋" w:eastAsia="仿宋" w:cs="仿宋"/>
          <w:i w:val="0"/>
          <w:iCs w:val="0"/>
          <w:caps w:val="0"/>
          <w:color w:val="333333"/>
          <w:spacing w:val="0"/>
          <w:kern w:val="0"/>
          <w:sz w:val="32"/>
          <w:szCs w:val="32"/>
          <w:shd w:val="clear" w:color="auto" w:fill="FFFFFF"/>
          <w:lang w:val="en-US" w:eastAsia="zh-CN" w:bidi="ar"/>
        </w:rPr>
        <w:t>委和</w:t>
      </w:r>
      <w:r>
        <w:rPr>
          <w:rFonts w:hint="default" w:ascii="仿宋" w:hAnsi="仿宋" w:eastAsia="仿宋" w:cs="仿宋"/>
          <w:i w:val="0"/>
          <w:iCs w:val="0"/>
          <w:caps w:val="0"/>
          <w:color w:val="333333"/>
          <w:spacing w:val="0"/>
          <w:kern w:val="0"/>
          <w:sz w:val="32"/>
          <w:szCs w:val="32"/>
          <w:shd w:val="clear" w:color="auto" w:fill="FFFFFF"/>
          <w:lang w:val="en-US" w:eastAsia="zh-CN" w:bidi="ar"/>
        </w:rPr>
        <w:t>区</w:t>
      </w:r>
      <w:r>
        <w:rPr>
          <w:rFonts w:hint="eastAsia" w:ascii="仿宋" w:hAnsi="仿宋" w:eastAsia="仿宋" w:cs="仿宋"/>
          <w:i w:val="0"/>
          <w:iCs w:val="0"/>
          <w:caps w:val="0"/>
          <w:color w:val="333333"/>
          <w:spacing w:val="0"/>
          <w:kern w:val="0"/>
          <w:sz w:val="32"/>
          <w:szCs w:val="32"/>
          <w:shd w:val="clear" w:color="auto" w:fill="FFFFFF"/>
          <w:lang w:val="en-US" w:eastAsia="zh-CN" w:bidi="ar"/>
        </w:rPr>
        <w:t>委</w:t>
      </w:r>
      <w:r>
        <w:rPr>
          <w:rFonts w:hint="default" w:ascii="仿宋" w:hAnsi="仿宋" w:eastAsia="仿宋" w:cs="仿宋"/>
          <w:i w:val="0"/>
          <w:iCs w:val="0"/>
          <w:caps w:val="0"/>
          <w:color w:val="333333"/>
          <w:spacing w:val="0"/>
          <w:kern w:val="0"/>
          <w:sz w:val="32"/>
          <w:szCs w:val="32"/>
          <w:shd w:val="clear" w:color="auto" w:fill="FFFFFF"/>
          <w:lang w:val="en-US" w:eastAsia="zh-CN" w:bidi="ar"/>
        </w:rPr>
        <w:t>巡视巡察</w:t>
      </w:r>
      <w:r>
        <w:rPr>
          <w:rFonts w:hint="eastAsia" w:ascii="仿宋" w:hAnsi="仿宋" w:eastAsia="仿宋" w:cs="仿宋"/>
          <w:i w:val="0"/>
          <w:iCs w:val="0"/>
          <w:caps w:val="0"/>
          <w:color w:val="333333"/>
          <w:spacing w:val="0"/>
          <w:kern w:val="0"/>
          <w:sz w:val="32"/>
          <w:szCs w:val="32"/>
          <w:shd w:val="clear" w:color="auto" w:fill="FFFFFF"/>
          <w:lang w:val="en-US" w:eastAsia="zh-CN" w:bidi="ar"/>
        </w:rPr>
        <w:t>，抽调1人参与区纪委监委办案</w:t>
      </w:r>
      <w:r>
        <w:rPr>
          <w:rFonts w:hint="default" w:ascii="仿宋" w:hAnsi="仿宋" w:eastAsia="仿宋" w:cs="仿宋"/>
          <w:i w:val="0"/>
          <w:iCs w:val="0"/>
          <w:caps w:val="0"/>
          <w:color w:val="333333"/>
          <w:spacing w:val="0"/>
          <w:kern w:val="0"/>
          <w:sz w:val="32"/>
          <w:szCs w:val="32"/>
          <w:shd w:val="clear" w:color="auto" w:fill="FFFFFF"/>
          <w:lang w:val="en-US" w:eastAsia="zh-CN" w:bidi="ar"/>
        </w:rPr>
        <w:t>工作。</w:t>
      </w:r>
      <w:r>
        <w:rPr>
          <w:rFonts w:hint="eastAsia" w:ascii="仿宋" w:hAnsi="仿宋" w:eastAsia="仿宋" w:cs="仿宋"/>
          <w:i w:val="0"/>
          <w:iCs w:val="0"/>
          <w:caps w:val="0"/>
          <w:color w:val="333333"/>
          <w:spacing w:val="0"/>
          <w:kern w:val="0"/>
          <w:sz w:val="32"/>
          <w:szCs w:val="32"/>
          <w:shd w:val="clear" w:color="auto" w:fill="FFFFFF"/>
          <w:lang w:val="en-US" w:eastAsia="zh-CN" w:bidi="ar"/>
        </w:rPr>
        <w:t>同时，圆满完成审计委员会会议通过的全年计划任务，审计发现问题共344个，提出审计建议267条，审减4635万元，撰写审计要情7篇。2022年，预算执行审计指出46个问题，</w:t>
      </w:r>
      <w:r>
        <w:rPr>
          <w:rFonts w:hint="default" w:ascii="仿宋" w:hAnsi="仿宋" w:eastAsia="仿宋" w:cs="仿宋"/>
          <w:i w:val="0"/>
          <w:iCs w:val="0"/>
          <w:caps w:val="0"/>
          <w:color w:val="333333"/>
          <w:spacing w:val="0"/>
          <w:kern w:val="0"/>
          <w:sz w:val="32"/>
          <w:szCs w:val="32"/>
          <w:shd w:val="clear" w:color="auto" w:fill="FFFFFF"/>
          <w:lang w:val="en-US" w:eastAsia="zh-CN" w:bidi="ar"/>
        </w:rPr>
        <w:t>规范资金使用1973.5万元，上缴财政资金151.12万元，归还专项资金860.2万元，追缴税金12.65万元，收回违规发放资金0.91万元，审计机关移送问题线索2条，对9家政府采购代理机构予以通报批评。</w:t>
      </w:r>
      <w:r>
        <w:rPr>
          <w:rFonts w:hint="eastAsia" w:ascii="仿宋" w:hAnsi="仿宋" w:eastAsia="仿宋" w:cs="仿宋"/>
          <w:i w:val="0"/>
          <w:iCs w:val="0"/>
          <w:caps w:val="0"/>
          <w:color w:val="333333"/>
          <w:spacing w:val="0"/>
          <w:kern w:val="0"/>
          <w:sz w:val="32"/>
          <w:szCs w:val="32"/>
          <w:shd w:val="clear" w:color="auto" w:fill="FFFFFF"/>
          <w:lang w:val="en-US" w:eastAsia="zh-CN" w:bidi="ar"/>
        </w:rPr>
        <w:t>推动相关部门出台了《关于全面实施预算绩效管理工作的通知》《赫山区财政对外借款管理办法》等6项文件制度，促进了经济规范运行，建立健全了审计整改长效机制。</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atLeast"/>
        <w:ind w:firstLine="640" w:firstLineChars="200"/>
        <w:jc w:val="both"/>
        <w:textAlignment w:val="auto"/>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一是缺少计算机审计技术人才，运用大数据核查问题、评价判断、宏观分析的综合能力不足；二是知识结构单一，大部分为财务人员或者工程人员，缺少复合型人才。</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p>
    <w:p>
      <w:pPr>
        <w:pStyle w:val="11"/>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一、财政拨款收入：指本级财政当年拨付的资金。</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二、上年结转和结余：指以前年度尚未完成、结转到本年按有</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关规定继续使用的资金。</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三、年末结转和结余资金：指本年度或以前年度预算安排、因</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客观条件发生变化无法按原计划实施，需要延迟到以后年度按有关</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规定继续使用的资金。</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四、基本支出：指保障机构正常运转、完成支日常工作任务而</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发生的人员支出和公用支出。</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五、项目支出：指在基本支出之外为完成特定行政任务和事业</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发展目标所发生的支出。</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六、“三公”经费：指用财政拨款安排的因公出国（境）费、</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公务用车购置及运行费和公务接待费。</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七、政府采购 ：是指国家各级政府为从事日常的政务活动或为</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了满足公共服务的目的，利用国家财政性资金和政府借款购买货物、</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工程和服务的行为。</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八、办公设备购置：反映用于购置并按财务会计制度规定纳入</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固定资产核算范围的办公家具和办公设备的支出，以及按规定提取</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的修购基金。</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九、机关运行经费：指为保障行政单位（包括参照公务员法管</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理的事业单位）运行用于购买货物和服务的各项资金，包括办公及</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印刷费、邮电费、差旅费、会议费、福利费、日常维修费、专用材</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料及一般设备购置费、办公用房水电费、办公用房取暖费、 办公用</w:t>
      </w:r>
    </w:p>
    <w:p>
      <w:pPr>
        <w:pStyle w:val="11"/>
        <w:jc w:val="left"/>
        <w:rPr>
          <w:rFonts w:hint="eastAsia" w:ascii="仿宋" w:hAnsi="仿宋" w:eastAsia="仿宋" w:cs="仿宋"/>
          <w:i w:val="0"/>
          <w:iCs w:val="0"/>
          <w:caps w:val="0"/>
          <w:color w:val="333333"/>
          <w:spacing w:val="0"/>
          <w:kern w:val="0"/>
          <w:sz w:val="32"/>
          <w:szCs w:val="32"/>
          <w:shd w:val="clear" w:color="auto" w:fill="FFFFFF"/>
          <w:lang w:val="en-US" w:eastAsia="zh-CN" w:bidi="ar"/>
        </w:rPr>
      </w:pPr>
      <w:r>
        <w:rPr>
          <w:rFonts w:hint="eastAsia" w:ascii="仿宋" w:hAnsi="仿宋" w:eastAsia="仿宋" w:cs="仿宋"/>
          <w:i w:val="0"/>
          <w:iCs w:val="0"/>
          <w:caps w:val="0"/>
          <w:color w:val="333333"/>
          <w:spacing w:val="0"/>
          <w:kern w:val="0"/>
          <w:sz w:val="32"/>
          <w:szCs w:val="32"/>
          <w:shd w:val="clear" w:color="auto" w:fill="FFFFFF"/>
          <w:lang w:val="en-US" w:eastAsia="zh-CN" w:bidi="ar"/>
        </w:rPr>
        <w:t>房物业管理费、 公务用车运行维护费以及其他费用。</w:t>
      </w:r>
    </w:p>
    <w:p>
      <w:pPr>
        <w:pStyle w:val="11"/>
        <w:jc w:val="left"/>
        <w:rPr>
          <w:rFonts w:cs="黑体" w:asciiTheme="minorEastAsia" w:hAnsiTheme="minorEastAsia"/>
          <w:color w:val="000000"/>
          <w:kern w:val="0"/>
          <w:sz w:val="32"/>
          <w:szCs w:val="32"/>
        </w:rPr>
      </w:pPr>
      <w:r>
        <w:rPr>
          <w:rFonts w:hint="eastAsia" w:ascii="仿宋" w:hAnsi="仿宋" w:eastAsia="仿宋" w:cs="仿宋"/>
          <w:i w:val="0"/>
          <w:iCs w:val="0"/>
          <w:caps w:val="0"/>
          <w:color w:val="333333"/>
          <w:spacing w:val="0"/>
          <w:kern w:val="0"/>
          <w:sz w:val="32"/>
          <w:szCs w:val="32"/>
          <w:shd w:val="clear" w:color="auto" w:fill="FFFFFF"/>
          <w:lang w:val="en-US" w:eastAsia="zh-CN" w:bidi="ar"/>
        </w:rPr>
        <w:t>十、审计事务：反映政府审计方面的支出。</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roman"/>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B0C9288"/>
    <w:multiLevelType w:val="singleLevel"/>
    <w:tmpl w:val="3B0C928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BA23811"/>
    <w:rsid w:val="0CFF1D88"/>
    <w:rsid w:val="2ABF1892"/>
    <w:rsid w:val="2C7A7049"/>
    <w:rsid w:val="2E5F774E"/>
    <w:rsid w:val="3285584A"/>
    <w:rsid w:val="3B6F651D"/>
    <w:rsid w:val="3EFA1702"/>
    <w:rsid w:val="480966DE"/>
    <w:rsid w:val="4DD9712F"/>
    <w:rsid w:val="514F0F87"/>
    <w:rsid w:val="530D1306"/>
    <w:rsid w:val="5777D4F5"/>
    <w:rsid w:val="5925438F"/>
    <w:rsid w:val="5C116014"/>
    <w:rsid w:val="5FC6BB1E"/>
    <w:rsid w:val="5FF720F1"/>
    <w:rsid w:val="69BF0E80"/>
    <w:rsid w:val="6A022F6E"/>
    <w:rsid w:val="710C6EE3"/>
    <w:rsid w:val="72CB5C12"/>
    <w:rsid w:val="737D59BA"/>
    <w:rsid w:val="77C37683"/>
    <w:rsid w:val="79FF515B"/>
    <w:rsid w:val="7C3C0677"/>
    <w:rsid w:val="7E9F11B4"/>
    <w:rsid w:val="7EC25008"/>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3</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2023-09-14T02:00:00Z</cp:lastPrinted>
  <dcterms:modified xsi:type="dcterms:W3CDTF">2023-09-19T08:06:41Z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4D05A25229CC4E63829B5EC6A18D85A8_13</vt:lpwstr>
  </property>
</Properties>
</file>