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黑体" w:hAnsi="黑体" w:eastAsia="黑体" w:cs="黑体"/>
          <w:sz w:val="72"/>
          <w:szCs w:val="72"/>
          <w:lang w:val="zh-CN"/>
        </w:rPr>
      </w:pPr>
      <w:r>
        <w:rPr>
          <w:rFonts w:hint="eastAsia" w:ascii="黑体" w:hAnsi="黑体" w:eastAsia="黑体" w:cs="黑体"/>
          <w:sz w:val="72"/>
          <w:szCs w:val="72"/>
          <w:lang w:val="zh-CN"/>
        </w:rPr>
        <w:t>202</w:t>
      </w:r>
      <w:r>
        <w:rPr>
          <w:rFonts w:hint="eastAsia" w:ascii="黑体" w:hAnsi="黑体" w:eastAsia="黑体" w:cs="黑体"/>
          <w:sz w:val="72"/>
          <w:szCs w:val="72"/>
          <w:lang w:val="en-US" w:eastAsia="zh-CN"/>
        </w:rPr>
        <w:t>2</w:t>
      </w:r>
      <w:r>
        <w:rPr>
          <w:rFonts w:hint="eastAsia" w:ascii="黑体" w:hAnsi="黑体" w:eastAsia="黑体" w:cs="黑体"/>
          <w:sz w:val="72"/>
          <w:szCs w:val="72"/>
          <w:lang w:val="zh-CN"/>
        </w:rPr>
        <w:t>年度益阳市赫山区</w:t>
      </w:r>
    </w:p>
    <w:p>
      <w:pPr>
        <w:pStyle w:val="9"/>
        <w:jc w:val="center"/>
        <w:rPr>
          <w:rFonts w:hint="eastAsia" w:ascii="方正小标宋_GBK" w:hAnsi="方正小标宋_GBK" w:eastAsia="方正小标宋_GBK" w:cs="方正小标宋_GBK"/>
          <w:sz w:val="84"/>
          <w:szCs w:val="84"/>
        </w:rPr>
      </w:pPr>
      <w:r>
        <w:rPr>
          <w:rFonts w:hint="eastAsia" w:ascii="黑体" w:hAnsi="黑体" w:eastAsia="黑体" w:cs="黑体"/>
          <w:sz w:val="72"/>
          <w:szCs w:val="72"/>
          <w:lang w:val="zh-CN"/>
        </w:rPr>
        <w:t>工业和信息化局部门决算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赫山区工业和信息化局</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赫山区工业和信息化局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pStyle w:val="10"/>
        <w:keepNext w:val="0"/>
        <w:keepLines w:val="0"/>
        <w:pageBreakBefore w:val="0"/>
        <w:kinsoku/>
        <w:wordWrap/>
        <w:overflowPunct/>
        <w:topLinePunct/>
        <w:bidi w:val="0"/>
        <w:adjustRightInd/>
        <w:snapToGrid/>
        <w:spacing w:beforeLines="0" w:after="0" w:afterLines="0" w:line="600" w:lineRule="exact"/>
        <w:ind w:firstLine="640" w:firstLineChars="20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赫山区工业和信息化局是区人民政府工作部门，主管全区工业和信息化工作，主要职责是：</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拟定并组织实施新型工业化总体规划、产业规划、投资规划；</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监测分析全区工业经济运行态势，协调解决工业经济运行中存在的突出问题；</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负责工业和信息化领域的法律法规和规章执行情况的监督检查；</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推进企业技术进步、技术创新、提升改造传统产业；</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拟定促进全区非公有制经济和中小企业发展的政策措施，促进中小企业发展；</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开展能源节约资源、综合利用和清洁生产工作；</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拟定信息化发展战略、专项规划及相关政策，协调解决重大问题；</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协调共用通信网、互联网和其他专用通信网的规划建设；</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促进软件业和信息服务业的发展；负责企业帮扶、安全生产、综治维稳等工作；</w:t>
      </w:r>
    </w:p>
    <w:p>
      <w:pPr>
        <w:pStyle w:val="10"/>
        <w:keepNext w:val="0"/>
        <w:keepLines w:val="0"/>
        <w:pageBreakBefore w:val="0"/>
        <w:numPr>
          <w:ilvl w:val="0"/>
          <w:numId w:val="2"/>
        </w:numPr>
        <w:kinsoku/>
        <w:wordWrap/>
        <w:overflowPunct/>
        <w:topLinePunct/>
        <w:bidi w:val="0"/>
        <w:adjustRightInd/>
        <w:snapToGrid/>
        <w:spacing w:beforeLines="0" w:after="0" w:afterLines="0" w:line="600" w:lineRule="exact"/>
        <w:ind w:left="0" w:leftChars="0" w:firstLine="420" w:firstLineChars="0"/>
        <w:jc w:val="both"/>
        <w:textAlignment w:val="auto"/>
        <w:rPr>
          <w:rFonts w:hint="eastAsia" w:ascii="仿宋" w:hAnsi="仿宋" w:eastAsia="仿宋" w:cs="仿宋"/>
          <w:bCs/>
          <w:kern w:val="0"/>
          <w:sz w:val="30"/>
          <w:szCs w:val="30"/>
          <w:lang w:val="zh-CN"/>
        </w:rPr>
      </w:pPr>
      <w:r>
        <w:rPr>
          <w:rFonts w:hint="eastAsia" w:ascii="Times New Roman" w:hAnsi="Times New Roman" w:eastAsia="仿宋_GB2312" w:cs="黑体"/>
          <w:color w:val="000000"/>
          <w:kern w:val="0"/>
          <w:sz w:val="32"/>
          <w:szCs w:val="32"/>
          <w:lang w:val="zh-CN" w:eastAsia="zh-CN" w:bidi="ar-SA"/>
        </w:rPr>
        <w:t>管理二级企事业单位的各项事宜。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10"/>
        <w:keepNext w:val="0"/>
        <w:keepLines w:val="0"/>
        <w:pageBreakBefore w:val="0"/>
        <w:kinsoku/>
        <w:wordWrap/>
        <w:overflowPunct/>
        <w:topLinePunct/>
        <w:bidi w:val="0"/>
        <w:adjustRightInd/>
        <w:snapToGrid/>
        <w:spacing w:beforeLines="0" w:after="0" w:afterLines="0" w:line="600" w:lineRule="exact"/>
        <w:ind w:firstLine="640" w:firstLineChars="20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仿宋_GB2312"/>
          <w:bCs/>
          <w:kern w:val="0"/>
          <w:sz w:val="32"/>
          <w:szCs w:val="32"/>
        </w:rPr>
        <w:t>（一）</w:t>
      </w:r>
      <w:r>
        <w:rPr>
          <w:rFonts w:hint="eastAsia" w:ascii="Times New Roman" w:hAnsi="Times New Roman" w:eastAsia="仿宋_GB2312" w:cs="黑体"/>
          <w:color w:val="000000"/>
          <w:kern w:val="0"/>
          <w:sz w:val="32"/>
          <w:szCs w:val="32"/>
          <w:lang w:val="zh-CN" w:eastAsia="zh-CN" w:bidi="ar-SA"/>
        </w:rPr>
        <w:t>内设机构设置。益阳市赫山区工业和信息化局内设机构包括：办公室、人事股、财务审计股、运行监测股、投资服务股、中小企业股、信息化推进股、政策法规股。下设四个二级事业单位：益阳市赫山区中小企业服务中心、益阳市赫山区朝阳市场事务中心、益阳市赫山区墙体材料革新建筑节能事务中心、益阳市赫山区乡镇企业服务中心</w:t>
      </w:r>
      <w:r>
        <w:rPr>
          <w:rFonts w:hint="eastAsia" w:ascii="Times New Roman" w:hAnsi="Times New Roman" w:eastAsia="仿宋_GB2312" w:cs="黑体"/>
          <w:color w:val="000000"/>
          <w:kern w:val="0"/>
          <w:sz w:val="32"/>
          <w:szCs w:val="32"/>
          <w:lang w:val="en-US" w:eastAsia="zh-CN" w:bidi="ar-SA"/>
        </w:rPr>
        <w:t xml:space="preserve"> </w:t>
      </w:r>
      <w:r>
        <w:rPr>
          <w:rFonts w:hint="eastAsia" w:ascii="Times New Roman" w:hAnsi="Times New Roman" w:eastAsia="仿宋_GB2312" w:cs="黑体"/>
          <w:color w:val="000000"/>
          <w:kern w:val="0"/>
          <w:sz w:val="32"/>
          <w:szCs w:val="32"/>
          <w:lang w:val="zh-CN" w:eastAsia="zh-CN" w:bidi="ar-SA"/>
        </w:rPr>
        <w:t>。</w:t>
      </w:r>
    </w:p>
    <w:p>
      <w:pPr>
        <w:pStyle w:val="10"/>
        <w:keepNext w:val="0"/>
        <w:keepLines w:val="0"/>
        <w:pageBreakBefore w:val="0"/>
        <w:kinsoku/>
        <w:wordWrap/>
        <w:overflowPunct/>
        <w:topLinePunct/>
        <w:bidi w:val="0"/>
        <w:adjustRightInd/>
        <w:snapToGrid/>
        <w:spacing w:beforeLines="0" w:after="0" w:afterLines="0" w:line="600" w:lineRule="exact"/>
        <w:ind w:firstLine="640" w:firstLineChars="200"/>
        <w:jc w:val="both"/>
        <w:textAlignment w:val="auto"/>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（二）决算单位构成。益阳市赫山区工业和信息化局202</w:t>
      </w:r>
      <w:r>
        <w:rPr>
          <w:rFonts w:hint="eastAsia" w:ascii="Times New Roman" w:hAnsi="Times New Roman" w:eastAsia="仿宋_GB2312" w:cs="黑体"/>
          <w:color w:val="000000"/>
          <w:kern w:val="0"/>
          <w:sz w:val="32"/>
          <w:szCs w:val="32"/>
          <w:lang w:val="en-US" w:eastAsia="zh-CN" w:bidi="ar-SA"/>
        </w:rPr>
        <w:t>2</w:t>
      </w:r>
      <w:r>
        <w:rPr>
          <w:rFonts w:hint="eastAsia" w:ascii="Times New Roman" w:hAnsi="Times New Roman" w:eastAsia="仿宋_GB2312" w:cs="黑体"/>
          <w:color w:val="000000"/>
          <w:kern w:val="0"/>
          <w:sz w:val="32"/>
          <w:szCs w:val="32"/>
          <w:lang w:val="zh-CN" w:eastAsia="zh-CN" w:bidi="ar-SA"/>
        </w:rPr>
        <w:t>年部门决算汇总公开单位构成包括：益阳市赫山区工业和信息化局本级及下属单位益阳市赫山区中小企业服务中心、益阳市赫山区朝阳市场事务中心、益阳市赫山区墙体材料革新建筑节能事务中心、益阳市赫山区乡镇企业服务中心</w:t>
      </w:r>
      <w:r>
        <w:rPr>
          <w:rFonts w:hint="eastAsia" w:ascii="Times New Roman" w:hAnsi="Times New Roman" w:eastAsia="仿宋_GB2312" w:cs="黑体"/>
          <w:color w:val="000000"/>
          <w:kern w:val="0"/>
          <w:sz w:val="32"/>
          <w:szCs w:val="32"/>
          <w:lang w:val="en-US" w:eastAsia="zh-CN" w:bidi="ar-SA"/>
        </w:rPr>
        <w:t xml:space="preserve"> </w:t>
      </w:r>
      <w:r>
        <w:rPr>
          <w:rFonts w:hint="eastAsia" w:ascii="Times New Roman" w:hAnsi="Times New Roman" w:eastAsia="仿宋_GB2312" w:cs="黑体"/>
          <w:color w:val="000000"/>
          <w:kern w:val="0"/>
          <w:sz w:val="32"/>
          <w:szCs w:val="32"/>
          <w:lang w:val="zh-CN" w:eastAsia="zh-CN" w:bidi="ar-SA"/>
        </w:rPr>
        <w:t>。</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pPr>
      <w:r>
        <w:drawing>
          <wp:inline distT="0" distB="0" distL="114300" distR="114300">
            <wp:extent cx="6636385" cy="522859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5228590"/>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4640" cy="5833745"/>
            <wp:effectExtent l="0" t="0" r="381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5833745"/>
                    </a:xfrm>
                    <a:prstGeom prst="rect">
                      <a:avLst/>
                    </a:prstGeom>
                    <a:noFill/>
                    <a:ln>
                      <a:noFill/>
                    </a:ln>
                  </pic:spPr>
                </pic:pic>
              </a:graphicData>
            </a:graphic>
          </wp:inline>
        </w:drawing>
      </w:r>
    </w:p>
    <w:p>
      <w:pPr>
        <w:pStyle w:val="9"/>
      </w:pPr>
    </w:p>
    <w:p>
      <w:pPr>
        <w:pStyle w:val="9"/>
      </w:pPr>
    </w:p>
    <w:p>
      <w:pPr>
        <w:pStyle w:val="9"/>
      </w:pPr>
    </w:p>
    <w:p>
      <w:pPr>
        <w:pStyle w:val="9"/>
      </w:pPr>
    </w:p>
    <w:p>
      <w:pPr>
        <w:pStyle w:val="9"/>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640830" cy="6811645"/>
            <wp:effectExtent l="0" t="0" r="762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6811645"/>
                    </a:xfrm>
                    <a:prstGeom prst="rect">
                      <a:avLst/>
                    </a:prstGeom>
                    <a:noFill/>
                    <a:ln>
                      <a:noFill/>
                    </a:ln>
                  </pic:spPr>
                </pic:pic>
              </a:graphicData>
            </a:graphic>
          </wp:inline>
        </w:drawing>
      </w:r>
    </w:p>
    <w:p>
      <w:pPr>
        <w:pStyle w:val="9"/>
      </w:pPr>
    </w:p>
    <w:p>
      <w:pPr>
        <w:pStyle w:val="9"/>
      </w:pPr>
    </w:p>
    <w:p>
      <w:pPr>
        <w:pStyle w:val="9"/>
      </w:pPr>
    </w:p>
    <w:p>
      <w:pPr>
        <w:pStyle w:val="9"/>
      </w:pPr>
    </w:p>
    <w:p>
      <w:pPr>
        <w:pStyle w:val="9"/>
      </w:pPr>
    </w:p>
    <w:p>
      <w:pPr>
        <w:pStyle w:val="9"/>
      </w:pPr>
    </w:p>
    <w:p>
      <w:pPr>
        <w:pStyle w:val="9"/>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pPr>
    </w:p>
    <w:p>
      <w:pPr>
        <w:pStyle w:val="9"/>
      </w:pPr>
    </w:p>
    <w:p>
      <w:pPr>
        <w:pStyle w:val="9"/>
      </w:pPr>
    </w:p>
    <w:p>
      <w:pPr>
        <w:pStyle w:val="9"/>
      </w:pPr>
    </w:p>
    <w:p>
      <w:pPr>
        <w:pStyle w:val="9"/>
      </w:pPr>
    </w:p>
    <w:p>
      <w:pPr>
        <w:pStyle w:val="9"/>
      </w:pPr>
      <w:r>
        <w:drawing>
          <wp:inline distT="0" distB="0" distL="114300" distR="114300">
            <wp:extent cx="6645275" cy="2263775"/>
            <wp:effectExtent l="0" t="0" r="317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2263775"/>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334125" cy="3248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3248025"/>
                    </a:xfrm>
                    <a:prstGeom prst="rect">
                      <a:avLst/>
                    </a:prstGeom>
                    <a:noFill/>
                    <a:ln>
                      <a:noFill/>
                    </a:ln>
                  </pic:spPr>
                </pic:pic>
              </a:graphicData>
            </a:graphic>
          </wp:inline>
        </w:drawing>
      </w:r>
    </w:p>
    <w:p>
      <w:pPr>
        <w:pStyle w:val="9"/>
      </w:pPr>
    </w:p>
    <w:p>
      <w:pPr>
        <w:pStyle w:val="9"/>
      </w:pPr>
    </w:p>
    <w:p>
      <w:pPr>
        <w:pStyle w:val="9"/>
      </w:pPr>
    </w:p>
    <w:p>
      <w:pPr>
        <w:pStyle w:val="9"/>
      </w:pPr>
    </w:p>
    <w:p>
      <w:pPr>
        <w:pStyle w:val="9"/>
      </w:pPr>
    </w:p>
    <w:p>
      <w:pPr>
        <w:pStyle w:val="9"/>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bookmarkStart w:id="0" w:name="_GoBack"/>
      <w:bookmarkEnd w:id="0"/>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5693.5</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3264.32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134.38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增加了国有企业退休人员社会化管理补助支出、</w:t>
      </w:r>
      <w:r>
        <w:rPr>
          <w:rFonts w:hint="eastAsia" w:ascii="Times New Roman" w:hAnsi="Times New Roman" w:eastAsia="仿宋_GB2312"/>
          <w:sz w:val="32"/>
          <w:szCs w:val="32"/>
          <w:lang w:val="en-US" w:eastAsia="zh-CN"/>
        </w:rPr>
        <w:t>2021年度市区先进制造业高质量发展专项资金支出。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2846.75</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2846.75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2846.75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2530.6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88.89</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316.15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11.11</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5693.5</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3280.5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135.95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国有企业退休人员社会化管理补助支出增加和</w:t>
      </w:r>
      <w:r>
        <w:rPr>
          <w:rFonts w:hint="eastAsia" w:ascii="Times New Roman" w:hAnsi="Times New Roman" w:eastAsia="仿宋_GB2312"/>
          <w:sz w:val="32"/>
          <w:szCs w:val="32"/>
          <w:lang w:val="en-US" w:eastAsia="zh-CN"/>
        </w:rPr>
        <w:t>2021年度市区先进制造业高质量发展奖励支出的增加。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2535.6</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89.07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1382.18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119.83</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国有企业退休人员社会化管理补助支出增加和</w:t>
      </w:r>
      <w:r>
        <w:rPr>
          <w:rFonts w:hint="eastAsia" w:ascii="Times New Roman" w:hAnsi="Times New Roman" w:eastAsia="仿宋_GB2312"/>
          <w:sz w:val="32"/>
          <w:szCs w:val="32"/>
          <w:lang w:val="en-US" w:eastAsia="zh-CN"/>
        </w:rPr>
        <w:t>2021年度市区先进制造业高质量发展奖励支出的增加。</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2535.6</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15.62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0.61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科学技术</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877.36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34.60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lang w:val="en-US" w:eastAsia="zh-CN"/>
        </w:rPr>
        <w:t>59.56万元，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2.35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卫生健康支出</w:t>
      </w:r>
      <w:r>
        <w:rPr>
          <w:rFonts w:hint="eastAsia" w:ascii="Times New Roman" w:hAnsi="Times New Roman" w:eastAsia="仿宋_GB2312"/>
          <w:sz w:val="32"/>
          <w:szCs w:val="32"/>
          <w:lang w:val="en-US" w:eastAsia="zh-CN"/>
        </w:rPr>
        <w:t>472.49万元，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18.63</w:t>
      </w:r>
      <w:r>
        <w:rPr>
          <w:rFonts w:hint="eastAsia" w:ascii="Times New Roman" w:hAnsi="Times New Roman" w:eastAsia="仿宋_GB2312"/>
          <w:sz w:val="32"/>
          <w:szCs w:val="32"/>
        </w:rPr>
        <w:t>%；资源勘探工业信息等支出</w:t>
      </w:r>
      <w:r>
        <w:rPr>
          <w:rFonts w:hint="eastAsia" w:ascii="Times New Roman" w:hAnsi="Times New Roman" w:eastAsia="仿宋_GB2312"/>
          <w:sz w:val="32"/>
          <w:szCs w:val="32"/>
          <w:lang w:val="en-US" w:eastAsia="zh-CN"/>
        </w:rPr>
        <w:t>1091.07万元，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43.03</w:t>
      </w:r>
      <w:r>
        <w:rPr>
          <w:rFonts w:hint="eastAsia" w:ascii="Times New Roman" w:hAnsi="Times New Roman" w:eastAsia="仿宋_GB2312"/>
          <w:sz w:val="32"/>
          <w:szCs w:val="32"/>
        </w:rPr>
        <w:t>%；住房保障支出</w:t>
      </w:r>
      <w:r>
        <w:rPr>
          <w:rFonts w:hint="eastAsia" w:ascii="Times New Roman" w:hAnsi="Times New Roman" w:eastAsia="仿宋_GB2312"/>
          <w:sz w:val="32"/>
          <w:szCs w:val="32"/>
          <w:lang w:val="en-US" w:eastAsia="zh-CN"/>
        </w:rPr>
        <w:t>19.51万元，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0.77</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523.39</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2535.6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484.46</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1、一般公共服务（类）政府办公厅（室）及相关机构事务（款）行政运行（项）。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8.61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因疫情防控原因，新增疫情防控物资保障组工作经费。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2、一般公共服务（类）政府办公厅（室）及相关机构事务（款）一般行政管理事务（项）。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新增2020年真抓实干督查激励措施工作奖励经费。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、一般公共服务（类）财政事务（款）行政运行（项）。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新增创文创卫工作经费。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、科学技术支出（类）其他科学技术支出（款）其他科学技术支出（项）。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877.36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2021年市区先进制造业高质量发展专项资金</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行政事业单位养老支出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机关事业单位基本养老保险缴费支出</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26.88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26.13</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完成年初预算数的97.21%，</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小于</w:t>
      </w:r>
      <w:r>
        <w:rPr>
          <w:rFonts w:hint="eastAsia" w:ascii="Times New Roman" w:hAnsi="Times New Roman" w:eastAsia="仿宋_GB2312"/>
          <w:sz w:val="32"/>
          <w:szCs w:val="32"/>
        </w:rPr>
        <w:t>年初预算数的主要原因是：人员调</w:t>
      </w:r>
      <w:r>
        <w:rPr>
          <w:rFonts w:hint="eastAsia" w:ascii="Times New Roman" w:hAnsi="Times New Roman" w:eastAsia="仿宋_GB2312"/>
          <w:sz w:val="32"/>
          <w:szCs w:val="32"/>
          <w:lang w:eastAsia="zh-CN"/>
        </w:rPr>
        <w:t>出</w:t>
      </w:r>
      <w:r>
        <w:rPr>
          <w:rFonts w:hint="eastAsia" w:ascii="Times New Roman" w:hAnsi="Times New Roman" w:eastAsia="仿宋_GB2312"/>
          <w:sz w:val="32"/>
          <w:szCs w:val="32"/>
        </w:rPr>
        <w:t>和</w:t>
      </w:r>
      <w:r>
        <w:rPr>
          <w:rFonts w:hint="eastAsia" w:ascii="Times New Roman" w:hAnsi="Times New Roman" w:eastAsia="仿宋_GB2312"/>
          <w:sz w:val="32"/>
          <w:szCs w:val="32"/>
          <w:lang w:eastAsia="zh-CN"/>
        </w:rPr>
        <w:t>退休人员增加。</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（类）抚恤（款）死亡抚恤（项）。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33.44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有退休人员离世。</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卫生健康支出（类）行政事业单位医疗（款）行政单位医疗（项）。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年初预算为37.83万元，支出决算为34.63万元，完成年初预算数的91.54%，决算数小于年初预算数的主要原因是：人员调出和退休人员增加，导致医保费用的减少。</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w:t>
      </w:r>
      <w:r>
        <w:rPr>
          <w:rFonts w:hint="eastAsia" w:ascii="仿宋" w:hAnsi="仿宋" w:eastAsia="仿宋" w:cs="仿宋"/>
          <w:sz w:val="30"/>
          <w:szCs w:val="30"/>
          <w:lang w:eastAsia="zh-CN"/>
        </w:rPr>
        <w:t>卫生健康支出</w:t>
      </w:r>
      <w:r>
        <w:rPr>
          <w:rFonts w:hint="eastAsia" w:ascii="Times New Roman" w:hAnsi="Times New Roman" w:eastAsia="仿宋_GB2312"/>
          <w:sz w:val="32"/>
          <w:szCs w:val="32"/>
        </w:rPr>
        <w:t>（类）公共卫生（款）突发公共卫生事件应急处理（项）。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296.77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新增全区防疫物资储备采购任务。</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卫生健康支出</w:t>
      </w:r>
      <w:r>
        <w:rPr>
          <w:rFonts w:hint="eastAsia" w:ascii="Times New Roman" w:hAnsi="Times New Roman" w:eastAsia="仿宋_GB2312"/>
          <w:sz w:val="32"/>
          <w:szCs w:val="32"/>
        </w:rPr>
        <w:t>（类）公共卫生（款）其他公共卫生支出（项）。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141.09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新增全区防疫物资储备采购任务。</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960" w:firstLineChars="3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资源勘探工业信息等支出（类）制造业（款）其他制造业支出（项）。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年度新入规模工业企业奖励资金</w:t>
      </w:r>
      <w:r>
        <w:rPr>
          <w:rFonts w:hint="eastAsia" w:ascii="Times New Roman" w:hAnsi="Times New Roman" w:eastAsia="仿宋_GB2312"/>
          <w:sz w:val="32"/>
          <w:szCs w:val="32"/>
          <w:lang w:eastAsia="zh-CN"/>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960" w:firstLineChars="3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资源勘探工业信息等支出（类）工业和信息产业监管（款）行政运行（项）。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439.18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608.32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138.51</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2021年市区先进制造业高质量发展专项资金</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资源勘探工业信息等支出（类）工业和信息产业监管（款）其他工业和信息产业监管支出（项）。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269.7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rPr>
        <w:t>关闭24门以上轮窑砖厂“以奖代补”经费</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资源勘探工业信息等支出（类）其他资源勘探工业信息等支出（款）其他资源勘探工业信息等支出（项）。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25.05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新增第三批制造强省奖励资金。</w:t>
      </w:r>
    </w:p>
    <w:p>
      <w:pPr>
        <w:pStyle w:val="9"/>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住房保障支出（类）住房改革支出（款）住房公积金（项）。</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年初预算为19.51万元，支出决算为19.51万元，完成年初预算的100%。</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2530.6</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533.18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21.07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、抚恤金等。</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1997.41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78.93</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sz w:val="30"/>
          <w:szCs w:val="30"/>
          <w:lang w:val="en-US"/>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zh-CN"/>
        </w:rPr>
        <w:t>与上年持平，</w:t>
      </w:r>
      <w:r>
        <w:rPr>
          <w:rFonts w:hint="eastAsia" w:ascii="Times New Roman" w:hAnsi="Times New Roman" w:eastAsia="仿宋_GB2312"/>
          <w:sz w:val="32"/>
          <w:szCs w:val="32"/>
          <w:lang w:val="en-US" w:eastAsia="zh-CN"/>
        </w:rPr>
        <w:t>2022年本部门未开展</w:t>
      </w:r>
      <w:r>
        <w:rPr>
          <w:rFonts w:hint="eastAsia" w:ascii="Times New Roman" w:hAnsi="Times New Roman" w:eastAsia="仿宋_GB2312"/>
          <w:sz w:val="32"/>
          <w:szCs w:val="32"/>
          <w:lang w:val="en-US"/>
        </w:rPr>
        <w:t>因公出国（境）</w:t>
      </w:r>
      <w:r>
        <w:rPr>
          <w:rFonts w:hint="eastAsia" w:ascii="Times New Roman" w:hAnsi="Times New Roman" w:eastAsia="仿宋_GB2312"/>
          <w:sz w:val="32"/>
          <w:szCs w:val="32"/>
          <w:lang w:val="en-US" w:eastAsia="zh-CN"/>
        </w:rPr>
        <w:t>活动</w:t>
      </w:r>
      <w:r>
        <w:rPr>
          <w:rFonts w:hint="eastAsia" w:ascii="仿宋" w:hAnsi="仿宋" w:eastAsia="仿宋" w:cs="仿宋"/>
          <w:sz w:val="30"/>
          <w:szCs w:val="30"/>
          <w:lang w:val="en-US"/>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决算数小于预算数的主要原因是</w:t>
      </w:r>
      <w:r>
        <w:rPr>
          <w:rFonts w:hint="eastAsia" w:ascii="Times New Roman" w:hAnsi="Times New Roman" w:eastAsia="仿宋_GB2312"/>
          <w:sz w:val="32"/>
          <w:szCs w:val="32"/>
          <w:lang w:val="en-US" w:eastAsia="zh-CN"/>
        </w:rPr>
        <w:t>严格控制经费开支，厉行节约，</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2.83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84.48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严格控制经费开支，厉行节约</w:t>
      </w:r>
      <w:r>
        <w:rPr>
          <w:rFonts w:hint="eastAsia" w:ascii="Times New Roman" w:hAnsi="Times New Roman" w:eastAsia="仿宋_GB2312"/>
          <w:sz w:val="32"/>
          <w:szCs w:val="32"/>
          <w:lang w:val="en-US"/>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，与上年持平，</w:t>
      </w:r>
      <w:r>
        <w:rPr>
          <w:rFonts w:hint="eastAsia" w:ascii="Times New Roman" w:hAnsi="Times New Roman" w:eastAsia="仿宋_GB2312"/>
          <w:sz w:val="32"/>
          <w:szCs w:val="32"/>
          <w:lang w:val="en-US" w:eastAsia="zh-CN"/>
        </w:rPr>
        <w:t>2021年度本部门未购置公务用车</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年本部门无公务用车。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zh-CN" w:eastAsia="zh-CN"/>
        </w:rPr>
        <w:t>用于与有关单位交流工作情况及接受相关部门检查指导工作发生的接待支出。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9"/>
        <w:keepNext w:val="0"/>
        <w:keepLines w:val="0"/>
        <w:pageBreakBefore w:val="0"/>
        <w:widowControl w:val="0"/>
        <w:numPr>
          <w:ilvl w:val="0"/>
          <w:numId w:val="0"/>
        </w:numPr>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城乡社区支出（类）国有土地使用权出让收入安排的支出（款）农村基础设施建设支出（项）。</w:t>
      </w:r>
    </w:p>
    <w:p>
      <w:pPr>
        <w:pStyle w:val="9"/>
        <w:keepNext w:val="0"/>
        <w:keepLines w:val="0"/>
        <w:pageBreakBefore w:val="0"/>
        <w:widowControl w:val="0"/>
        <w:numPr>
          <w:ilvl w:val="0"/>
          <w:numId w:val="0"/>
        </w:numPr>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年初预算为0万元，支出决算为3万元，</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新增朝阳市场事务中心创文巩卫工作经费。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Times New Roman" w:hAnsi="Times New Roman" w:eastAsia="仿宋_GB2312"/>
          <w:b/>
          <w:sz w:val="32"/>
          <w:szCs w:val="32"/>
        </w:rPr>
        <w:t>九、</w:t>
      </w:r>
      <w:r>
        <w:rPr>
          <w:rFonts w:hint="eastAsia" w:ascii="黑体" w:hAnsi="黑体" w:eastAsia="黑体" w:cs="黑体"/>
          <w:b w:val="0"/>
          <w:bCs/>
          <w:sz w:val="32"/>
          <w:szCs w:val="32"/>
        </w:rPr>
        <w:t>国有资本经营预算财政拨款支出决算情况</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年度政府性基金预算财政拨款支出</w:t>
      </w:r>
      <w:r>
        <w:rPr>
          <w:rFonts w:hint="eastAsia" w:ascii="Times New Roman" w:hAnsi="Times New Roman" w:eastAsia="仿宋_GB2312"/>
          <w:sz w:val="32"/>
          <w:szCs w:val="32"/>
          <w:lang w:val="en-US" w:eastAsia="zh-CN"/>
        </w:rPr>
        <w:t>308.15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308.15</w:t>
      </w:r>
      <w:r>
        <w:rPr>
          <w:rFonts w:hint="eastAsia" w:ascii="Times New Roman" w:hAnsi="Times New Roman" w:eastAsia="仿宋_GB2312"/>
          <w:sz w:val="32"/>
          <w:szCs w:val="32"/>
        </w:rPr>
        <w:t>万元。具体情况如下：</w:t>
      </w:r>
    </w:p>
    <w:p>
      <w:pPr>
        <w:pStyle w:val="9"/>
        <w:keepNext w:val="0"/>
        <w:keepLines w:val="0"/>
        <w:pageBreakBefore w:val="0"/>
        <w:widowControl w:val="0"/>
        <w:numPr>
          <w:ilvl w:val="0"/>
          <w:numId w:val="0"/>
        </w:numPr>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国有资本经营预算支出（类）解决历史遗留问题及改革成本支出（款）国有企业退休人员社会化管理补助支出（项）。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年初预算为0万元，支出决算为308.15万元，</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国企央企退休人员社会化管理补助资金</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十、</w:t>
      </w:r>
      <w:r>
        <w:rPr>
          <w:rFonts w:hint="eastAsia" w:ascii="Times New Roman" w:hAnsi="Times New Roman" w:eastAsia="仿宋_GB2312"/>
          <w:b/>
          <w:sz w:val="32"/>
          <w:szCs w:val="32"/>
        </w:rPr>
        <w:t>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1997.41</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1287.13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181.21</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增加了国有企业退休人员社会化管理补助支出、</w:t>
      </w:r>
      <w:r>
        <w:rPr>
          <w:rFonts w:hint="eastAsia" w:ascii="Times New Roman" w:hAnsi="Times New Roman" w:eastAsia="仿宋_GB2312"/>
          <w:sz w:val="32"/>
          <w:szCs w:val="32"/>
          <w:lang w:val="en-US" w:eastAsia="zh-CN"/>
        </w:rPr>
        <w:t>2021年度市区先进制造业高质量发展专项资金。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十一、一般性支出情况说明</w:t>
      </w:r>
    </w:p>
    <w:p>
      <w:pPr>
        <w:pStyle w:val="9"/>
        <w:keepNext w:val="0"/>
        <w:keepLines w:val="0"/>
        <w:pageBreakBefore w:val="0"/>
        <w:kinsoku/>
        <w:wordWrap/>
        <w:overflowPunct/>
        <w:bidi w:val="0"/>
        <w:snapToGrid/>
        <w:spacing w:line="600" w:lineRule="exact"/>
        <w:ind w:firstLine="640" w:firstLineChars="200"/>
        <w:textAlignment w:val="auto"/>
        <w:rPr>
          <w:rFonts w:hint="eastAsia" w:ascii="仿宋" w:hAnsi="仿宋" w:eastAsia="仿宋" w:cs="仿宋"/>
          <w:sz w:val="30"/>
          <w:szCs w:val="30"/>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1.99</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创客中国益阳市赫山区初赛等</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eastAsia="zh-CN"/>
        </w:rPr>
        <w:t>合计</w:t>
      </w:r>
      <w:r>
        <w:rPr>
          <w:rFonts w:hint="eastAsia" w:ascii="Times New Roman" w:hAnsi="Times New Roman" w:eastAsia="仿宋_GB2312"/>
          <w:sz w:val="32"/>
          <w:szCs w:val="32"/>
          <w:lang w:val="en-US" w:eastAsia="zh-CN"/>
        </w:rPr>
        <w:t>188</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企业培训、比赛等</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未举办节庆、晚会、论坛、赛事等活动。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二</w:t>
      </w:r>
      <w:r>
        <w:rPr>
          <w:rFonts w:hint="eastAsia" w:ascii="黑体" w:hAnsi="黑体" w:eastAsia="黑体" w:cs="黑体"/>
          <w:b w:val="0"/>
          <w:bCs/>
          <w:sz w:val="32"/>
          <w:szCs w:val="32"/>
        </w:rPr>
        <w:t>、关于政府采购支出说明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35.03</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35.03</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35.03</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三</w:t>
      </w:r>
      <w:r>
        <w:rPr>
          <w:rFonts w:hint="eastAsia" w:ascii="黑体" w:hAnsi="黑体" w:eastAsia="黑体" w:cs="黑体"/>
          <w:b w:val="0"/>
          <w:bCs/>
          <w:sz w:val="32"/>
          <w:szCs w:val="32"/>
        </w:rPr>
        <w:t>、关于国有资产占用情况说明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四</w:t>
      </w:r>
      <w:r>
        <w:rPr>
          <w:rFonts w:hint="eastAsia" w:ascii="黑体" w:hAnsi="黑体" w:eastAsia="黑体" w:cs="黑体"/>
          <w:b w:val="0"/>
          <w:bCs/>
          <w:sz w:val="32"/>
          <w:szCs w:val="32"/>
        </w:rPr>
        <w:t>、关于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adjustRightInd/>
        <w:snapToGrid/>
        <w:spacing w:after="0" w:line="560" w:lineRule="exact"/>
        <w:ind w:firstLine="640"/>
        <w:jc w:val="both"/>
        <w:rPr>
          <w:rFonts w:hint="eastAsia" w:ascii="仿宋_GB2312" w:hAnsi="微软雅黑" w:eastAsia="仿宋_GB2312" w:cs="宋体"/>
          <w:sz w:val="32"/>
          <w:szCs w:val="32"/>
        </w:rPr>
      </w:pPr>
      <w:r>
        <w:rPr>
          <w:rFonts w:hint="eastAsia" w:ascii="仿宋_GB2312" w:hAnsi="微软雅黑" w:eastAsia="仿宋_GB2312" w:cs="宋体"/>
          <w:sz w:val="32"/>
          <w:szCs w:val="32"/>
        </w:rPr>
        <w:t>赫山区工业和信息化局是区人民政府工作部门，主管全区工业和信息化工作，主要职责是拟定并组织实施新型工业化总体规划、产业规划、投资规划；监测分析全区工业经济运行态势，协调解决工业经济运行中存在的突出问题；推进企业技术进步、技术创新、提升改造传统产业；拟定促进全区非公有制经济和中小企业发展的政策措施，促进中小企业发展；开展能源节约资源、综合利用和清洁生产工作；拟定信息化发展战略、专项规划及相关政策，协调解决重大问题；促进软件业和信息服务业的发展；负责企业帮扶等工作；管理二级企事业单位的各项事宜。</w:t>
      </w:r>
    </w:p>
    <w:p>
      <w:pPr>
        <w:pStyle w:val="15"/>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微软雅黑" w:eastAsia="仿宋_GB2312" w:cs="宋体"/>
          <w:sz w:val="32"/>
          <w:szCs w:val="32"/>
          <w:lang w:eastAsia="zh-CN"/>
        </w:rPr>
      </w:pPr>
      <w:r>
        <w:rPr>
          <w:rFonts w:hint="eastAsia" w:ascii="仿宋_GB2312" w:hAnsi="微软雅黑" w:eastAsia="仿宋_GB2312" w:cs="宋体"/>
          <w:sz w:val="32"/>
          <w:szCs w:val="32"/>
          <w:lang w:eastAsia="zh-CN"/>
        </w:rPr>
        <w:t>工作成效：</w:t>
      </w:r>
      <w:r>
        <w:rPr>
          <w:rFonts w:hint="eastAsia" w:ascii="仿宋_GB2312" w:hAnsi="微软雅黑" w:eastAsia="仿宋_GB2312" w:cs="宋体"/>
          <w:kern w:val="2"/>
          <w:sz w:val="32"/>
          <w:szCs w:val="32"/>
          <w:lang w:val="en-US" w:eastAsia="zh-CN" w:bidi="ar-SA"/>
        </w:rPr>
        <w:t>扎实开展干部联企行动、“纾困增效”专项行动，大力实施产业发展“百十亿”工程、新增规模以上工业企业行动，推动工业经济平稳较快发展，以工业“压舱石”稳住经济基本盘。2022年，规模工业总产值同比增长7.72%，规模工业增加值同比增长8.3%，工业投资同比增长24.4%，工业技改投资同比增长35.9%。</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预算编制工作有待细化。</w:t>
      </w:r>
    </w:p>
    <w:p>
      <w:pPr>
        <w:pStyle w:val="9"/>
        <w:keepNext w:val="0"/>
        <w:keepLines w:val="0"/>
        <w:pageBreakBefore w:val="0"/>
        <w:kinsoku/>
        <w:wordWrap/>
        <w:overflowPunct/>
        <w:topLinePunct w:val="0"/>
        <w:bidi w:val="0"/>
        <w:snapToGrid/>
        <w:spacing w:line="560" w:lineRule="exact"/>
        <w:jc w:val="left"/>
        <w:textAlignment w:val="auto"/>
        <w:rPr>
          <w:sz w:val="72"/>
          <w:szCs w:val="7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预算编制的合理性有待进一步提高。因部分工作是年中或年末根据省市相关要求开展，未纳入年初预算，另外还有部分不可预见经费的追加，无法纳入预算，导致预算执行存在偏差。</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财政拨款收入：指本级财政当年拨付的资金。</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sz w:val="30"/>
          <w:szCs w:val="30"/>
        </w:rPr>
        <w:t>机关运行经费：指为保障行政单位（包括参照公务员法管理的事业单位）运行</w:t>
      </w:r>
      <w:r>
        <w:rPr>
          <w:rFonts w:hint="eastAsia" w:ascii="仿宋" w:hAnsi="仿宋" w:eastAsia="仿宋" w:cs="仿宋"/>
          <w:sz w:val="30"/>
          <w:szCs w:val="30"/>
          <w:lang w:eastAsia="zh-CN"/>
        </w:rPr>
        <w:t>，</w:t>
      </w:r>
      <w:r>
        <w:rPr>
          <w:rFonts w:hint="eastAsia" w:ascii="仿宋" w:hAnsi="仿宋" w:eastAsia="仿宋" w:cs="仿宋"/>
          <w:sz w:val="30"/>
          <w:szCs w:val="30"/>
        </w:rPr>
        <w:t>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城乡社区支出：反映政府城乡社区事务的支出。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国有土地使用权出让收入安排的支出：反映用不含计提和划转部分的国有土地使用权出让收入安排的支出。不包括市县级政府当年按规定用土地出让收入向中央和省级政府缴纳新增建设用地土地有偿使用费支出。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国有资本经营预算支出：反映用国有资本经营预算收入安排的支出。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解决历史遗留问题及改革成本支出：反映国有股减持收入等国有资本经营预算补充全国社会保障基金的支出。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工业和信息产业监管：反映工业和信息产业监管方面的支出。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行政运行：反映行政单位（包括实行公务员管理的事业单位）的基本支出。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卫生健康支出，行政事业单位医疗：反映行政事业单位医疗方面的支出。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社会保障和就业支出</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反映政府在社会保障与就业方面的支出。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资源勘探工业信息等支出</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反映用于资源勘探、制造业、建筑业、工业信息等方面支出。</w:t>
      </w:r>
    </w:p>
    <w:p>
      <w:pPr>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仿宋" w:hAnsi="仿宋" w:eastAsia="仿宋" w:cs="仿宋"/>
          <w:color w:val="000000"/>
          <w:kern w:val="0"/>
          <w:sz w:val="30"/>
          <w:szCs w:val="30"/>
        </w:rPr>
      </w:pPr>
    </w:p>
    <w:p>
      <w:pPr>
        <w:pStyle w:val="9"/>
        <w:ind w:firstLine="640" w:firstLineChars="200"/>
        <w:rPr>
          <w:rFonts w:hint="eastAsia" w:cs="黑体" w:asciiTheme="minorEastAsia" w:hAnsiTheme="minorEastAsia" w:eastAsiaTheme="minorEastAsia"/>
          <w:color w:val="000000"/>
          <w:kern w:val="0"/>
          <w:sz w:val="32"/>
          <w:szCs w:val="32"/>
          <w:lang w:val="en-US" w:eastAsia="zh-CN" w:bidi="ar-SA"/>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roma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E59E8"/>
    <w:multiLevelType w:val="singleLevel"/>
    <w:tmpl w:val="B56E59E8"/>
    <w:lvl w:ilvl="0" w:tentative="0">
      <w:start w:val="1"/>
      <w:numFmt w:val="chineseCounting"/>
      <w:suff w:val="nothing"/>
      <w:lvlText w:val="%1、"/>
      <w:lvlJc w:val="left"/>
      <w:pPr>
        <w:ind w:left="0" w:firstLine="420"/>
      </w:pPr>
      <w:rPr>
        <w:rFonts w:hint="eastAsia"/>
      </w:rPr>
    </w:lvl>
  </w:abstractNum>
  <w:abstractNum w:abstractNumId="1">
    <w:nsid w:val="C1567F32"/>
    <w:multiLevelType w:val="singleLevel"/>
    <w:tmpl w:val="C1567F32"/>
    <w:lvl w:ilvl="0" w:tentative="0">
      <w:start w:val="14"/>
      <w:numFmt w:val="decimal"/>
      <w:lvlText w:val="%1."/>
      <w:lvlJc w:val="left"/>
      <w:pPr>
        <w:tabs>
          <w:tab w:val="left" w:pos="312"/>
        </w:tabs>
      </w:pPr>
    </w:lvl>
  </w:abstractNum>
  <w:abstractNum w:abstractNumId="2">
    <w:nsid w:val="028A1273"/>
    <w:multiLevelType w:val="singleLevel"/>
    <w:tmpl w:val="028A1273"/>
    <w:lvl w:ilvl="0" w:tentative="0">
      <w:start w:val="1"/>
      <w:numFmt w:val="chineseCounting"/>
      <w:suff w:val="nothing"/>
      <w:lvlText w:val="（%1）"/>
      <w:lvlJc w:val="left"/>
      <w:pPr>
        <w:ind w:left="0" w:firstLine="420"/>
      </w:pPr>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4787805"/>
    <w:rsid w:val="1A542404"/>
    <w:rsid w:val="3285584A"/>
    <w:rsid w:val="37606185"/>
    <w:rsid w:val="4B3B68BB"/>
    <w:rsid w:val="4C3E5CA5"/>
    <w:rsid w:val="4D29106C"/>
    <w:rsid w:val="4F952A3E"/>
    <w:rsid w:val="530D1306"/>
    <w:rsid w:val="5777D4F5"/>
    <w:rsid w:val="5FC6BB1E"/>
    <w:rsid w:val="5FF720F1"/>
    <w:rsid w:val="62950B12"/>
    <w:rsid w:val="65DA61CA"/>
    <w:rsid w:val="681A142E"/>
    <w:rsid w:val="6FF904C8"/>
    <w:rsid w:val="737D59BA"/>
    <w:rsid w:val="76F35B1E"/>
    <w:rsid w:val="77C37683"/>
    <w:rsid w:val="78684392"/>
    <w:rsid w:val="79816481"/>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 w:type="paragraph" w:customStyle="1" w:styleId="15">
    <w:name w:val="列出段落2"/>
    <w:basedOn w:val="1"/>
    <w:qFormat/>
    <w:uiPriority w:val="99"/>
    <w:pPr>
      <w:ind w:firstLine="420" w:firstLineChars="200"/>
    </w:pPr>
    <w:rPr>
      <w:rFonts w:ascii="DengXian" w:hAnsi="DengXian" w:eastAsia="DengXian" w:cs="DengXi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5944</Words>
  <Characters>6461</Characters>
  <Lines>63</Lines>
  <Paragraphs>18</Paragraphs>
  <TotalTime>62</TotalTime>
  <ScaleCrop>false</ScaleCrop>
  <LinksUpToDate>false</LinksUpToDate>
  <CharactersWithSpaces>6489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2023-09-14T09:38:00Z</cp:lastPrinted>
  <dcterms:modified xsi:type="dcterms:W3CDTF">2023-09-19T02:23:26Z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