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中共益阳市赫山区</w:t>
      </w: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区委机构编制委员会办公室部门决算</w:t>
      </w:r>
    </w:p>
    <w:p>
      <w:pPr>
        <w:pStyle w:val="10"/>
        <w:jc w:val="center"/>
        <w:rPr>
          <w:rFonts w:hint="eastAsia" w:ascii="方正小标宋_GBK" w:hAnsi="方正小标宋_GBK" w:eastAsia="方正小标宋_GBK" w:cs="方正小标宋_GBK"/>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both"/>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中共益阳市赫山区区委机构编制委员会办公室概况</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 xml:space="preserve">第一部分 </w:t>
      </w:r>
    </w:p>
    <w:p>
      <w:pPr>
        <w:pStyle w:val="10"/>
        <w:jc w:val="center"/>
        <w:rPr>
          <w:rFonts w:hint="eastAsia" w:ascii="方正小标宋_GBK" w:hAnsi="方正小标宋_GBK" w:eastAsia="方正小标宋_GBK" w:cs="方正小标宋_GBK"/>
          <w:sz w:val="52"/>
          <w:szCs w:val="52"/>
        </w:rPr>
      </w:pPr>
    </w:p>
    <w:p>
      <w:pPr>
        <w:pStyle w:val="10"/>
        <w:jc w:val="center"/>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中共益阳市赫山区</w:t>
      </w:r>
    </w:p>
    <w:p>
      <w:pPr>
        <w:pStyle w:val="10"/>
        <w:jc w:val="center"/>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区委机构编制委员会办公室概况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numPr>
          <w:ilvl w:val="0"/>
          <w:numId w:val="1"/>
        </w:numPr>
        <w:ind w:firstLineChars="0"/>
        <w:jc w:val="both"/>
        <w:rPr>
          <w:rFonts w:hint="eastAsia" w:ascii="黑体" w:hAnsi="黑体" w:eastAsia="黑体" w:cs="黑体"/>
          <w:b w:val="0"/>
          <w:bCs w:val="0"/>
          <w:sz w:val="32"/>
          <w:szCs w:val="32"/>
        </w:rPr>
      </w:pPr>
      <w:r>
        <w:rPr>
          <w:rFonts w:hint="eastAsia" w:ascii="黑体" w:hAnsi="黑体" w:eastAsia="黑体" w:cs="黑体"/>
          <w:b w:val="0"/>
          <w:bCs w:val="0"/>
          <w:sz w:val="32"/>
          <w:szCs w:val="32"/>
        </w:rPr>
        <w:t>部门职责</w:t>
      </w:r>
    </w:p>
    <w:p>
      <w:pPr>
        <w:widowControl/>
        <w:spacing w:line="600" w:lineRule="exact"/>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（一）贯彻执行党和国家行政管理体制改革、机构改革和机构</w:t>
      </w:r>
    </w:p>
    <w:p>
      <w:pPr>
        <w:widowControl/>
        <w:spacing w:line="600" w:lineRule="exact"/>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编制管理的方针政策和法律法规；起草相关规范性文件；研究行政</w:t>
      </w:r>
    </w:p>
    <w:p>
      <w:pPr>
        <w:widowControl/>
        <w:spacing w:line="600" w:lineRule="exact"/>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管理体制改革有关问题并提出政策建议；拟订全区机构编制管理政</w:t>
      </w:r>
    </w:p>
    <w:p>
      <w:pPr>
        <w:widowControl/>
        <w:spacing w:line="600" w:lineRule="exact"/>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策、制度并组织实施。</w:t>
      </w:r>
    </w:p>
    <w:p>
      <w:pPr>
        <w:widowControl/>
        <w:spacing w:line="600" w:lineRule="exact"/>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（二）负责全区党政机关，人大、政协、法院、检察院机关，</w:t>
      </w:r>
    </w:p>
    <w:p>
      <w:pPr>
        <w:widowControl/>
        <w:spacing w:line="600" w:lineRule="exact"/>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民主党派、人民团体机关机构改革和机构编制管理有关工作；负责</w:t>
      </w:r>
    </w:p>
    <w:p>
      <w:pPr>
        <w:widowControl/>
        <w:spacing w:line="600" w:lineRule="exact"/>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全区行政管理体制改革、机构改革和机构编制管理工作。</w:t>
      </w:r>
    </w:p>
    <w:p>
      <w:pPr>
        <w:widowControl/>
        <w:spacing w:line="600" w:lineRule="exact"/>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（三）负责全区各级机关和事业单位机构编制总量控制管理；</w:t>
      </w:r>
    </w:p>
    <w:p>
      <w:pPr>
        <w:widowControl/>
        <w:spacing w:line="600" w:lineRule="exact"/>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拟订全区行政编制分配、调整方案和事业单位机构编制总量控制方</w:t>
      </w:r>
    </w:p>
    <w:p>
      <w:pPr>
        <w:widowControl/>
        <w:spacing w:line="600" w:lineRule="exact"/>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案；负责机构编制实名制管理；会同财政、人力资源社会保障部门</w:t>
      </w:r>
    </w:p>
    <w:p>
      <w:pPr>
        <w:widowControl/>
        <w:spacing w:line="600" w:lineRule="exact"/>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健全完善机构编制、人员与财政预算相结合管理机制；强化人员编</w:t>
      </w:r>
    </w:p>
    <w:p>
      <w:pPr>
        <w:widowControl/>
        <w:spacing w:line="600" w:lineRule="exact"/>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制结构管理、建立编制使用报批制度，拟定和实施机关事业单位编</w:t>
      </w:r>
    </w:p>
    <w:p>
      <w:pPr>
        <w:widowControl/>
        <w:spacing w:line="600" w:lineRule="exact"/>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制使用许可管理办法。</w:t>
      </w:r>
    </w:p>
    <w:p>
      <w:pPr>
        <w:widowControl/>
        <w:spacing w:line="600" w:lineRule="exact"/>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（四）拟订区、镇街道机关机构改革方案，经批准后组织实施；</w:t>
      </w:r>
    </w:p>
    <w:p>
      <w:pPr>
        <w:widowControl/>
        <w:spacing w:line="600" w:lineRule="exact"/>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审核区直机关主要职责、内设机构和人员编制规定草案。</w:t>
      </w:r>
    </w:p>
    <w:p>
      <w:pPr>
        <w:widowControl/>
        <w:spacing w:line="600" w:lineRule="exact"/>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（五）审核区直机关机构设置、职责配置、人员编制、领导职</w:t>
      </w:r>
    </w:p>
    <w:p>
      <w:pPr>
        <w:widowControl/>
        <w:spacing w:line="600" w:lineRule="exact"/>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数等事项；负责议事协调机构设立或调整的审核工作；协调区直机</w:t>
      </w:r>
    </w:p>
    <w:p>
      <w:pPr>
        <w:widowControl/>
        <w:spacing w:line="600" w:lineRule="exact"/>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关各部门之间的职责分工。</w:t>
      </w:r>
    </w:p>
    <w:p>
      <w:pPr>
        <w:widowControl/>
        <w:spacing w:line="600" w:lineRule="exact"/>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（六）推进全区事业单位管理体制改革，拟订事业单位分类改</w:t>
      </w:r>
    </w:p>
    <w:p>
      <w:pPr>
        <w:widowControl/>
        <w:spacing w:line="600" w:lineRule="exact"/>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革政策并组织实施；审核事业单位分类改革方案；审核区直属事业</w:t>
      </w:r>
    </w:p>
    <w:p>
      <w:pPr>
        <w:widowControl/>
        <w:spacing w:line="600" w:lineRule="exact"/>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单位和区级机关（单位）所属事业单位机构设置、职责配置、人员</w:t>
      </w:r>
    </w:p>
    <w:p>
      <w:pPr>
        <w:widowControl/>
        <w:spacing w:line="600" w:lineRule="exact"/>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编制、领导职数等事项；审核事业单位设立、调整及人员编制增加</w:t>
      </w:r>
    </w:p>
    <w:p>
      <w:pPr>
        <w:widowControl/>
        <w:spacing w:line="600" w:lineRule="exact"/>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事项。</w:t>
      </w:r>
    </w:p>
    <w:p>
      <w:pPr>
        <w:widowControl/>
        <w:spacing w:line="600" w:lineRule="exact"/>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（七）监督检查全区机构编制管理法律法规、政策制度的执行</w:t>
      </w:r>
    </w:p>
    <w:p>
      <w:pPr>
        <w:widowControl/>
        <w:spacing w:line="600" w:lineRule="exact"/>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情况和机构改革方案，以及部门“三定”规定的落实情况；建立健</w:t>
      </w:r>
    </w:p>
    <w:p>
      <w:pPr>
        <w:widowControl/>
        <w:spacing w:line="600" w:lineRule="exact"/>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全机构编制工作考核评估制度；负责受理违反机构编制管理规定问</w:t>
      </w:r>
    </w:p>
    <w:p>
      <w:pPr>
        <w:widowControl/>
        <w:spacing w:line="600" w:lineRule="exact"/>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题的举报，会同有关部门查处机构编制违法违纪行为。</w:t>
      </w:r>
    </w:p>
    <w:p>
      <w:pPr>
        <w:widowControl/>
        <w:spacing w:line="600" w:lineRule="exact"/>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（八）制定全区事业单位登记管理实施办法并组织实施，依法</w:t>
      </w:r>
    </w:p>
    <w:p>
      <w:pPr>
        <w:widowControl/>
        <w:spacing w:line="600" w:lineRule="exact"/>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对全区事业单位进行登记管理；结合事业单位年度报告，对全区事</w:t>
      </w:r>
    </w:p>
    <w:p>
      <w:pPr>
        <w:widowControl/>
        <w:spacing w:line="600" w:lineRule="exact"/>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业单位运营状况进行考核，负责全区中文域名注册管理及网站挂标</w:t>
      </w:r>
    </w:p>
    <w:p>
      <w:pPr>
        <w:widowControl/>
        <w:spacing w:line="600" w:lineRule="exact"/>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工作。</w:t>
      </w:r>
    </w:p>
    <w:p>
      <w:pPr>
        <w:widowControl/>
        <w:spacing w:line="600" w:lineRule="exact"/>
        <w:jc w:val="both"/>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二、机构设置及决算单位构成</w:t>
      </w:r>
    </w:p>
    <w:p>
      <w:pPr>
        <w:widowControl/>
        <w:spacing w:line="600" w:lineRule="exact"/>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（一）机构设置情况</w:t>
      </w:r>
    </w:p>
    <w:p>
      <w:pPr>
        <w:widowControl/>
        <w:spacing w:line="600" w:lineRule="exact"/>
        <w:ind w:firstLine="640" w:firstLineChars="2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益阳市赫山区委机构编制委员会办公室内设机构包括：办公室、</w:t>
      </w:r>
    </w:p>
    <w:p>
      <w:pPr>
        <w:widowControl/>
        <w:spacing w:line="600" w:lineRule="exact"/>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事业单位登记股、机构编制管理股、实名制管理股、检查监督股。</w:t>
      </w:r>
    </w:p>
    <w:p>
      <w:pPr>
        <w:widowControl/>
        <w:spacing w:line="600" w:lineRule="exact"/>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（二）决算单位构成</w:t>
      </w:r>
    </w:p>
    <w:p>
      <w:pPr>
        <w:widowControl/>
        <w:spacing w:line="600" w:lineRule="exact"/>
        <w:ind w:firstLine="640" w:firstLineChars="2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益阳市赫山区委机构编制委员会办公室 202</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年部门决算汇总公</w:t>
      </w:r>
    </w:p>
    <w:p>
      <w:pPr>
        <w:widowControl/>
        <w:spacing w:line="600" w:lineRule="exact"/>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开单位构成包括：益阳市赫山区委机构编制委员会办公室本级。</w:t>
      </w:r>
    </w:p>
    <w:p>
      <w:pPr>
        <w:jc w:val="both"/>
        <w:rPr>
          <w:rFonts w:ascii="黑体" w:hAnsi="黑体" w:eastAsia="黑体"/>
          <w:sz w:val="28"/>
          <w:szCs w:val="28"/>
        </w:rPr>
      </w:pPr>
    </w:p>
    <w:p>
      <w:pPr>
        <w:jc w:val="both"/>
        <w:rPr>
          <w:rFonts w:ascii="黑体" w:hAnsi="黑体" w:eastAsia="黑体"/>
          <w:sz w:val="28"/>
          <w:szCs w:val="28"/>
        </w:rPr>
      </w:pPr>
    </w:p>
    <w:p>
      <w:pPr>
        <w:jc w:val="both"/>
        <w:rPr>
          <w:rFonts w:ascii="黑体" w:hAnsi="黑体" w:eastAsia="黑体"/>
          <w:sz w:val="28"/>
          <w:szCs w:val="28"/>
        </w:rPr>
      </w:pPr>
    </w:p>
    <w:p>
      <w:pPr>
        <w:jc w:val="both"/>
        <w:rPr>
          <w:rFonts w:ascii="黑体" w:hAnsi="黑体" w:eastAsia="黑体"/>
          <w:sz w:val="28"/>
          <w:szCs w:val="28"/>
        </w:rPr>
      </w:pPr>
    </w:p>
    <w:p>
      <w:pPr>
        <w:jc w:val="both"/>
        <w:rPr>
          <w:rFonts w:ascii="黑体" w:hAnsi="黑体" w:eastAsia="黑体"/>
          <w:sz w:val="28"/>
          <w:szCs w:val="28"/>
        </w:rPr>
      </w:pPr>
    </w:p>
    <w:p>
      <w:pPr>
        <w:jc w:val="both"/>
        <w:rPr>
          <w:rFonts w:ascii="黑体" w:hAnsi="黑体" w:eastAsia="黑体"/>
          <w:sz w:val="28"/>
          <w:szCs w:val="28"/>
        </w:rPr>
      </w:pPr>
    </w:p>
    <w:p>
      <w:pPr>
        <w:jc w:val="both"/>
        <w:rPr>
          <w:rFonts w:ascii="黑体" w:hAnsi="黑体" w:eastAsia="黑体"/>
          <w:sz w:val="28"/>
          <w:szCs w:val="28"/>
        </w:rPr>
      </w:pPr>
    </w:p>
    <w:p>
      <w:pPr>
        <w:jc w:val="both"/>
        <w:rPr>
          <w:rFonts w:ascii="黑体" w:hAnsi="黑体" w:eastAsia="黑体"/>
          <w:sz w:val="28"/>
          <w:szCs w:val="28"/>
        </w:rPr>
      </w:pPr>
    </w:p>
    <w:p>
      <w:pPr>
        <w:jc w:val="both"/>
        <w:rPr>
          <w:rFonts w:ascii="黑体" w:hAnsi="黑体" w:eastAsia="黑体"/>
          <w:sz w:val="28"/>
          <w:szCs w:val="28"/>
        </w:rPr>
      </w:pPr>
    </w:p>
    <w:p>
      <w:pPr>
        <w:jc w:val="both"/>
        <w:rPr>
          <w:rFonts w:ascii="黑体" w:hAnsi="黑体" w:eastAsia="黑体"/>
          <w:sz w:val="28"/>
          <w:szCs w:val="28"/>
        </w:rPr>
      </w:pPr>
    </w:p>
    <w:p>
      <w:pPr>
        <w:jc w:val="both"/>
        <w:rPr>
          <w:rFonts w:ascii="黑体" w:hAnsi="黑体" w:eastAsia="黑体"/>
          <w:sz w:val="28"/>
          <w:szCs w:val="28"/>
        </w:rPr>
      </w:pPr>
    </w:p>
    <w:p>
      <w:pPr>
        <w:jc w:val="both"/>
        <w:rPr>
          <w:rFonts w:ascii="黑体" w:hAnsi="黑体" w:eastAsia="黑体"/>
          <w:sz w:val="28"/>
          <w:szCs w:val="28"/>
        </w:rPr>
      </w:pPr>
    </w:p>
    <w:p>
      <w:pPr>
        <w:jc w:val="both"/>
        <w:rPr>
          <w:sz w:val="72"/>
          <w:szCs w:val="72"/>
        </w:rPr>
      </w:pPr>
    </w:p>
    <w:p>
      <w:pPr>
        <w:jc w:val="both"/>
        <w:rPr>
          <w:sz w:val="72"/>
          <w:szCs w:val="72"/>
        </w:rPr>
      </w:pPr>
    </w:p>
    <w:p>
      <w:pPr>
        <w:jc w:val="both"/>
        <w:rPr>
          <w:sz w:val="72"/>
          <w:szCs w:val="72"/>
        </w:rPr>
      </w:pPr>
    </w:p>
    <w:p>
      <w:pPr>
        <w:jc w:val="both"/>
        <w:rPr>
          <w:sz w:val="72"/>
          <w:szCs w:val="72"/>
        </w:rPr>
      </w:pPr>
    </w:p>
    <w:p>
      <w:pPr>
        <w:pStyle w:val="10"/>
        <w:jc w:val="both"/>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both"/>
        <w:rPr>
          <w:sz w:val="72"/>
          <w:szCs w:val="72"/>
        </w:rPr>
      </w:pPr>
    </w:p>
    <w:p>
      <w:pPr>
        <w:jc w:val="both"/>
        <w:rPr>
          <w:sz w:val="72"/>
          <w:szCs w:val="72"/>
        </w:rPr>
      </w:pPr>
    </w:p>
    <w:p>
      <w:pPr>
        <w:jc w:val="both"/>
        <w:rPr>
          <w:sz w:val="72"/>
          <w:szCs w:val="72"/>
        </w:rPr>
      </w:pPr>
    </w:p>
    <w:p>
      <w:pPr>
        <w:jc w:val="both"/>
        <w:rPr>
          <w:sz w:val="72"/>
          <w:szCs w:val="72"/>
        </w:rPr>
      </w:pPr>
    </w:p>
    <w:p>
      <w:pPr>
        <w:jc w:val="both"/>
        <w:rPr>
          <w:sz w:val="72"/>
          <w:szCs w:val="72"/>
        </w:rPr>
      </w:pPr>
    </w:p>
    <w:p>
      <w:pPr>
        <w:jc w:val="both"/>
      </w:pPr>
      <w:r>
        <w:drawing>
          <wp:inline distT="0" distB="0" distL="114300" distR="114300">
            <wp:extent cx="6645275" cy="5243830"/>
            <wp:effectExtent l="0" t="0" r="317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645275" cy="5243830"/>
                    </a:xfrm>
                    <a:prstGeom prst="rect">
                      <a:avLst/>
                    </a:prstGeom>
                    <a:noFill/>
                    <a:ln>
                      <a:noFill/>
                    </a:ln>
                  </pic:spPr>
                </pic:pic>
              </a:graphicData>
            </a:graphic>
          </wp:inline>
        </w:drawing>
      </w:r>
    </w:p>
    <w:p>
      <w:pPr>
        <w:pStyle w:val="2"/>
      </w:pPr>
      <w:r>
        <w:drawing>
          <wp:inline distT="0" distB="0" distL="114300" distR="114300">
            <wp:extent cx="6636385" cy="2730500"/>
            <wp:effectExtent l="0" t="0" r="12065"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6636385" cy="2730500"/>
                    </a:xfrm>
                    <a:prstGeom prst="rect">
                      <a:avLst/>
                    </a:prstGeom>
                    <a:noFill/>
                    <a:ln>
                      <a:noFill/>
                    </a:ln>
                  </pic:spPr>
                </pic:pic>
              </a:graphicData>
            </a:graphic>
          </wp:inline>
        </w:drawing>
      </w:r>
    </w:p>
    <w:p>
      <w:pPr>
        <w:pStyle w:val="2"/>
      </w:pPr>
      <w:r>
        <w:drawing>
          <wp:inline distT="0" distB="0" distL="114300" distR="114300">
            <wp:extent cx="6644640" cy="3046730"/>
            <wp:effectExtent l="0" t="0" r="381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6644640" cy="3046730"/>
                    </a:xfrm>
                    <a:prstGeom prst="rect">
                      <a:avLst/>
                    </a:prstGeom>
                    <a:noFill/>
                    <a:ln>
                      <a:noFill/>
                    </a:ln>
                  </pic:spPr>
                </pic:pic>
              </a:graphicData>
            </a:graphic>
          </wp:inline>
        </w:drawing>
      </w:r>
    </w:p>
    <w:p>
      <w:pPr>
        <w:pStyle w:val="2"/>
      </w:pPr>
      <w:r>
        <w:drawing>
          <wp:inline distT="0" distB="0" distL="114300" distR="114300">
            <wp:extent cx="6642735" cy="4806315"/>
            <wp:effectExtent l="0" t="0" r="5715" b="133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6642735" cy="4806315"/>
                    </a:xfrm>
                    <a:prstGeom prst="rect">
                      <a:avLst/>
                    </a:prstGeom>
                    <a:noFill/>
                    <a:ln>
                      <a:noFill/>
                    </a:ln>
                  </pic:spPr>
                </pic:pic>
              </a:graphicData>
            </a:graphic>
          </wp:inline>
        </w:drawing>
      </w:r>
    </w:p>
    <w:p>
      <w:pPr>
        <w:pStyle w:val="2"/>
      </w:pPr>
      <w:r>
        <w:drawing>
          <wp:inline distT="0" distB="0" distL="114300" distR="114300">
            <wp:extent cx="6640830" cy="3742690"/>
            <wp:effectExtent l="0" t="0" r="7620" b="1016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6640830" cy="3742690"/>
                    </a:xfrm>
                    <a:prstGeom prst="rect">
                      <a:avLst/>
                    </a:prstGeom>
                    <a:noFill/>
                    <a:ln>
                      <a:noFill/>
                    </a:ln>
                  </pic:spPr>
                </pic:pic>
              </a:graphicData>
            </a:graphic>
          </wp:inline>
        </w:drawing>
      </w:r>
    </w:p>
    <w:p>
      <w:pPr>
        <w:pStyle w:val="2"/>
      </w:pPr>
      <w:r>
        <w:drawing>
          <wp:inline distT="0" distB="0" distL="114300" distR="114300">
            <wp:extent cx="6639560" cy="4467225"/>
            <wp:effectExtent l="0" t="0" r="889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6639560" cy="4467225"/>
                    </a:xfrm>
                    <a:prstGeom prst="rect">
                      <a:avLst/>
                    </a:prstGeom>
                    <a:noFill/>
                    <a:ln>
                      <a:noFill/>
                    </a:ln>
                  </pic:spPr>
                </pic:pic>
              </a:graphicData>
            </a:graphic>
          </wp:inline>
        </w:drawing>
      </w:r>
    </w:p>
    <w:p>
      <w:pPr>
        <w:pStyle w:val="2"/>
      </w:pPr>
      <w:r>
        <w:drawing>
          <wp:inline distT="0" distB="0" distL="114300" distR="114300">
            <wp:extent cx="6645275" cy="1998345"/>
            <wp:effectExtent l="0" t="0" r="3175"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6645275" cy="1998345"/>
                    </a:xfrm>
                    <a:prstGeom prst="rect">
                      <a:avLst/>
                    </a:prstGeom>
                    <a:noFill/>
                    <a:ln>
                      <a:noFill/>
                    </a:ln>
                  </pic:spPr>
                </pic:pic>
              </a:graphicData>
            </a:graphic>
          </wp:inline>
        </w:drawing>
      </w:r>
    </w:p>
    <w:p>
      <w:pPr>
        <w:pStyle w:val="2"/>
        <w:rPr>
          <w:rFonts w:hint="eastAsia" w:eastAsiaTheme="minorEastAsia"/>
          <w:lang w:eastAsia="zh-CN"/>
        </w:rPr>
      </w:pPr>
      <w:r>
        <w:rPr>
          <w:rFonts w:hint="eastAsia"/>
          <w:lang w:eastAsia="zh-CN"/>
        </w:rPr>
        <w:t>本年本单位无此业务发生，本表无数据。</w:t>
      </w:r>
    </w:p>
    <w:p>
      <w:pPr>
        <w:pStyle w:val="2"/>
      </w:pPr>
    </w:p>
    <w:p>
      <w:pPr>
        <w:pStyle w:val="2"/>
      </w:pPr>
      <w:r>
        <w:drawing>
          <wp:inline distT="0" distB="0" distL="114300" distR="114300">
            <wp:extent cx="6334125" cy="28670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6334125" cy="2867025"/>
                    </a:xfrm>
                    <a:prstGeom prst="rect">
                      <a:avLst/>
                    </a:prstGeom>
                    <a:noFill/>
                    <a:ln>
                      <a:noFill/>
                    </a:ln>
                  </pic:spPr>
                </pic:pic>
              </a:graphicData>
            </a:graphic>
          </wp:inline>
        </w:drawing>
      </w:r>
    </w:p>
    <w:p>
      <w:pPr>
        <w:pStyle w:val="2"/>
        <w:rPr>
          <w:rFonts w:hint="eastAsia" w:eastAsiaTheme="minorEastAsia"/>
          <w:lang w:eastAsia="zh-CN"/>
        </w:rPr>
      </w:pPr>
      <w:r>
        <w:rPr>
          <w:rFonts w:hint="eastAsia"/>
          <w:lang w:eastAsia="zh-CN"/>
        </w:rPr>
        <w:t>本年本单位无此业务发生，本表无数据。</w:t>
      </w:r>
    </w:p>
    <w:p>
      <w:pPr>
        <w:pStyle w:val="2"/>
      </w:pPr>
      <w:bookmarkStart w:id="0" w:name="_GoBack"/>
      <w:bookmarkEnd w:id="0"/>
    </w:p>
    <w:p>
      <w:pPr>
        <w:pStyle w:val="2"/>
      </w:pPr>
    </w:p>
    <w:p>
      <w:pPr>
        <w:pStyle w:val="2"/>
      </w:pPr>
      <w:r>
        <w:drawing>
          <wp:inline distT="0" distB="0" distL="114300" distR="114300">
            <wp:extent cx="6645910" cy="1130300"/>
            <wp:effectExtent l="0" t="0" r="2540" b="1270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6645910" cy="1130300"/>
                    </a:xfrm>
                    <a:prstGeom prst="rect">
                      <a:avLst/>
                    </a:prstGeom>
                    <a:noFill/>
                    <a:ln>
                      <a:noFill/>
                    </a:ln>
                  </pic:spPr>
                </pic:pic>
              </a:graphicData>
            </a:graphic>
          </wp:inline>
        </w:drawing>
      </w:r>
    </w:p>
    <w:p>
      <w:pPr>
        <w:jc w:val="both"/>
        <w:rPr>
          <w:sz w:val="32"/>
          <w:szCs w:val="32"/>
        </w:rPr>
      </w:pPr>
    </w:p>
    <w:p>
      <w:pPr>
        <w:jc w:val="both"/>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0"/>
        <w:jc w:val="center"/>
        <w:rPr>
          <w:rFonts w:hint="eastAsia" w:ascii="方正小标宋_GBK" w:hAnsi="方正小标宋_GBK" w:eastAsia="方正小标宋_GBK" w:cs="方正小标宋_GBK"/>
          <w:sz w:val="70"/>
          <w:szCs w:val="70"/>
        </w:rPr>
      </w:pPr>
    </w:p>
    <w:p>
      <w:pPr>
        <w:pStyle w:val="10"/>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10"/>
        <w:keepNext w:val="0"/>
        <w:keepLines w:val="0"/>
        <w:pageBreakBefore w:val="0"/>
        <w:widowControl w:val="0"/>
        <w:kinsoku/>
        <w:wordWrap/>
        <w:overflowPunct/>
        <w:topLinePunct w:val="0"/>
        <w:bidi w:val="0"/>
        <w:snapToGrid/>
        <w:spacing w:line="600" w:lineRule="exact"/>
        <w:ind w:firstLine="960" w:firstLineChars="3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 xml:space="preserve"> 年度收入总计 167.</w:t>
      </w:r>
      <w:r>
        <w:rPr>
          <w:rFonts w:hint="eastAsia" w:ascii="Times New Roman" w:hAnsi="Times New Roman" w:eastAsia="仿宋_GB2312"/>
          <w:sz w:val="32"/>
          <w:szCs w:val="32"/>
          <w:lang w:val="en-US" w:eastAsia="zh-CN"/>
        </w:rPr>
        <w:t>96</w:t>
      </w:r>
      <w:r>
        <w:rPr>
          <w:rFonts w:hint="eastAsia" w:ascii="Times New Roman" w:hAnsi="Times New Roman" w:eastAsia="仿宋_GB2312"/>
          <w:sz w:val="32"/>
          <w:szCs w:val="32"/>
        </w:rPr>
        <w:t>万元，与上年相比，</w:t>
      </w:r>
      <w:r>
        <w:rPr>
          <w:rFonts w:hint="eastAsia" w:ascii="Times New Roman" w:hAnsi="Times New Roman" w:eastAsia="仿宋_GB2312"/>
          <w:sz w:val="32"/>
          <w:szCs w:val="32"/>
          <w:lang w:eastAsia="zh-CN"/>
        </w:rPr>
        <w:t>增加</w:t>
      </w:r>
      <w:r>
        <w:rPr>
          <w:rFonts w:hint="eastAsia" w:ascii="Times New Roman" w:hAnsi="Times New Roman" w:eastAsia="仿宋_GB2312"/>
          <w:sz w:val="32"/>
          <w:szCs w:val="32"/>
          <w:lang w:val="en-US" w:eastAsia="zh-CN"/>
        </w:rPr>
        <w:t>11.25</w:t>
      </w:r>
      <w:r>
        <w:rPr>
          <w:rFonts w:hint="eastAsia" w:ascii="Times New Roman" w:hAnsi="Times New Roman" w:eastAsia="仿宋_GB2312"/>
          <w:sz w:val="32"/>
          <w:szCs w:val="32"/>
        </w:rPr>
        <w:t>万元，</w:t>
      </w:r>
    </w:p>
    <w:p>
      <w:pPr>
        <w:pStyle w:val="10"/>
        <w:keepNext w:val="0"/>
        <w:keepLines w:val="0"/>
        <w:pageBreakBefore w:val="0"/>
        <w:widowControl w:val="0"/>
        <w:kinsoku/>
        <w:wordWrap/>
        <w:overflowPunct/>
        <w:topLinePunct w:val="0"/>
        <w:bidi w:val="0"/>
        <w:snapToGrid/>
        <w:spacing w:line="60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eastAsia="zh-CN"/>
        </w:rPr>
        <w:t>增加</w:t>
      </w:r>
      <w:r>
        <w:rPr>
          <w:rFonts w:hint="eastAsia" w:ascii="Times New Roman" w:hAnsi="Times New Roman" w:eastAsia="仿宋_GB2312"/>
          <w:sz w:val="32"/>
          <w:szCs w:val="32"/>
          <w:lang w:val="en-US" w:eastAsia="zh-CN"/>
        </w:rPr>
        <w:t>7.18</w:t>
      </w:r>
      <w:r>
        <w:rPr>
          <w:rFonts w:hint="eastAsia" w:ascii="Times New Roman" w:hAnsi="Times New Roman" w:eastAsia="仿宋_GB2312"/>
          <w:sz w:val="32"/>
          <w:szCs w:val="32"/>
        </w:rPr>
        <w:t xml:space="preserve">%。支出总计 </w:t>
      </w:r>
      <w:r>
        <w:rPr>
          <w:rFonts w:hint="eastAsia" w:ascii="Times New Roman" w:hAnsi="Times New Roman" w:eastAsia="仿宋_GB2312"/>
          <w:sz w:val="32"/>
          <w:szCs w:val="32"/>
          <w:lang w:val="en-US" w:eastAsia="zh-CN"/>
        </w:rPr>
        <w:t>167.96</w:t>
      </w:r>
      <w:r>
        <w:rPr>
          <w:rFonts w:hint="eastAsia" w:ascii="Times New Roman" w:hAnsi="Times New Roman" w:eastAsia="仿宋_GB2312"/>
          <w:sz w:val="32"/>
          <w:szCs w:val="32"/>
        </w:rPr>
        <w:t>万元，与上年相比，</w:t>
      </w:r>
      <w:r>
        <w:rPr>
          <w:rFonts w:hint="eastAsia" w:ascii="Times New Roman" w:hAnsi="Times New Roman" w:eastAsia="仿宋_GB2312"/>
          <w:sz w:val="32"/>
          <w:szCs w:val="32"/>
          <w:lang w:eastAsia="zh-CN"/>
        </w:rPr>
        <w:t>增加</w:t>
      </w:r>
      <w:r>
        <w:rPr>
          <w:rFonts w:hint="eastAsia" w:ascii="Times New Roman" w:hAnsi="Times New Roman" w:eastAsia="仿宋_GB2312"/>
          <w:sz w:val="32"/>
          <w:szCs w:val="32"/>
        </w:rPr>
        <w:t xml:space="preserve"> </w:t>
      </w:r>
      <w:r>
        <w:rPr>
          <w:rFonts w:hint="eastAsia" w:ascii="Times New Roman" w:hAnsi="Times New Roman" w:eastAsia="仿宋_GB2312"/>
          <w:sz w:val="32"/>
          <w:szCs w:val="32"/>
          <w:lang w:val="en-US" w:eastAsia="zh-CN"/>
        </w:rPr>
        <w:t>11.25</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增加</w:t>
      </w:r>
      <w:r>
        <w:rPr>
          <w:rFonts w:hint="eastAsia" w:ascii="Times New Roman" w:hAnsi="Times New Roman" w:eastAsia="仿宋_GB2312"/>
          <w:sz w:val="32"/>
          <w:szCs w:val="32"/>
          <w:lang w:val="en-US" w:eastAsia="zh-CN"/>
        </w:rPr>
        <w:t>7.18</w:t>
      </w:r>
      <w:r>
        <w:rPr>
          <w:rFonts w:hint="eastAsia" w:ascii="Times New Roman" w:hAnsi="Times New Roman" w:eastAsia="仿宋_GB2312"/>
          <w:sz w:val="32"/>
          <w:szCs w:val="32"/>
        </w:rPr>
        <w:t>%。收入和支出减少主要是因为</w:t>
      </w:r>
      <w:r>
        <w:rPr>
          <w:rFonts w:hint="eastAsia" w:ascii="Times New Roman" w:hAnsi="Times New Roman" w:eastAsia="仿宋_GB2312"/>
          <w:sz w:val="32"/>
          <w:szCs w:val="32"/>
          <w:lang w:eastAsia="zh-CN"/>
        </w:rPr>
        <w:t>新调入工作人员，增加人员经费</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w:t>
      </w:r>
      <w:r>
        <w:rPr>
          <w:rFonts w:hint="eastAsia" w:ascii="Times New Roman" w:hAnsi="Times New Roman" w:eastAsia="仿宋_GB2312"/>
          <w:sz w:val="32"/>
          <w:szCs w:val="32"/>
          <w:lang w:val="en-US" w:eastAsia="zh-CN"/>
        </w:rPr>
        <w:t>167.96</w:t>
      </w:r>
      <w:r>
        <w:rPr>
          <w:rFonts w:hint="eastAsia" w:ascii="Times New Roman" w:hAnsi="Times New Roman" w:eastAsia="仿宋_GB2312"/>
          <w:sz w:val="32"/>
          <w:szCs w:val="32"/>
        </w:rPr>
        <w:t>万元，其中：财政拨款收入</w:t>
      </w:r>
      <w:r>
        <w:rPr>
          <w:rFonts w:hint="eastAsia" w:ascii="Times New Roman" w:hAnsi="Times New Roman" w:eastAsia="仿宋_GB2312"/>
          <w:sz w:val="32"/>
          <w:szCs w:val="32"/>
          <w:lang w:val="en-US" w:eastAsia="zh-CN"/>
        </w:rPr>
        <w:t>167.61</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99.79</w:t>
      </w:r>
      <w:r>
        <w:rPr>
          <w:rFonts w:hint="eastAsia" w:ascii="Times New Roman" w:hAnsi="Times New Roman" w:eastAsia="仿宋_GB2312"/>
          <w:sz w:val="32"/>
          <w:szCs w:val="32"/>
        </w:rPr>
        <w:t>%；其他收入</w:t>
      </w:r>
      <w:r>
        <w:rPr>
          <w:rFonts w:hint="eastAsia" w:ascii="Times New Roman" w:hAnsi="Times New Roman" w:eastAsia="仿宋_GB2312"/>
          <w:sz w:val="32"/>
          <w:szCs w:val="32"/>
          <w:lang w:val="en-US" w:eastAsia="zh-CN"/>
        </w:rPr>
        <w:t>0.35</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0.21</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w:t>
      </w:r>
      <w:r>
        <w:rPr>
          <w:rFonts w:hint="eastAsia" w:ascii="Times New Roman" w:hAnsi="Times New Roman" w:eastAsia="仿宋_GB2312"/>
          <w:sz w:val="32"/>
          <w:szCs w:val="32"/>
          <w:lang w:val="en-US" w:eastAsia="zh-CN"/>
        </w:rPr>
        <w:t>167.96</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167.96</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10"/>
        <w:keepNext w:val="0"/>
        <w:keepLines w:val="0"/>
        <w:pageBreakBefore w:val="0"/>
        <w:widowControl w:val="0"/>
        <w:kinsoku/>
        <w:wordWrap/>
        <w:overflowPunct/>
        <w:topLinePunct w:val="0"/>
        <w:bidi w:val="0"/>
        <w:snapToGrid/>
        <w:spacing w:line="60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 xml:space="preserve">年度财政拨款收入总计 </w:t>
      </w:r>
      <w:r>
        <w:rPr>
          <w:rFonts w:hint="eastAsia" w:ascii="Times New Roman" w:hAnsi="Times New Roman" w:eastAsia="仿宋_GB2312"/>
          <w:sz w:val="32"/>
          <w:szCs w:val="32"/>
          <w:lang w:val="en-US" w:eastAsia="zh-CN"/>
        </w:rPr>
        <w:t>167.61</w:t>
      </w:r>
      <w:r>
        <w:rPr>
          <w:rFonts w:hint="eastAsia" w:ascii="Times New Roman" w:hAnsi="Times New Roman" w:eastAsia="仿宋_GB2312"/>
          <w:sz w:val="32"/>
          <w:szCs w:val="32"/>
        </w:rPr>
        <w:t>万元，与上年相比，增加</w:t>
      </w:r>
      <w:r>
        <w:rPr>
          <w:rFonts w:hint="eastAsia" w:ascii="Times New Roman" w:hAnsi="Times New Roman" w:eastAsia="仿宋_GB2312"/>
          <w:sz w:val="32"/>
          <w:szCs w:val="32"/>
          <w:lang w:val="en-US" w:eastAsia="zh-CN"/>
        </w:rPr>
        <w:t>13.38</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8.68</w:t>
      </w:r>
      <w:r>
        <w:rPr>
          <w:rFonts w:hint="eastAsia" w:ascii="Times New Roman" w:hAnsi="Times New Roman" w:eastAsia="仿宋_GB2312"/>
          <w:sz w:val="32"/>
          <w:szCs w:val="32"/>
        </w:rPr>
        <w:t xml:space="preserve">%。财政拨款支出总计 </w:t>
      </w:r>
      <w:r>
        <w:rPr>
          <w:rFonts w:hint="eastAsia" w:ascii="Times New Roman" w:hAnsi="Times New Roman" w:eastAsia="仿宋_GB2312"/>
          <w:sz w:val="32"/>
          <w:szCs w:val="32"/>
          <w:lang w:val="en-US" w:eastAsia="zh-CN"/>
        </w:rPr>
        <w:t>167.61</w:t>
      </w:r>
      <w:r>
        <w:rPr>
          <w:rFonts w:hint="eastAsia" w:ascii="Times New Roman" w:hAnsi="Times New Roman" w:eastAsia="仿宋_GB2312"/>
          <w:sz w:val="32"/>
          <w:szCs w:val="32"/>
        </w:rPr>
        <w:t xml:space="preserve"> 万元，与上年相比，增加</w:t>
      </w:r>
      <w:r>
        <w:rPr>
          <w:rFonts w:hint="eastAsia" w:ascii="Times New Roman" w:hAnsi="Times New Roman" w:eastAsia="仿宋_GB2312"/>
          <w:sz w:val="32"/>
          <w:szCs w:val="32"/>
          <w:lang w:val="en-US" w:eastAsia="zh-CN"/>
        </w:rPr>
        <w:t>13.38</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8.68</w:t>
      </w:r>
      <w:r>
        <w:rPr>
          <w:rFonts w:hint="eastAsia" w:ascii="Times New Roman" w:hAnsi="Times New Roman" w:eastAsia="仿宋_GB2312"/>
          <w:sz w:val="32"/>
          <w:szCs w:val="32"/>
        </w:rPr>
        <w:t>%。财政拨款收入和支出减少主要是</w:t>
      </w:r>
      <w:r>
        <w:rPr>
          <w:rFonts w:hint="eastAsia" w:ascii="Times New Roman" w:hAnsi="Times New Roman" w:eastAsia="仿宋_GB2312"/>
          <w:sz w:val="32"/>
          <w:szCs w:val="32"/>
          <w:lang w:eastAsia="zh-CN"/>
        </w:rPr>
        <w:t>新调入工作人员，增加人员经费</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167.61</w:t>
      </w:r>
      <w:r>
        <w:rPr>
          <w:rFonts w:hint="eastAsia" w:ascii="Times New Roman" w:hAnsi="Times New Roman" w:eastAsia="仿宋_GB2312"/>
          <w:sz w:val="32"/>
          <w:szCs w:val="32"/>
        </w:rPr>
        <w:t>万元，占本年支出合计的</w:t>
      </w:r>
      <w:r>
        <w:rPr>
          <w:rFonts w:hint="eastAsia" w:ascii="Times New Roman" w:hAnsi="Times New Roman" w:eastAsia="仿宋_GB2312"/>
          <w:sz w:val="32"/>
          <w:szCs w:val="32"/>
          <w:lang w:val="en-US" w:eastAsia="zh-CN"/>
        </w:rPr>
        <w:t>99.79</w:t>
      </w:r>
      <w:r>
        <w:rPr>
          <w:rFonts w:hint="eastAsia" w:ascii="Times New Roman" w:hAnsi="Times New Roman" w:eastAsia="仿宋_GB2312"/>
          <w:sz w:val="32"/>
          <w:szCs w:val="32"/>
        </w:rPr>
        <w:t>%，与上年相比，财政拨款支出增加</w:t>
      </w:r>
      <w:r>
        <w:rPr>
          <w:rFonts w:hint="eastAsia" w:ascii="Times New Roman" w:hAnsi="Times New Roman" w:eastAsia="仿宋_GB2312"/>
          <w:sz w:val="32"/>
          <w:szCs w:val="32"/>
          <w:lang w:val="en-US" w:eastAsia="zh-CN"/>
        </w:rPr>
        <w:t>13.38</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8.68</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新调入工作人员，增加人员经费</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167.61</w:t>
      </w:r>
      <w:r>
        <w:rPr>
          <w:rFonts w:hint="eastAsia" w:ascii="Times New Roman" w:hAnsi="Times New Roman" w:eastAsia="仿宋_GB2312"/>
          <w:sz w:val="32"/>
          <w:szCs w:val="32"/>
        </w:rPr>
        <w:t>万元，主要用于以下方面：一般公共服务支出</w:t>
      </w:r>
      <w:r>
        <w:rPr>
          <w:rFonts w:hint="eastAsia" w:ascii="Times New Roman" w:hAnsi="Times New Roman" w:eastAsia="仿宋_GB2312"/>
          <w:sz w:val="32"/>
          <w:szCs w:val="32"/>
          <w:lang w:val="en-US" w:eastAsia="zh-CN"/>
        </w:rPr>
        <w:t>151.51</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90.4</w:t>
      </w:r>
      <w:r>
        <w:rPr>
          <w:rFonts w:hint="eastAsia" w:ascii="Times New Roman" w:hAnsi="Times New Roman" w:eastAsia="仿宋_GB2312"/>
          <w:sz w:val="32"/>
          <w:szCs w:val="32"/>
        </w:rPr>
        <w:t>%；社会保障和就业支出</w:t>
      </w:r>
      <w:r>
        <w:rPr>
          <w:rFonts w:hint="eastAsia" w:ascii="Times New Roman" w:hAnsi="Times New Roman" w:eastAsia="仿宋_GB2312"/>
          <w:sz w:val="32"/>
          <w:szCs w:val="32"/>
          <w:lang w:val="en-US" w:eastAsia="zh-CN"/>
        </w:rPr>
        <w:t>9.39</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5.6</w:t>
      </w:r>
      <w:r>
        <w:rPr>
          <w:rFonts w:hint="eastAsia" w:ascii="Times New Roman" w:hAnsi="Times New Roman" w:eastAsia="仿宋_GB2312"/>
          <w:sz w:val="32"/>
          <w:szCs w:val="32"/>
        </w:rPr>
        <w:t>%；卫生健康支出</w:t>
      </w:r>
      <w:r>
        <w:rPr>
          <w:rFonts w:hint="eastAsia" w:ascii="Times New Roman" w:hAnsi="Times New Roman" w:eastAsia="仿宋_GB2312"/>
          <w:sz w:val="32"/>
          <w:szCs w:val="32"/>
          <w:lang w:val="en-US" w:eastAsia="zh-CN"/>
        </w:rPr>
        <w:t>6.71</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w:t>
      </w:r>
      <w:r>
        <w:rPr>
          <w:rFonts w:hint="eastAsia" w:ascii="Times New Roman" w:hAnsi="Times New Roman" w:eastAsia="仿宋_GB2312"/>
          <w:sz w:val="32"/>
          <w:szCs w:val="32"/>
          <w:lang w:val="en-US" w:eastAsia="zh-CN"/>
        </w:rPr>
        <w:t>123.98</w:t>
      </w:r>
      <w:r>
        <w:rPr>
          <w:rFonts w:hint="eastAsia" w:ascii="Times New Roman" w:hAnsi="Times New Roman" w:eastAsia="仿宋_GB2312"/>
          <w:sz w:val="32"/>
          <w:szCs w:val="32"/>
        </w:rPr>
        <w:t>万元，支出决算数为</w:t>
      </w:r>
      <w:r>
        <w:rPr>
          <w:rFonts w:hint="eastAsia" w:ascii="Times New Roman" w:hAnsi="Times New Roman" w:eastAsia="仿宋_GB2312"/>
          <w:sz w:val="32"/>
          <w:szCs w:val="32"/>
          <w:lang w:val="en-US" w:eastAsia="zh-CN"/>
        </w:rPr>
        <w:t>167.61</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135.19</w:t>
      </w:r>
      <w:r>
        <w:rPr>
          <w:rFonts w:hint="eastAsia" w:ascii="Times New Roman" w:hAnsi="Times New Roman" w:eastAsia="仿宋_GB2312"/>
          <w:sz w:val="32"/>
          <w:szCs w:val="32"/>
        </w:rPr>
        <w:t>%，其中：</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.一般公共服务支出（类）组织事务（款）行政运行（项）。</w:t>
      </w:r>
    </w:p>
    <w:p>
      <w:pPr>
        <w:pStyle w:val="10"/>
        <w:keepNext w:val="0"/>
        <w:keepLines w:val="0"/>
        <w:pageBreakBefore w:val="0"/>
        <w:widowControl w:val="0"/>
        <w:kinsoku/>
        <w:wordWrap/>
        <w:overflowPunct/>
        <w:topLinePunct w:val="0"/>
        <w:bidi w:val="0"/>
        <w:snapToGrid/>
        <w:spacing w:line="600" w:lineRule="exact"/>
        <w:ind w:firstLine="960" w:firstLineChars="3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107.9</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151.51</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140.42</w:t>
      </w:r>
      <w:r>
        <w:rPr>
          <w:rFonts w:hint="eastAsia" w:ascii="Times New Roman" w:hAnsi="Times New Roman" w:eastAsia="仿宋_GB2312"/>
          <w:sz w:val="32"/>
          <w:szCs w:val="32"/>
        </w:rPr>
        <w:t>%，决算数大于年初预算数的主要原因是：一是</w:t>
      </w:r>
      <w:r>
        <w:rPr>
          <w:rFonts w:hint="eastAsia" w:ascii="Times New Roman" w:hAnsi="Times New Roman" w:eastAsia="仿宋_GB2312"/>
          <w:sz w:val="32"/>
          <w:szCs w:val="32"/>
          <w:lang w:eastAsia="zh-CN"/>
        </w:rPr>
        <w:t>增加工作人员时未及时纳入年初预算，小决算追加人员经费</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.社会保障和就业支出（类）人力资源和社会保障管理事务（款）其他人力资源和社会保障管理事务支出（项）。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0.02</w:t>
      </w:r>
      <w:r>
        <w:rPr>
          <w:rFonts w:hint="eastAsia" w:ascii="Times New Roman" w:hAnsi="Times New Roman" w:eastAsia="仿宋_GB2312"/>
          <w:sz w:val="32"/>
          <w:szCs w:val="32"/>
        </w:rPr>
        <w:t>万元，完成年初预算的0%，决算数</w:t>
      </w:r>
      <w:r>
        <w:rPr>
          <w:rFonts w:hint="eastAsia" w:ascii="Times New Roman" w:hAnsi="Times New Roman" w:eastAsia="仿宋_GB2312"/>
          <w:sz w:val="32"/>
          <w:szCs w:val="32"/>
          <w:lang w:eastAsia="zh-CN"/>
        </w:rPr>
        <w:t>大于</w:t>
      </w:r>
      <w:r>
        <w:rPr>
          <w:rFonts w:hint="eastAsia" w:ascii="Times New Roman" w:hAnsi="Times New Roman" w:eastAsia="仿宋_GB2312"/>
          <w:sz w:val="32"/>
          <w:szCs w:val="32"/>
        </w:rPr>
        <w:t>年初预算数的主要原因是</w:t>
      </w:r>
      <w:r>
        <w:rPr>
          <w:rFonts w:hint="eastAsia" w:ascii="Times New Roman" w:hAnsi="Times New Roman" w:eastAsia="仿宋_GB2312"/>
          <w:sz w:val="32"/>
          <w:szCs w:val="32"/>
          <w:lang w:eastAsia="zh-CN"/>
        </w:rPr>
        <w:t>组织部转付给本单位退休困难党员慰问费</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.社会保障和就业支出（类）行政事业单位养老支出（款） 机关事业单位基本养老保险缴费支出（项）。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9.37</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9.37</w:t>
      </w:r>
      <w:r>
        <w:rPr>
          <w:rFonts w:hint="eastAsia" w:ascii="Times New Roman" w:hAnsi="Times New Roman" w:eastAsia="仿宋_GB2312"/>
          <w:sz w:val="32"/>
          <w:szCs w:val="32"/>
        </w:rPr>
        <w:t>万元，完成年初预算的100%。</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.卫生健康支出（类）行政事业单位医疗（款）行政单位医疗（项）。</w:t>
      </w:r>
    </w:p>
    <w:p>
      <w:pPr>
        <w:pStyle w:val="10"/>
        <w:keepNext w:val="0"/>
        <w:keepLines w:val="0"/>
        <w:pageBreakBefore w:val="0"/>
        <w:widowControl w:val="0"/>
        <w:kinsoku/>
        <w:wordWrap/>
        <w:overflowPunct/>
        <w:topLinePunct w:val="0"/>
        <w:bidi w:val="0"/>
        <w:snapToGrid/>
        <w:spacing w:line="60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6.7</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6.7</w:t>
      </w:r>
      <w:r>
        <w:rPr>
          <w:rFonts w:hint="eastAsia" w:ascii="Times New Roman" w:hAnsi="Times New Roman" w:eastAsia="仿宋_GB2312"/>
          <w:sz w:val="32"/>
          <w:szCs w:val="32"/>
        </w:rPr>
        <w:t>万元，完成年初预算的100%。</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val="en-US" w:eastAsia="zh-CN"/>
        </w:rPr>
        <w:t>167.61</w:t>
      </w:r>
      <w:r>
        <w:rPr>
          <w:rFonts w:hint="eastAsia" w:ascii="Times New Roman" w:hAnsi="Times New Roman" w:eastAsia="仿宋_GB2312"/>
          <w:sz w:val="32"/>
          <w:szCs w:val="32"/>
        </w:rPr>
        <w:t>万元，其中：</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lang w:val="en-US" w:eastAsia="zh-CN"/>
        </w:rPr>
        <w:t>143.44</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85.58</w:t>
      </w:r>
      <w:r>
        <w:rPr>
          <w:rFonts w:hint="eastAsia" w:ascii="Times New Roman" w:hAnsi="Times New Roman" w:eastAsia="仿宋_GB2312"/>
          <w:sz w:val="32"/>
          <w:szCs w:val="32"/>
        </w:rPr>
        <w:t>%,主要包括基本工资、津贴补贴、奖金、伙食补助费</w:t>
      </w:r>
      <w:r>
        <w:rPr>
          <w:rFonts w:hint="eastAsia" w:ascii="Times New Roman" w:hAnsi="Times New Roman" w:eastAsia="仿宋_GB2312"/>
          <w:sz w:val="32"/>
          <w:szCs w:val="32"/>
          <w:lang w:eastAsia="zh-CN"/>
        </w:rPr>
        <w:t>等。</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i/>
          <w:color w:val="auto"/>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lang w:val="en-US" w:eastAsia="zh-CN"/>
        </w:rPr>
        <w:t>24.17</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14.42</w:t>
      </w:r>
      <w:r>
        <w:rPr>
          <w:rFonts w:hint="eastAsia" w:ascii="Times New Roman" w:hAnsi="Times New Roman" w:eastAsia="仿宋_GB2312"/>
          <w:sz w:val="32"/>
          <w:szCs w:val="32"/>
        </w:rPr>
        <w:t>%，主要包括办公费、印刷费、咨询费、</w:t>
      </w:r>
      <w:r>
        <w:rPr>
          <w:rFonts w:hint="eastAsia" w:ascii="Times New Roman" w:hAnsi="Times New Roman" w:eastAsia="仿宋_GB2312"/>
          <w:sz w:val="32"/>
          <w:szCs w:val="32"/>
          <w:lang w:eastAsia="zh-CN"/>
        </w:rPr>
        <w:t>电费、</w:t>
      </w:r>
      <w:r>
        <w:rPr>
          <w:rFonts w:hint="eastAsia" w:ascii="Times New Roman" w:hAnsi="Times New Roman" w:eastAsia="仿宋_GB2312"/>
          <w:sz w:val="32"/>
          <w:szCs w:val="32"/>
        </w:rPr>
        <w:t>手续费</w:t>
      </w:r>
      <w:r>
        <w:rPr>
          <w:rFonts w:hint="eastAsia" w:ascii="Times New Roman" w:hAnsi="Times New Roman" w:eastAsia="仿宋_GB2312"/>
          <w:sz w:val="32"/>
          <w:szCs w:val="32"/>
          <w:lang w:eastAsia="zh-CN"/>
        </w:rPr>
        <w:t>、劳务费、委托业务费等</w:t>
      </w:r>
      <w:r>
        <w:rPr>
          <w:rFonts w:hint="eastAsia" w:ascii="Times New Roman" w:hAnsi="Times New Roman" w:eastAsia="仿宋_GB2312"/>
          <w:sz w:val="32"/>
          <w:szCs w:val="32"/>
        </w:rPr>
        <w:t>。</w:t>
      </w:r>
    </w:p>
    <w:p>
      <w:pPr>
        <w:pStyle w:val="10"/>
        <w:keepNext w:val="0"/>
        <w:keepLines w:val="0"/>
        <w:pageBreakBefore w:val="0"/>
        <w:widowControl w:val="0"/>
        <w:numPr>
          <w:ilvl w:val="0"/>
          <w:numId w:val="2"/>
        </w:numPr>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财政拨款三公经费支出决算情况说明</w:t>
      </w:r>
    </w:p>
    <w:p>
      <w:pPr>
        <w:pStyle w:val="10"/>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0.6</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0.18</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30</w:t>
      </w:r>
      <w:r>
        <w:rPr>
          <w:rFonts w:hint="eastAsia" w:ascii="Times New Roman" w:hAnsi="Times New Roman" w:eastAsia="仿宋_GB2312"/>
          <w:sz w:val="32"/>
          <w:szCs w:val="32"/>
        </w:rPr>
        <w:t>%，其中：</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因公出国（境）费支出预算为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公务接待费支出预算为</w:t>
      </w:r>
      <w:r>
        <w:rPr>
          <w:rFonts w:hint="eastAsia" w:ascii="Times New Roman" w:hAnsi="Times New Roman" w:eastAsia="仿宋_GB2312"/>
          <w:sz w:val="32"/>
          <w:szCs w:val="32"/>
          <w:lang w:val="en-US" w:eastAsia="zh-CN"/>
        </w:rPr>
        <w:t>0.6</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0.18</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30</w:t>
      </w:r>
      <w:r>
        <w:rPr>
          <w:rFonts w:hint="eastAsia" w:ascii="Times New Roman" w:hAnsi="Times New Roman" w:eastAsia="仿宋_GB2312"/>
          <w:sz w:val="32"/>
          <w:szCs w:val="32"/>
        </w:rPr>
        <w:t>%，与上年相比减少</w:t>
      </w:r>
      <w:r>
        <w:rPr>
          <w:rFonts w:hint="eastAsia" w:ascii="Times New Roman" w:hAnsi="Times New Roman" w:eastAsia="仿宋_GB2312"/>
          <w:sz w:val="32"/>
          <w:szCs w:val="32"/>
          <w:lang w:val="en-US" w:eastAsia="zh-CN"/>
        </w:rPr>
        <w:t>0.01万</w:t>
      </w:r>
      <w:r>
        <w:rPr>
          <w:rFonts w:hint="eastAsia" w:ascii="Times New Roman" w:hAnsi="Times New Roman" w:eastAsia="仿宋_GB2312"/>
          <w:sz w:val="32"/>
          <w:szCs w:val="32"/>
        </w:rPr>
        <w:t>元，减少</w:t>
      </w:r>
      <w:r>
        <w:rPr>
          <w:rFonts w:hint="eastAsia" w:ascii="Times New Roman" w:hAnsi="Times New Roman" w:eastAsia="仿宋_GB2312"/>
          <w:sz w:val="32"/>
          <w:szCs w:val="32"/>
          <w:lang w:val="en-US" w:eastAsia="zh-CN"/>
        </w:rPr>
        <w:t>5.26</w:t>
      </w:r>
      <w:r>
        <w:rPr>
          <w:rFonts w:hint="eastAsia" w:ascii="Times New Roman" w:hAnsi="Times New Roman" w:eastAsia="仿宋_GB2312"/>
          <w:sz w:val="32"/>
          <w:szCs w:val="32"/>
        </w:rPr>
        <w:t>%,减少的主要原因是减少的主要原因是从严控制“三公”经费开支，公务接待费减少。</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公务用车购置费支出预算为0万元，支出决算为0万元，与上年相比持平，202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年本部门未购置公务用车。</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公务用车运行维护费支出预算为0万元，支出决算为0万元，与上年相比持平，202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年本部门无公务用车。</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0.18</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%,因公出国（境）费支出决算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万元,公务用车购置费及运行维护费支出决算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仿宋_GB2312" w:cs="楷体"/>
          <w:b/>
          <w:bCs/>
          <w:i/>
          <w:color w:val="auto"/>
          <w:sz w:val="32"/>
          <w:szCs w:val="32"/>
          <w:lang w:eastAsia="zh-CN"/>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因公出国（境）费支出决算为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万元，全年安排因公出国（境）团组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个，累计</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2、公务接待费支出决算为</w:t>
      </w:r>
      <w:r>
        <w:rPr>
          <w:rFonts w:hint="eastAsia" w:ascii="Times New Roman" w:hAnsi="Times New Roman" w:eastAsia="仿宋_GB2312"/>
          <w:sz w:val="32"/>
          <w:szCs w:val="32"/>
          <w:lang w:val="en-US" w:eastAsia="zh-CN"/>
        </w:rPr>
        <w:t>0.18</w:t>
      </w:r>
      <w:r>
        <w:rPr>
          <w:rFonts w:hint="eastAsia" w:ascii="Times New Roman" w:hAnsi="Times New Roman" w:eastAsia="仿宋_GB2312"/>
          <w:sz w:val="32"/>
          <w:szCs w:val="32"/>
        </w:rPr>
        <w:t>万元，全年共接待来访团组</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个、来宾</w:t>
      </w:r>
      <w:r>
        <w:rPr>
          <w:rFonts w:hint="eastAsia" w:ascii="Times New Roman" w:hAnsi="Times New Roman" w:eastAsia="仿宋_GB2312"/>
          <w:sz w:val="32"/>
          <w:szCs w:val="32"/>
          <w:lang w:val="en-US" w:eastAsia="zh-CN"/>
        </w:rPr>
        <w:t>24</w:t>
      </w:r>
      <w:r>
        <w:rPr>
          <w:rFonts w:hint="eastAsia" w:ascii="Times New Roman" w:hAnsi="Times New Roman" w:eastAsia="仿宋_GB2312"/>
          <w:sz w:val="32"/>
          <w:szCs w:val="32"/>
        </w:rPr>
        <w:t>人</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次，主要是</w:t>
      </w:r>
      <w:r>
        <w:rPr>
          <w:rFonts w:hint="eastAsia" w:ascii="Times New Roman" w:hAnsi="Times New Roman" w:eastAsia="仿宋_GB2312"/>
          <w:sz w:val="32"/>
          <w:szCs w:val="32"/>
          <w:lang w:eastAsia="zh-CN"/>
        </w:rPr>
        <w:t>外县市区来我办进行调研</w:t>
      </w:r>
      <w:r>
        <w:rPr>
          <w:rFonts w:hint="eastAsia" w:ascii="Times New Roman" w:hAnsi="Times New Roman" w:eastAsia="仿宋_GB2312"/>
          <w:sz w:val="32"/>
          <w:szCs w:val="32"/>
        </w:rPr>
        <w:t>发生的接待支出。</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3、公务用车购置费及运行维护费支出决算为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万元，其中：公务用车购置费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sz w:val="32"/>
          <w:szCs w:val="32"/>
        </w:rPr>
        <w:t>公务用车运行维护费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万元，截止202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年12月31日，我单位开支财政拨款的公务用车保有量为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年度本部门无政府性基金预算收支。</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w:t>
      </w:r>
      <w:r>
        <w:rPr>
          <w:rFonts w:hint="eastAsia" w:ascii="Times New Roman" w:hAnsi="Times New Roman" w:eastAsia="仿宋_GB2312"/>
          <w:sz w:val="32"/>
          <w:szCs w:val="32"/>
          <w:lang w:val="en-US" w:eastAsia="zh-CN"/>
        </w:rPr>
        <w:t>24.17</w:t>
      </w:r>
      <w:r>
        <w:rPr>
          <w:rFonts w:hint="eastAsia" w:ascii="Times New Roman" w:hAnsi="Times New Roman" w:eastAsia="仿宋_GB2312"/>
          <w:sz w:val="32"/>
          <w:szCs w:val="32"/>
        </w:rPr>
        <w:t>万元，比年初上年决算数减少</w:t>
      </w:r>
      <w:r>
        <w:rPr>
          <w:rFonts w:hint="eastAsia" w:ascii="Times New Roman" w:hAnsi="Times New Roman" w:eastAsia="仿宋_GB2312"/>
          <w:sz w:val="32"/>
          <w:szCs w:val="32"/>
          <w:lang w:val="en-US" w:eastAsia="zh-CN"/>
        </w:rPr>
        <w:t>1.05</w:t>
      </w:r>
      <w:r>
        <w:rPr>
          <w:rFonts w:hint="eastAsia" w:ascii="Times New Roman" w:hAnsi="Times New Roman" w:eastAsia="仿宋_GB2312"/>
          <w:sz w:val="32"/>
          <w:szCs w:val="32"/>
        </w:rPr>
        <w:t xml:space="preserve"> 万元，降低</w:t>
      </w:r>
      <w:r>
        <w:rPr>
          <w:rFonts w:hint="eastAsia" w:ascii="Times New Roman" w:hAnsi="Times New Roman" w:eastAsia="仿宋_GB2312"/>
          <w:sz w:val="32"/>
          <w:szCs w:val="32"/>
          <w:lang w:val="en-US" w:eastAsia="zh-CN"/>
        </w:rPr>
        <w:t>4.16</w:t>
      </w:r>
      <w:r>
        <w:rPr>
          <w:rFonts w:hint="eastAsia" w:ascii="Times New Roman" w:hAnsi="Times New Roman" w:eastAsia="仿宋_GB2312"/>
          <w:sz w:val="32"/>
          <w:szCs w:val="32"/>
        </w:rPr>
        <w:t>%。主要原因是：</w:t>
      </w:r>
      <w:r>
        <w:rPr>
          <w:rFonts w:hint="eastAsia" w:ascii="Times New Roman" w:hAnsi="Times New Roman" w:eastAsia="仿宋_GB2312"/>
          <w:sz w:val="32"/>
          <w:szCs w:val="32"/>
          <w:lang w:eastAsia="zh-CN"/>
        </w:rPr>
        <w:t>厉行节约，从严公用经费开支，全年支出比上年有所压减</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万元；开支培训费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万元；未举办节庆、晚会、论坛、赛事等活动</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年度本部门无政府采购支出。</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年12月31日，本部门公务车辆0辆；单位价值50万元以</w:t>
      </w:r>
    </w:p>
    <w:p>
      <w:pPr>
        <w:pStyle w:val="10"/>
        <w:keepNext w:val="0"/>
        <w:keepLines w:val="0"/>
        <w:pageBreakBefore w:val="0"/>
        <w:widowControl w:val="0"/>
        <w:kinsoku/>
        <w:wordWrap/>
        <w:overflowPunct/>
        <w:topLinePunct w:val="0"/>
        <w:bidi w:val="0"/>
        <w:snapToGrid/>
        <w:spacing w:line="60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上通用设备0台（套）；单位价值100万元以上通用设备0台（套）。</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keepNext w:val="0"/>
        <w:keepLines w:val="0"/>
        <w:pageBreakBefore w:val="0"/>
        <w:kinsoku/>
        <w:wordWrap/>
        <w:overflowPunct/>
        <w:topLinePunct w:val="0"/>
        <w:autoSpaceDE/>
        <w:autoSpaceDN/>
        <w:bidi w:val="0"/>
        <w:adjustRightInd/>
        <w:snapToGrid/>
        <w:spacing w:line="550" w:lineRule="exact"/>
        <w:ind w:firstLine="960" w:firstLineChars="3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lang w:val="en-US" w:eastAsia="zh-CN"/>
        </w:rPr>
        <w:t>1.</w:t>
      </w:r>
      <w:r>
        <w:rPr>
          <w:rFonts w:hint="eastAsia" w:ascii="仿宋" w:hAnsi="仿宋" w:eastAsia="仿宋"/>
          <w:color w:val="000000"/>
          <w:kern w:val="0"/>
          <w:sz w:val="32"/>
          <w:szCs w:val="32"/>
        </w:rPr>
        <w:t>绩效评价目的</w:t>
      </w:r>
    </w:p>
    <w:p>
      <w:pPr>
        <w:keepNext w:val="0"/>
        <w:keepLines w:val="0"/>
        <w:pageBreakBefore w:val="0"/>
        <w:kinsoku/>
        <w:wordWrap/>
        <w:overflowPunct/>
        <w:topLinePunct w:val="0"/>
        <w:autoSpaceDE/>
        <w:autoSpaceDN/>
        <w:bidi w:val="0"/>
        <w:adjustRightInd/>
        <w:snapToGrid/>
        <w:spacing w:line="550" w:lineRule="exact"/>
        <w:ind w:firstLine="800" w:firstLineChars="25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本次绩效评价的目的是为了全面分析和综合评价我</w:t>
      </w:r>
      <w:r>
        <w:rPr>
          <w:rFonts w:hint="eastAsia" w:ascii="仿宋" w:hAnsi="仿宋" w:eastAsia="仿宋"/>
          <w:color w:val="000000"/>
          <w:kern w:val="0"/>
          <w:sz w:val="32"/>
          <w:szCs w:val="32"/>
          <w:lang w:val="en-US" w:eastAsia="zh-CN"/>
        </w:rPr>
        <w:t>办</w:t>
      </w:r>
      <w:r>
        <w:rPr>
          <w:rFonts w:hint="eastAsia" w:ascii="仿宋" w:hAnsi="仿宋" w:eastAsia="仿宋"/>
          <w:color w:val="000000"/>
          <w:kern w:val="0"/>
          <w:sz w:val="32"/>
          <w:szCs w:val="32"/>
        </w:rPr>
        <w:t>本级财政预算资金的使用管理情况，为切实提高财政资金使用效益，强化预算支出的责任和效率提供参考依据。</w:t>
      </w:r>
    </w:p>
    <w:p>
      <w:pPr>
        <w:keepNext w:val="0"/>
        <w:keepLines w:val="0"/>
        <w:pageBreakBefore w:val="0"/>
        <w:kinsoku/>
        <w:wordWrap/>
        <w:overflowPunct/>
        <w:topLinePunct w:val="0"/>
        <w:autoSpaceDE/>
        <w:autoSpaceDN/>
        <w:bidi w:val="0"/>
        <w:adjustRightInd/>
        <w:snapToGrid/>
        <w:spacing w:line="550" w:lineRule="exact"/>
        <w:ind w:firstLine="800" w:firstLineChars="25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lang w:val="en-US" w:eastAsia="zh-CN"/>
        </w:rPr>
        <w:t>2.</w:t>
      </w:r>
      <w:r>
        <w:rPr>
          <w:rFonts w:hint="eastAsia" w:ascii="仿宋" w:hAnsi="仿宋" w:eastAsia="仿宋"/>
          <w:color w:val="000000"/>
          <w:kern w:val="0"/>
          <w:sz w:val="32"/>
          <w:szCs w:val="32"/>
        </w:rPr>
        <w:t>绩效评价工作过程</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lang w:val="en-US" w:eastAsia="zh-CN"/>
        </w:rPr>
        <w:t>1</w:t>
      </w: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rPr>
        <w:t>前期准备。按照绩效自评工作要求，成立以</w:t>
      </w:r>
      <w:r>
        <w:rPr>
          <w:rFonts w:hint="eastAsia" w:ascii="仿宋" w:hAnsi="仿宋" w:eastAsia="仿宋"/>
          <w:color w:val="000000"/>
          <w:kern w:val="0"/>
          <w:sz w:val="32"/>
          <w:szCs w:val="32"/>
          <w:lang w:val="en-US" w:eastAsia="zh-CN"/>
        </w:rPr>
        <w:t>编办主任肖立华</w:t>
      </w:r>
      <w:r>
        <w:rPr>
          <w:rFonts w:hint="eastAsia" w:ascii="仿宋" w:hAnsi="仿宋" w:eastAsia="仿宋"/>
          <w:color w:val="000000"/>
          <w:kern w:val="0"/>
          <w:sz w:val="32"/>
          <w:szCs w:val="32"/>
        </w:rPr>
        <w:t>为组长的绩效评价工作小组，对相关的国家法律法规进行了认真学习，掌握政策，根据部门整体收支情况制定了部门整体支出绩效评价实施方案。</w:t>
      </w:r>
    </w:p>
    <w:p>
      <w:pPr>
        <w:keepNext w:val="0"/>
        <w:keepLines w:val="0"/>
        <w:pageBreakBefore w:val="0"/>
        <w:kinsoku/>
        <w:wordWrap/>
        <w:overflowPunct/>
        <w:topLinePunct w:val="0"/>
        <w:autoSpaceDE/>
        <w:autoSpaceDN/>
        <w:bidi w:val="0"/>
        <w:adjustRightInd/>
        <w:snapToGrid/>
        <w:spacing w:line="550" w:lineRule="exact"/>
        <w:ind w:firstLine="800" w:firstLineChars="25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lang w:val="en-US" w:eastAsia="zh-CN"/>
        </w:rPr>
        <w:t>2</w:t>
      </w: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rPr>
        <w:t>组织实施。采用核查法核查</w:t>
      </w:r>
      <w:r>
        <w:rPr>
          <w:rFonts w:hint="eastAsia" w:ascii="仿宋" w:hAnsi="仿宋" w:eastAsia="仿宋"/>
          <w:color w:val="000000"/>
          <w:kern w:val="0"/>
          <w:sz w:val="32"/>
          <w:szCs w:val="32"/>
          <w:lang w:eastAsia="zh-CN"/>
        </w:rPr>
        <w:t>2022</w:t>
      </w:r>
      <w:r>
        <w:rPr>
          <w:rFonts w:hint="eastAsia" w:ascii="仿宋" w:hAnsi="仿宋" w:eastAsia="仿宋"/>
          <w:color w:val="000000"/>
          <w:kern w:val="0"/>
          <w:sz w:val="32"/>
          <w:szCs w:val="32"/>
        </w:rPr>
        <w:t>年同级财政预算批复执行及部门整体支出情况，着重核查了“三公”经费及资产管理、内部控制制度等情况。</w:t>
      </w:r>
    </w:p>
    <w:p>
      <w:pPr>
        <w:keepNext w:val="0"/>
        <w:keepLines w:val="0"/>
        <w:pageBreakBefore w:val="0"/>
        <w:kinsoku/>
        <w:wordWrap/>
        <w:overflowPunct/>
        <w:topLinePunct w:val="0"/>
        <w:autoSpaceDE/>
        <w:autoSpaceDN/>
        <w:bidi w:val="0"/>
        <w:adjustRightInd/>
        <w:snapToGrid/>
        <w:spacing w:line="550" w:lineRule="exact"/>
        <w:ind w:firstLine="800" w:firstLineChars="250"/>
        <w:textAlignment w:val="auto"/>
        <w:rPr>
          <w:rFonts w:hint="eastAsia" w:ascii="仿宋" w:hAnsi="仿宋" w:eastAsia="仿宋"/>
          <w:b/>
          <w:color w:val="000000"/>
          <w:kern w:val="0"/>
          <w:sz w:val="32"/>
          <w:szCs w:val="32"/>
        </w:rPr>
      </w:pP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lang w:val="en-US" w:eastAsia="zh-CN"/>
        </w:rPr>
        <w:t>3</w:t>
      </w: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rPr>
        <w:t>分析评价。对评价过程中收集资料进行归纳，汇总分析，依据设定的部门整体支出绩效评价指标体系进行了评分，形成了综合性书面报告。</w:t>
      </w:r>
    </w:p>
    <w:p>
      <w:pPr>
        <w:keepNext w:val="0"/>
        <w:keepLines w:val="0"/>
        <w:pageBreakBefore w:val="0"/>
        <w:kinsoku/>
        <w:wordWrap/>
        <w:overflowPunct/>
        <w:topLinePunct w:val="0"/>
        <w:autoSpaceDE/>
        <w:autoSpaceDN/>
        <w:bidi w:val="0"/>
        <w:adjustRightInd/>
        <w:snapToGrid/>
        <w:spacing w:line="550" w:lineRule="exact"/>
        <w:ind w:firstLine="800" w:firstLineChars="25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lang w:val="en-US" w:eastAsia="zh-CN"/>
        </w:rPr>
        <w:t>3、</w:t>
      </w:r>
      <w:r>
        <w:rPr>
          <w:rFonts w:hint="eastAsia" w:ascii="仿宋" w:hAnsi="仿宋" w:eastAsia="仿宋"/>
          <w:color w:val="000000"/>
          <w:kern w:val="0"/>
          <w:sz w:val="32"/>
          <w:szCs w:val="32"/>
        </w:rPr>
        <w:t>经济性分析</w:t>
      </w:r>
    </w:p>
    <w:p>
      <w:pPr>
        <w:keepNext w:val="0"/>
        <w:keepLines w:val="0"/>
        <w:pageBreakBefore w:val="0"/>
        <w:kinsoku/>
        <w:wordWrap/>
        <w:overflowPunct/>
        <w:topLinePunct w:val="0"/>
        <w:autoSpaceDE/>
        <w:autoSpaceDN/>
        <w:bidi w:val="0"/>
        <w:adjustRightInd/>
        <w:snapToGrid/>
        <w:spacing w:line="550" w:lineRule="exact"/>
        <w:ind w:firstLine="800" w:firstLineChars="25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lang w:val="en-US" w:eastAsia="zh-CN"/>
        </w:rPr>
        <w:t>1</w:t>
      </w: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rPr>
        <w:t>本年预算配置控制较好。财政供养人员控制在预算编制以内，编制内在职人员控制率为100%；“三公”经费支出总额小，低于年初预算。</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lang w:val="en-US" w:eastAsia="zh-CN"/>
        </w:rPr>
        <w:t>2</w:t>
      </w: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rPr>
        <w:t>预算执行方面。支出总额控制在预算总额以内，所有支出严格依照相关财务管理规定执行，特别重视量财办事、量力而行，严格控制标准、注重节约，少花钱办好事，各项支出都在合理范围内。</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lang w:val="en-US" w:eastAsia="zh-CN"/>
        </w:rPr>
        <w:t>3</w:t>
      </w: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rPr>
        <w:t>预算管理方面。我</w:t>
      </w:r>
      <w:r>
        <w:rPr>
          <w:rFonts w:hint="eastAsia" w:ascii="仿宋" w:hAnsi="仿宋" w:eastAsia="仿宋"/>
          <w:color w:val="000000"/>
          <w:kern w:val="0"/>
          <w:sz w:val="32"/>
          <w:szCs w:val="32"/>
          <w:lang w:val="en-US" w:eastAsia="zh-CN"/>
        </w:rPr>
        <w:t>办</w:t>
      </w:r>
      <w:r>
        <w:rPr>
          <w:rFonts w:hint="eastAsia" w:ascii="仿宋" w:hAnsi="仿宋" w:eastAsia="仿宋"/>
          <w:color w:val="000000"/>
          <w:kern w:val="0"/>
          <w:sz w:val="32"/>
          <w:szCs w:val="32"/>
        </w:rPr>
        <w:t>制定了切实有效的内部管理制度和经费支出控制方案，有较强的内控风险管理意识、各项经费支出得到了有效控制。</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lang w:val="en-US" w:eastAsia="zh-CN"/>
        </w:rPr>
        <w:t>4、</w:t>
      </w:r>
      <w:r>
        <w:rPr>
          <w:rFonts w:hint="eastAsia" w:ascii="仿宋" w:hAnsi="仿宋" w:eastAsia="仿宋"/>
          <w:color w:val="000000"/>
          <w:kern w:val="0"/>
          <w:sz w:val="32"/>
          <w:szCs w:val="32"/>
        </w:rPr>
        <w:t>效率性分析</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2022年，在区委、区政府的正确领导和市委编办的精心指导下，赫山区委编办以坚持习近平新时代中国特色社会主义思想为指导，认真落实省市编委、编办各项工作部署，守正创新、主动作为，自觉将机构编制工作融入赫山高质量发展新征程。</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en-US" w:eastAsia="zh-CN"/>
        </w:rPr>
        <w:t>5、</w:t>
      </w:r>
      <w:r>
        <w:rPr>
          <w:rFonts w:hint="eastAsia" w:ascii="仿宋" w:hAnsi="仿宋" w:eastAsia="仿宋" w:cs="Times New Roman"/>
          <w:color w:val="000000"/>
          <w:kern w:val="0"/>
          <w:sz w:val="32"/>
          <w:szCs w:val="32"/>
        </w:rPr>
        <w:t>效益性分析</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Times New Roman"/>
          <w:color w:val="000000"/>
          <w:kern w:val="0"/>
          <w:sz w:val="32"/>
          <w:szCs w:val="32"/>
        </w:rPr>
      </w:pPr>
      <w:r>
        <w:rPr>
          <w:rFonts w:hint="eastAsia" w:ascii="仿宋" w:hAnsi="仿宋" w:eastAsia="仿宋" w:cs="Times New Roman"/>
          <w:color w:val="000000"/>
          <w:kern w:val="0"/>
          <w:sz w:val="32"/>
          <w:szCs w:val="32"/>
        </w:rPr>
        <w:t>深化机构改革，调整理顺机制体制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开展机构改革体制机制调整工作。根据上级决策部署和安排，完成了应急管理综合行政执法改革、自然资源行政执法改革、国安体制调整和优化营商环境机构职责调整，优化完善了文物保护机构职能体系，调整理顺了水旱灾害相关方面职能职责，</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基本完成</w:t>
      </w:r>
      <w:r>
        <w:rPr>
          <w:rFonts w:hint="eastAsia" w:ascii="仿宋_GB2312" w:hAnsi="仿宋_GB2312" w:eastAsia="仿宋_GB2312" w:cs="仿宋_GB2312"/>
          <w:color w:val="000000" w:themeColor="text1"/>
          <w:sz w:val="32"/>
          <w:szCs w:val="32"/>
          <w:u w:val="none"/>
          <w14:textFill>
            <w14:solidFill>
              <w14:schemeClr w14:val="tx1"/>
            </w14:solidFill>
          </w14:textFill>
        </w:rPr>
        <w:t>疾病预防控制体系改革</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和国防动员体制改革</w:t>
      </w:r>
      <w:r>
        <w:rPr>
          <w:rFonts w:hint="eastAsia" w:ascii="仿宋_GB2312" w:hAnsi="仿宋_GB2312" w:eastAsia="仿宋_GB2312" w:cs="仿宋_GB2312"/>
          <w:color w:val="000000" w:themeColor="text1"/>
          <w:sz w:val="32"/>
          <w:szCs w:val="32"/>
          <w:u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是持续做好开发区清理规范后续工作。进一步完善了开发区所属事业单位区征地拆迁和社会事务综合服务中心的“三定”规定，顺利完成开发区改革后人员转隶工作，指导开发区按编制分类管理、人员统筹使用办法，科学配置编制、调配人员</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使开区发体制机制运行更顺畅，人员配备更科学。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三是不断巩固基层综合行政执法改革成果。进一步理顺乡镇街道与区直职能部门职责边界，通过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直接赋权、委托下放等方式，</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乡镇（街道）级负责了13个区级执法部门174项经济社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会管理权限，梳理形成了乡镇（街道）权力清单和责任清单。签订《行政执法委托协议书》，确定乡镇行政处罚权16项。</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同时，</w:t>
      </w:r>
      <w:r>
        <w:rPr>
          <w:rFonts w:hint="eastAsia" w:ascii="仿宋_GB2312" w:hAnsi="仿宋_GB2312" w:eastAsia="仿宋_GB2312" w:cs="仿宋_GB2312"/>
          <w:i w:val="0"/>
          <w:caps w:val="0"/>
          <w:color w:val="000000" w:themeColor="text1"/>
          <w:spacing w:val="0"/>
          <w:sz w:val="32"/>
          <w:szCs w:val="32"/>
          <w:u w:val="none"/>
          <w:shd w:val="clear" w:color="auto" w:fill="FFFFFF"/>
          <w14:textFill>
            <w14:solidFill>
              <w14:schemeClr w14:val="tx1"/>
            </w14:solidFill>
          </w14:textFill>
        </w:rPr>
        <w:t>明确区乡级、各站所和执法队的权限，构建了各司其</w:t>
      </w:r>
      <w:r>
        <w:rPr>
          <w:rFonts w:hint="eastAsia" w:ascii="仿宋_GB2312" w:hAnsi="仿宋_GB2312" w:eastAsia="仿宋_GB2312" w:cs="仿宋_GB2312"/>
          <w:i w:val="0"/>
          <w:caps w:val="0"/>
          <w:color w:val="000000" w:themeColor="text1"/>
          <w:spacing w:val="0"/>
          <w:sz w:val="32"/>
          <w:szCs w:val="32"/>
          <w:u w:val="none"/>
          <w:shd w:val="clear" w:color="auto" w:fill="FFFFFF"/>
          <w:lang w:val="en-US" w:eastAsia="zh-CN"/>
          <w14:textFill>
            <w14:solidFill>
              <w14:schemeClr w14:val="tx1"/>
            </w14:solidFill>
          </w14:textFill>
        </w:rPr>
        <w:t>职</w:t>
      </w:r>
      <w:r>
        <w:rPr>
          <w:rFonts w:hint="eastAsia" w:ascii="仿宋_GB2312" w:hAnsi="仿宋_GB2312" w:eastAsia="仿宋_GB2312" w:cs="仿宋_GB2312"/>
          <w:i w:val="0"/>
          <w:caps w:val="0"/>
          <w:color w:val="000000" w:themeColor="text1"/>
          <w:spacing w:val="0"/>
          <w:sz w:val="32"/>
          <w:szCs w:val="32"/>
          <w:u w:val="none"/>
          <w:shd w:val="clear" w:color="auto" w:fill="FFFFFF"/>
          <w14:textFill>
            <w14:solidFill>
              <w14:schemeClr w14:val="tx1"/>
            </w14:solidFill>
          </w14:textFill>
        </w:rPr>
        <w:t>、各负其责的执法</w:t>
      </w:r>
      <w:r>
        <w:rPr>
          <w:rFonts w:hint="eastAsia" w:ascii="仿宋_GB2312" w:hAnsi="仿宋_GB2312" w:eastAsia="仿宋_GB2312" w:cs="仿宋_GB2312"/>
          <w:i w:val="0"/>
          <w:caps w:val="0"/>
          <w:color w:val="000000" w:themeColor="text1"/>
          <w:spacing w:val="0"/>
          <w:sz w:val="32"/>
          <w:szCs w:val="32"/>
          <w:u w:val="none"/>
          <w:shd w:val="clear" w:color="auto" w:fill="FFFFFF"/>
          <w:lang w:val="en-US" w:eastAsia="zh-CN"/>
          <w14:textFill>
            <w14:solidFill>
              <w14:schemeClr w14:val="tx1"/>
            </w14:solidFill>
          </w14:textFill>
        </w:rPr>
        <w:t>体系</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。通过下发</w:t>
      </w:r>
      <w:r>
        <w:rPr>
          <w:rFonts w:hint="eastAsia" w:ascii="仿宋_GB2312" w:hAnsi="仿宋_GB2312" w:eastAsia="仿宋_GB2312" w:cs="仿宋_GB2312"/>
          <w:i w:val="0"/>
          <w:caps w:val="0"/>
          <w:color w:val="000000" w:themeColor="text1"/>
          <w:spacing w:val="0"/>
          <w:sz w:val="32"/>
          <w:szCs w:val="32"/>
          <w:u w:val="none"/>
          <w:shd w:val="clear" w:color="auto" w:fill="FFFFFF"/>
          <w14:textFill>
            <w14:solidFill>
              <w14:schemeClr w14:val="tx1"/>
            </w14:solidFill>
          </w14:textFill>
        </w:rPr>
        <w:t>《乡镇行政执法业务指南》</w:t>
      </w:r>
      <w:r>
        <w:rPr>
          <w:rFonts w:hint="eastAsia" w:ascii="仿宋_GB2312" w:hAnsi="仿宋_GB2312" w:eastAsia="仿宋_GB2312" w:cs="仿宋_GB2312"/>
          <w:i w:val="0"/>
          <w:caps w:val="0"/>
          <w:color w:val="000000" w:themeColor="text1"/>
          <w:spacing w:val="0"/>
          <w:sz w:val="32"/>
          <w:szCs w:val="32"/>
          <w:u w:val="none"/>
          <w:shd w:val="clear" w:color="auto" w:fill="FFFFFF"/>
          <w:lang w:val="en-US" w:eastAsia="zh-CN"/>
          <w14:textFill>
            <w14:solidFill>
              <w14:schemeClr w14:val="tx1"/>
            </w14:solidFill>
          </w14:textFill>
        </w:rPr>
        <w:t>等指导资料、</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举办培训班、下沉指导和跟班交流的形式，进一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步提升执法人员业务素质，乡镇（街道、园区）持有湖南省行政执法证已超过120人</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，较好地解决了乡镇（街道）执法接不住的问题。</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keepNext w:val="0"/>
        <w:keepLines w:val="0"/>
        <w:pageBreakBefore w:val="0"/>
        <w:kinsoku/>
        <w:wordWrap/>
        <w:overflowPunct/>
        <w:topLinePunct w:val="0"/>
        <w:autoSpaceDE/>
        <w:autoSpaceDN/>
        <w:bidi w:val="0"/>
        <w:adjustRightInd/>
        <w:snapToGrid/>
        <w:spacing w:line="550" w:lineRule="exact"/>
        <w:ind w:firstLine="800" w:firstLineChars="25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因部分工作不可预见</w:t>
      </w:r>
      <w:r>
        <w:rPr>
          <w:rFonts w:hint="eastAsia" w:ascii="仿宋" w:hAnsi="仿宋" w:eastAsia="仿宋"/>
          <w:color w:val="000000"/>
          <w:kern w:val="0"/>
          <w:sz w:val="32"/>
          <w:szCs w:val="32"/>
          <w:lang w:val="en-US" w:eastAsia="zh-CN"/>
        </w:rPr>
        <w:t>性，有些支出</w:t>
      </w:r>
      <w:r>
        <w:rPr>
          <w:rFonts w:hint="eastAsia" w:ascii="仿宋" w:hAnsi="仿宋" w:eastAsia="仿宋"/>
          <w:color w:val="000000"/>
          <w:kern w:val="0"/>
          <w:sz w:val="32"/>
          <w:szCs w:val="32"/>
        </w:rPr>
        <w:t>无法纳入预算，导致预算执行存在偏差。</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pStyle w:val="10"/>
        <w:ind w:firstLine="640" w:firstLineChars="200"/>
        <w:jc w:val="left"/>
        <w:rPr>
          <w:rFonts w:hint="eastAsia" w:ascii="仿宋" w:hAnsi="仿宋" w:eastAsia="仿宋" w:cstheme="minorBidi"/>
          <w:color w:val="000000"/>
          <w:kern w:val="0"/>
          <w:sz w:val="32"/>
          <w:szCs w:val="32"/>
          <w:lang w:val="en-US" w:eastAsia="zh-CN" w:bidi="ar-SA"/>
        </w:rPr>
      </w:pPr>
      <w:r>
        <w:rPr>
          <w:rFonts w:hint="eastAsia" w:ascii="仿宋" w:hAnsi="仿宋" w:eastAsia="仿宋" w:cstheme="minorBidi"/>
          <w:color w:val="000000"/>
          <w:kern w:val="0"/>
          <w:sz w:val="32"/>
          <w:szCs w:val="32"/>
          <w:lang w:val="en-US" w:eastAsia="zh-CN" w:bidi="ar-SA"/>
        </w:rPr>
        <w:t>一、财政拨款收入：指本级财政当年拨付的资金。</w:t>
      </w:r>
    </w:p>
    <w:p>
      <w:pPr>
        <w:pStyle w:val="10"/>
        <w:ind w:firstLine="640" w:firstLineChars="200"/>
        <w:jc w:val="left"/>
        <w:rPr>
          <w:rFonts w:hint="eastAsia" w:ascii="仿宋" w:hAnsi="仿宋" w:eastAsia="仿宋" w:cstheme="minorBidi"/>
          <w:color w:val="000000"/>
          <w:kern w:val="0"/>
          <w:sz w:val="32"/>
          <w:szCs w:val="32"/>
          <w:lang w:val="en-US" w:eastAsia="zh-CN" w:bidi="ar-SA"/>
        </w:rPr>
      </w:pPr>
      <w:r>
        <w:rPr>
          <w:rFonts w:hint="eastAsia" w:ascii="仿宋" w:hAnsi="仿宋" w:eastAsia="仿宋" w:cstheme="minorBidi"/>
          <w:color w:val="000000"/>
          <w:kern w:val="0"/>
          <w:sz w:val="32"/>
          <w:szCs w:val="32"/>
          <w:lang w:val="en-US" w:eastAsia="zh-CN" w:bidi="ar-SA"/>
        </w:rPr>
        <w:t>二、上年结转和结余：指以前年度尚未完成、结转到本年按有</w:t>
      </w:r>
    </w:p>
    <w:p>
      <w:pPr>
        <w:pStyle w:val="10"/>
        <w:jc w:val="left"/>
        <w:rPr>
          <w:rFonts w:hint="eastAsia" w:ascii="仿宋" w:hAnsi="仿宋" w:eastAsia="仿宋" w:cstheme="minorBidi"/>
          <w:color w:val="000000"/>
          <w:kern w:val="0"/>
          <w:sz w:val="32"/>
          <w:szCs w:val="32"/>
          <w:lang w:val="en-US" w:eastAsia="zh-CN" w:bidi="ar-SA"/>
        </w:rPr>
      </w:pPr>
      <w:r>
        <w:rPr>
          <w:rFonts w:hint="eastAsia" w:ascii="仿宋" w:hAnsi="仿宋" w:eastAsia="仿宋" w:cstheme="minorBidi"/>
          <w:color w:val="000000"/>
          <w:kern w:val="0"/>
          <w:sz w:val="32"/>
          <w:szCs w:val="32"/>
          <w:lang w:val="en-US" w:eastAsia="zh-CN" w:bidi="ar-SA"/>
        </w:rPr>
        <w:t>关规定继续使用的资金。</w:t>
      </w:r>
    </w:p>
    <w:p>
      <w:pPr>
        <w:pStyle w:val="10"/>
        <w:ind w:firstLine="640" w:firstLineChars="200"/>
        <w:jc w:val="left"/>
        <w:rPr>
          <w:rFonts w:hint="eastAsia" w:ascii="仿宋" w:hAnsi="仿宋" w:eastAsia="仿宋" w:cstheme="minorBidi"/>
          <w:color w:val="000000"/>
          <w:kern w:val="0"/>
          <w:sz w:val="32"/>
          <w:szCs w:val="32"/>
          <w:lang w:val="en-US" w:eastAsia="zh-CN" w:bidi="ar-SA"/>
        </w:rPr>
      </w:pPr>
      <w:r>
        <w:rPr>
          <w:rFonts w:hint="eastAsia" w:ascii="仿宋" w:hAnsi="仿宋" w:eastAsia="仿宋" w:cstheme="minorBidi"/>
          <w:color w:val="000000"/>
          <w:kern w:val="0"/>
          <w:sz w:val="32"/>
          <w:szCs w:val="32"/>
          <w:lang w:val="en-US" w:eastAsia="zh-CN" w:bidi="ar-SA"/>
        </w:rPr>
        <w:t>三、年末结转和结余资金：指本年度或以前年度预算安排、因</w:t>
      </w:r>
    </w:p>
    <w:p>
      <w:pPr>
        <w:pStyle w:val="10"/>
        <w:jc w:val="left"/>
        <w:rPr>
          <w:rFonts w:hint="eastAsia" w:ascii="仿宋" w:hAnsi="仿宋" w:eastAsia="仿宋" w:cstheme="minorBidi"/>
          <w:color w:val="000000"/>
          <w:kern w:val="0"/>
          <w:sz w:val="32"/>
          <w:szCs w:val="32"/>
          <w:lang w:val="en-US" w:eastAsia="zh-CN" w:bidi="ar-SA"/>
        </w:rPr>
      </w:pPr>
      <w:r>
        <w:rPr>
          <w:rFonts w:hint="eastAsia" w:ascii="仿宋" w:hAnsi="仿宋" w:eastAsia="仿宋" w:cstheme="minorBidi"/>
          <w:color w:val="000000"/>
          <w:kern w:val="0"/>
          <w:sz w:val="32"/>
          <w:szCs w:val="32"/>
          <w:lang w:val="en-US" w:eastAsia="zh-CN" w:bidi="ar-SA"/>
        </w:rPr>
        <w:t>客观条件发生变化无法按原计划实施，需要延迟到以后年度按有关</w:t>
      </w:r>
    </w:p>
    <w:p>
      <w:pPr>
        <w:pStyle w:val="10"/>
        <w:jc w:val="left"/>
        <w:rPr>
          <w:rFonts w:hint="eastAsia" w:ascii="仿宋" w:hAnsi="仿宋" w:eastAsia="仿宋" w:cstheme="minorBidi"/>
          <w:color w:val="000000"/>
          <w:kern w:val="0"/>
          <w:sz w:val="32"/>
          <w:szCs w:val="32"/>
          <w:lang w:val="en-US" w:eastAsia="zh-CN" w:bidi="ar-SA"/>
        </w:rPr>
      </w:pPr>
      <w:r>
        <w:rPr>
          <w:rFonts w:hint="eastAsia" w:ascii="仿宋" w:hAnsi="仿宋" w:eastAsia="仿宋" w:cstheme="minorBidi"/>
          <w:color w:val="000000"/>
          <w:kern w:val="0"/>
          <w:sz w:val="32"/>
          <w:szCs w:val="32"/>
          <w:lang w:val="en-US" w:eastAsia="zh-CN" w:bidi="ar-SA"/>
        </w:rPr>
        <w:t>规定继续使用的资金。</w:t>
      </w:r>
    </w:p>
    <w:p>
      <w:pPr>
        <w:pStyle w:val="10"/>
        <w:ind w:firstLine="640" w:firstLineChars="200"/>
        <w:jc w:val="left"/>
        <w:rPr>
          <w:rFonts w:hint="eastAsia" w:ascii="仿宋" w:hAnsi="仿宋" w:eastAsia="仿宋" w:cstheme="minorBidi"/>
          <w:color w:val="000000"/>
          <w:kern w:val="0"/>
          <w:sz w:val="32"/>
          <w:szCs w:val="32"/>
          <w:lang w:val="en-US" w:eastAsia="zh-CN" w:bidi="ar-SA"/>
        </w:rPr>
      </w:pPr>
      <w:r>
        <w:rPr>
          <w:rFonts w:hint="eastAsia" w:ascii="仿宋" w:hAnsi="仿宋" w:eastAsia="仿宋" w:cstheme="minorBidi"/>
          <w:color w:val="000000"/>
          <w:kern w:val="0"/>
          <w:sz w:val="32"/>
          <w:szCs w:val="32"/>
          <w:lang w:val="en-US" w:eastAsia="zh-CN" w:bidi="ar-SA"/>
        </w:rPr>
        <w:t>四、基本支出：指保障机构正常运转、完成支日常工作任务而</w:t>
      </w:r>
    </w:p>
    <w:p>
      <w:pPr>
        <w:pStyle w:val="10"/>
        <w:jc w:val="left"/>
        <w:rPr>
          <w:rFonts w:hint="eastAsia" w:ascii="仿宋" w:hAnsi="仿宋" w:eastAsia="仿宋" w:cstheme="minorBidi"/>
          <w:color w:val="000000"/>
          <w:kern w:val="0"/>
          <w:sz w:val="32"/>
          <w:szCs w:val="32"/>
          <w:lang w:val="en-US" w:eastAsia="zh-CN" w:bidi="ar-SA"/>
        </w:rPr>
      </w:pPr>
      <w:r>
        <w:rPr>
          <w:rFonts w:hint="eastAsia" w:ascii="仿宋" w:hAnsi="仿宋" w:eastAsia="仿宋" w:cstheme="minorBidi"/>
          <w:color w:val="000000"/>
          <w:kern w:val="0"/>
          <w:sz w:val="32"/>
          <w:szCs w:val="32"/>
          <w:lang w:val="en-US" w:eastAsia="zh-CN" w:bidi="ar-SA"/>
        </w:rPr>
        <w:t>发生的人员支出和公用支出。</w:t>
      </w:r>
    </w:p>
    <w:p>
      <w:pPr>
        <w:pStyle w:val="10"/>
        <w:ind w:firstLine="640" w:firstLineChars="200"/>
        <w:jc w:val="left"/>
        <w:rPr>
          <w:rFonts w:hint="eastAsia" w:ascii="仿宋" w:hAnsi="仿宋" w:eastAsia="仿宋" w:cstheme="minorBidi"/>
          <w:color w:val="000000"/>
          <w:kern w:val="0"/>
          <w:sz w:val="32"/>
          <w:szCs w:val="32"/>
          <w:lang w:val="en-US" w:eastAsia="zh-CN" w:bidi="ar-SA"/>
        </w:rPr>
      </w:pPr>
      <w:r>
        <w:rPr>
          <w:rFonts w:hint="eastAsia" w:ascii="仿宋" w:hAnsi="仿宋" w:eastAsia="仿宋" w:cstheme="minorBidi"/>
          <w:color w:val="000000"/>
          <w:kern w:val="0"/>
          <w:sz w:val="32"/>
          <w:szCs w:val="32"/>
          <w:lang w:val="en-US" w:eastAsia="zh-CN" w:bidi="ar-SA"/>
        </w:rPr>
        <w:t>五、项目支出：指在基本支出之外为完成特定行政任务和事业</w:t>
      </w:r>
    </w:p>
    <w:p>
      <w:pPr>
        <w:pStyle w:val="10"/>
        <w:jc w:val="left"/>
        <w:rPr>
          <w:rFonts w:hint="eastAsia" w:ascii="仿宋" w:hAnsi="仿宋" w:eastAsia="仿宋" w:cstheme="minorBidi"/>
          <w:color w:val="000000"/>
          <w:kern w:val="0"/>
          <w:sz w:val="32"/>
          <w:szCs w:val="32"/>
          <w:lang w:val="en-US" w:eastAsia="zh-CN" w:bidi="ar-SA"/>
        </w:rPr>
      </w:pPr>
      <w:r>
        <w:rPr>
          <w:rFonts w:hint="eastAsia" w:ascii="仿宋" w:hAnsi="仿宋" w:eastAsia="仿宋" w:cstheme="minorBidi"/>
          <w:color w:val="000000"/>
          <w:kern w:val="0"/>
          <w:sz w:val="32"/>
          <w:szCs w:val="32"/>
          <w:lang w:val="en-US" w:eastAsia="zh-CN" w:bidi="ar-SA"/>
        </w:rPr>
        <w:t>发展目标所发生的支出。</w:t>
      </w:r>
    </w:p>
    <w:p>
      <w:pPr>
        <w:pStyle w:val="10"/>
        <w:ind w:firstLine="640" w:firstLineChars="200"/>
        <w:jc w:val="left"/>
        <w:rPr>
          <w:rFonts w:hint="eastAsia" w:ascii="仿宋" w:hAnsi="仿宋" w:eastAsia="仿宋" w:cstheme="minorBidi"/>
          <w:color w:val="000000"/>
          <w:kern w:val="0"/>
          <w:sz w:val="32"/>
          <w:szCs w:val="32"/>
          <w:lang w:val="en-US" w:eastAsia="zh-CN" w:bidi="ar-SA"/>
        </w:rPr>
      </w:pPr>
      <w:r>
        <w:rPr>
          <w:rFonts w:hint="eastAsia" w:ascii="仿宋" w:hAnsi="仿宋" w:eastAsia="仿宋" w:cstheme="minorBidi"/>
          <w:color w:val="000000"/>
          <w:kern w:val="0"/>
          <w:sz w:val="32"/>
          <w:szCs w:val="32"/>
          <w:lang w:val="en-US" w:eastAsia="zh-CN" w:bidi="ar-SA"/>
        </w:rPr>
        <w:t>六、“三公”经费：指用财政拨款安排的因公出国（境）费、</w:t>
      </w:r>
    </w:p>
    <w:p>
      <w:pPr>
        <w:pStyle w:val="10"/>
        <w:jc w:val="left"/>
        <w:rPr>
          <w:rFonts w:hint="eastAsia" w:ascii="仿宋" w:hAnsi="仿宋" w:eastAsia="仿宋" w:cstheme="minorBidi"/>
          <w:color w:val="000000"/>
          <w:kern w:val="0"/>
          <w:sz w:val="32"/>
          <w:szCs w:val="32"/>
          <w:lang w:val="en-US" w:eastAsia="zh-CN" w:bidi="ar-SA"/>
        </w:rPr>
      </w:pPr>
      <w:r>
        <w:rPr>
          <w:rFonts w:hint="eastAsia" w:ascii="仿宋" w:hAnsi="仿宋" w:eastAsia="仿宋" w:cstheme="minorBidi"/>
          <w:color w:val="000000"/>
          <w:kern w:val="0"/>
          <w:sz w:val="32"/>
          <w:szCs w:val="32"/>
          <w:lang w:val="en-US" w:eastAsia="zh-CN" w:bidi="ar-SA"/>
        </w:rPr>
        <w:t>公务用车购置及运行费和公务接待费。</w:t>
      </w:r>
    </w:p>
    <w:p>
      <w:pPr>
        <w:pStyle w:val="10"/>
        <w:ind w:firstLine="640" w:firstLineChars="200"/>
        <w:jc w:val="left"/>
        <w:rPr>
          <w:rFonts w:hint="eastAsia" w:ascii="仿宋" w:hAnsi="仿宋" w:eastAsia="仿宋" w:cstheme="minorBidi"/>
          <w:color w:val="000000"/>
          <w:kern w:val="0"/>
          <w:sz w:val="32"/>
          <w:szCs w:val="32"/>
          <w:lang w:val="en-US" w:eastAsia="zh-CN" w:bidi="ar-SA"/>
        </w:rPr>
      </w:pPr>
      <w:r>
        <w:rPr>
          <w:rFonts w:hint="eastAsia" w:ascii="仿宋" w:hAnsi="仿宋" w:eastAsia="仿宋" w:cstheme="minorBidi"/>
          <w:color w:val="000000"/>
          <w:kern w:val="0"/>
          <w:sz w:val="32"/>
          <w:szCs w:val="32"/>
          <w:lang w:val="en-US" w:eastAsia="zh-CN" w:bidi="ar-SA"/>
        </w:rPr>
        <w:t>七、政府采购 ：是指国家各级政府为从事日常的政务活动或为</w:t>
      </w:r>
    </w:p>
    <w:p>
      <w:pPr>
        <w:pStyle w:val="10"/>
        <w:jc w:val="left"/>
        <w:rPr>
          <w:rFonts w:hint="eastAsia" w:ascii="仿宋" w:hAnsi="仿宋" w:eastAsia="仿宋" w:cstheme="minorBidi"/>
          <w:color w:val="000000"/>
          <w:kern w:val="0"/>
          <w:sz w:val="32"/>
          <w:szCs w:val="32"/>
          <w:lang w:val="en-US" w:eastAsia="zh-CN" w:bidi="ar-SA"/>
        </w:rPr>
      </w:pPr>
      <w:r>
        <w:rPr>
          <w:rFonts w:hint="eastAsia" w:ascii="仿宋" w:hAnsi="仿宋" w:eastAsia="仿宋" w:cstheme="minorBidi"/>
          <w:color w:val="000000"/>
          <w:kern w:val="0"/>
          <w:sz w:val="32"/>
          <w:szCs w:val="32"/>
          <w:lang w:val="en-US" w:eastAsia="zh-CN" w:bidi="ar-SA"/>
        </w:rPr>
        <w:t>了满足公共服务的目的，利用国家财政性资金和政府借款购买货物、</w:t>
      </w:r>
    </w:p>
    <w:p>
      <w:pPr>
        <w:pStyle w:val="10"/>
        <w:jc w:val="left"/>
        <w:rPr>
          <w:rFonts w:hint="eastAsia" w:ascii="仿宋" w:hAnsi="仿宋" w:eastAsia="仿宋" w:cstheme="minorBidi"/>
          <w:color w:val="000000"/>
          <w:kern w:val="0"/>
          <w:sz w:val="32"/>
          <w:szCs w:val="32"/>
          <w:lang w:val="en-US" w:eastAsia="zh-CN" w:bidi="ar-SA"/>
        </w:rPr>
      </w:pPr>
      <w:r>
        <w:rPr>
          <w:rFonts w:hint="eastAsia" w:ascii="仿宋" w:hAnsi="仿宋" w:eastAsia="仿宋" w:cstheme="minorBidi"/>
          <w:color w:val="000000"/>
          <w:kern w:val="0"/>
          <w:sz w:val="32"/>
          <w:szCs w:val="32"/>
          <w:lang w:val="en-US" w:eastAsia="zh-CN" w:bidi="ar-SA"/>
        </w:rPr>
        <w:t>工程和服务的行为。</w:t>
      </w:r>
    </w:p>
    <w:p>
      <w:pPr>
        <w:pStyle w:val="10"/>
        <w:ind w:firstLine="640" w:firstLineChars="200"/>
        <w:jc w:val="left"/>
        <w:rPr>
          <w:rFonts w:hint="eastAsia" w:ascii="仿宋" w:hAnsi="仿宋" w:eastAsia="仿宋" w:cstheme="minorBidi"/>
          <w:color w:val="000000"/>
          <w:kern w:val="0"/>
          <w:sz w:val="32"/>
          <w:szCs w:val="32"/>
          <w:lang w:val="en-US" w:eastAsia="zh-CN" w:bidi="ar-SA"/>
        </w:rPr>
      </w:pPr>
      <w:r>
        <w:rPr>
          <w:rFonts w:hint="eastAsia" w:ascii="仿宋" w:hAnsi="仿宋" w:eastAsia="仿宋" w:cstheme="minorBidi"/>
          <w:color w:val="000000"/>
          <w:kern w:val="0"/>
          <w:sz w:val="32"/>
          <w:szCs w:val="32"/>
          <w:lang w:val="en-US" w:eastAsia="zh-CN" w:bidi="ar-SA"/>
        </w:rPr>
        <w:t>八、机关运行经费：指为保障行政单位（包括参照公务员法管</w:t>
      </w:r>
    </w:p>
    <w:p>
      <w:pPr>
        <w:pStyle w:val="10"/>
        <w:jc w:val="left"/>
        <w:rPr>
          <w:rFonts w:hint="eastAsia" w:ascii="仿宋" w:hAnsi="仿宋" w:eastAsia="仿宋" w:cstheme="minorBidi"/>
          <w:color w:val="000000"/>
          <w:kern w:val="0"/>
          <w:sz w:val="32"/>
          <w:szCs w:val="32"/>
          <w:lang w:val="en-US" w:eastAsia="zh-CN" w:bidi="ar-SA"/>
        </w:rPr>
      </w:pPr>
      <w:r>
        <w:rPr>
          <w:rFonts w:hint="eastAsia" w:ascii="仿宋" w:hAnsi="仿宋" w:eastAsia="仿宋" w:cstheme="minorBidi"/>
          <w:color w:val="000000"/>
          <w:kern w:val="0"/>
          <w:sz w:val="32"/>
          <w:szCs w:val="32"/>
          <w:lang w:val="en-US" w:eastAsia="zh-CN" w:bidi="ar-SA"/>
        </w:rPr>
        <w:t>理的事业单位）运行用于购买货物和服务的各项资金，包括办公及</w:t>
      </w:r>
    </w:p>
    <w:p>
      <w:pPr>
        <w:pStyle w:val="10"/>
        <w:jc w:val="left"/>
        <w:rPr>
          <w:rFonts w:hint="eastAsia" w:ascii="仿宋" w:hAnsi="仿宋" w:eastAsia="仿宋" w:cstheme="minorBidi"/>
          <w:color w:val="000000"/>
          <w:kern w:val="0"/>
          <w:sz w:val="32"/>
          <w:szCs w:val="32"/>
          <w:lang w:val="en-US" w:eastAsia="zh-CN" w:bidi="ar-SA"/>
        </w:rPr>
      </w:pPr>
      <w:r>
        <w:rPr>
          <w:rFonts w:hint="eastAsia" w:ascii="仿宋" w:hAnsi="仿宋" w:eastAsia="仿宋" w:cstheme="minorBidi"/>
          <w:color w:val="000000"/>
          <w:kern w:val="0"/>
          <w:sz w:val="32"/>
          <w:szCs w:val="32"/>
          <w:lang w:val="en-US" w:eastAsia="zh-CN" w:bidi="ar-SA"/>
        </w:rPr>
        <w:t>印刷费、邮电费、差旅费、会议费、福利费、日常维修费、专用材</w:t>
      </w:r>
    </w:p>
    <w:p>
      <w:pPr>
        <w:pStyle w:val="10"/>
        <w:jc w:val="left"/>
        <w:rPr>
          <w:rFonts w:hint="eastAsia" w:ascii="仿宋" w:hAnsi="仿宋" w:eastAsia="仿宋" w:cstheme="minorBidi"/>
          <w:color w:val="000000"/>
          <w:kern w:val="0"/>
          <w:sz w:val="32"/>
          <w:szCs w:val="32"/>
          <w:lang w:val="en-US" w:eastAsia="zh-CN" w:bidi="ar-SA"/>
        </w:rPr>
      </w:pPr>
      <w:r>
        <w:rPr>
          <w:rFonts w:hint="eastAsia" w:ascii="仿宋" w:hAnsi="仿宋" w:eastAsia="仿宋" w:cstheme="minorBidi"/>
          <w:color w:val="000000"/>
          <w:kern w:val="0"/>
          <w:sz w:val="32"/>
          <w:szCs w:val="32"/>
          <w:lang w:val="en-US" w:eastAsia="zh-CN" w:bidi="ar-SA"/>
        </w:rPr>
        <w:t>料及一般设备购置费、办公用房水电费、办公用房取暖费、 办公用</w:t>
      </w:r>
    </w:p>
    <w:p>
      <w:pPr>
        <w:pStyle w:val="10"/>
        <w:jc w:val="left"/>
        <w:rPr>
          <w:rFonts w:hint="eastAsia" w:ascii="仿宋" w:hAnsi="仿宋" w:eastAsia="仿宋" w:cstheme="minorBidi"/>
          <w:color w:val="000000"/>
          <w:kern w:val="0"/>
          <w:sz w:val="32"/>
          <w:szCs w:val="32"/>
          <w:lang w:val="en-US" w:eastAsia="zh-CN" w:bidi="ar-SA"/>
        </w:rPr>
      </w:pPr>
      <w:r>
        <w:rPr>
          <w:rFonts w:hint="eastAsia" w:ascii="仿宋" w:hAnsi="仿宋" w:eastAsia="仿宋" w:cstheme="minorBidi"/>
          <w:color w:val="000000"/>
          <w:kern w:val="0"/>
          <w:sz w:val="32"/>
          <w:szCs w:val="32"/>
          <w:lang w:val="en-US" w:eastAsia="zh-CN" w:bidi="ar-SA"/>
        </w:rPr>
        <w:t>房物业管理费、 公务用车运行维护费以及其他费用。</w:t>
      </w:r>
    </w:p>
    <w:p>
      <w:pPr>
        <w:pStyle w:val="10"/>
        <w:jc w:val="left"/>
        <w:rPr>
          <w:rFonts w:hint="eastAsia" w:ascii="仿宋" w:hAnsi="仿宋" w:eastAsia="仿宋" w:cstheme="minorBidi"/>
          <w:color w:val="000000"/>
          <w:kern w:val="0"/>
          <w:sz w:val="32"/>
          <w:szCs w:val="32"/>
          <w:lang w:val="en-US" w:eastAsia="zh-CN" w:bidi="ar-SA"/>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C300BB"/>
    <w:multiLevelType w:val="singleLevel"/>
    <w:tmpl w:val="AFC300BB"/>
    <w:lvl w:ilvl="0" w:tentative="0">
      <w:start w:val="7"/>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wMWI3N2NjZmIwMzYwOTRiMjY0NmRlZmM2ODQyYjM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1225A62"/>
    <w:rsid w:val="08C7643E"/>
    <w:rsid w:val="0BE635C8"/>
    <w:rsid w:val="2BBC7D4E"/>
    <w:rsid w:val="3055499E"/>
    <w:rsid w:val="3285584A"/>
    <w:rsid w:val="3A9C0447"/>
    <w:rsid w:val="447B5C56"/>
    <w:rsid w:val="530D1306"/>
    <w:rsid w:val="5777D4F5"/>
    <w:rsid w:val="59F842F5"/>
    <w:rsid w:val="5FC6BB1E"/>
    <w:rsid w:val="5FF720F1"/>
    <w:rsid w:val="60B43136"/>
    <w:rsid w:val="61A12D29"/>
    <w:rsid w:val="6FEC788D"/>
    <w:rsid w:val="737D59BA"/>
    <w:rsid w:val="77C37683"/>
    <w:rsid w:val="79FF515B"/>
    <w:rsid w:val="7E9F11B4"/>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99"/>
    <w:pPr>
      <w:spacing w:before="25" w:after="25"/>
      <w:jc w:val="left"/>
    </w:pPr>
    <w:rPr>
      <w:bCs/>
      <w:spacing w:val="10"/>
      <w:sz w:val="24"/>
    </w:r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 w:type="character" w:customStyle="1" w:styleId="13">
    <w:name w:val="font01"/>
    <w:basedOn w:val="7"/>
    <w:qFormat/>
    <w:uiPriority w:val="0"/>
    <w:rPr>
      <w:rFonts w:hint="eastAsia" w:ascii="宋体" w:hAnsi="宋体" w:eastAsia="宋体" w:cs="宋体"/>
      <w:color w:val="000000"/>
      <w:sz w:val="22"/>
      <w:szCs w:val="22"/>
      <w:u w:val="none"/>
    </w:rPr>
  </w:style>
  <w:style w:type="character" w:customStyle="1" w:styleId="14">
    <w:name w:val="font21"/>
    <w:basedOn w:val="7"/>
    <w:qFormat/>
    <w:uiPriority w:val="0"/>
    <w:rPr>
      <w:rFonts w:hint="eastAsia" w:ascii="宋体" w:hAnsi="宋体" w:eastAsia="宋体" w:cs="宋体"/>
      <w:color w:val="000000"/>
      <w:sz w:val="24"/>
      <w:szCs w:val="24"/>
      <w:u w:val="none"/>
    </w:rPr>
  </w:style>
  <w:style w:type="character" w:customStyle="1" w:styleId="15">
    <w:name w:val="font1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17</Pages>
  <Words>4932</Words>
  <Characters>5272</Characters>
  <Lines>63</Lines>
  <Paragraphs>18</Paragraphs>
  <TotalTime>4</TotalTime>
  <ScaleCrop>false</ScaleCrop>
  <LinksUpToDate>false</LinksUpToDate>
  <CharactersWithSpaces>5295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Administrator</cp:lastModifiedBy>
  <cp:lastPrinted>2023-08-15T09:28:00Z</cp:lastPrinted>
  <dcterms:modified xsi:type="dcterms:W3CDTF">2023-09-19T07:30:57Z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897FCC23F31749758C8FD8EAA9AA01D6_13</vt:lpwstr>
  </property>
</Properties>
</file>