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both"/>
        <w:rPr>
          <w:sz w:val="56"/>
          <w:szCs w:val="56"/>
        </w:rPr>
      </w:pPr>
    </w:p>
    <w:p>
      <w:pPr>
        <w:pStyle w:val="13"/>
        <w:jc w:val="center"/>
        <w:rPr>
          <w:sz w:val="84"/>
          <w:szCs w:val="84"/>
        </w:rPr>
      </w:pPr>
    </w:p>
    <w:p>
      <w:pPr>
        <w:pStyle w:val="13"/>
        <w:jc w:val="center"/>
        <w:rPr>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益阳市赫山区城市管理和综合执法局</w:t>
      </w:r>
      <w:r>
        <w:rPr>
          <w:rFonts w:hint="eastAsia" w:ascii="方正小标宋_GBK" w:hAnsi="方正小标宋_GBK" w:eastAsia="方正小标宋_GBK" w:cs="方正小标宋_GBK"/>
          <w:sz w:val="84"/>
          <w:szCs w:val="84"/>
        </w:rPr>
        <w:t>部门决算</w:t>
      </w:r>
    </w:p>
    <w:p>
      <w:pPr>
        <w:pStyle w:val="13"/>
        <w:jc w:val="center"/>
        <w:rPr>
          <w:rFonts w:hint="eastAsia" w:ascii="方正小标宋_GBK" w:hAnsi="方正小标宋_GBK" w:eastAsia="方正小标宋_GBK" w:cs="方正小标宋_GBK"/>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spacing w:line="500" w:lineRule="exact"/>
        <w:jc w:val="both"/>
        <w:rPr>
          <w:b/>
          <w:sz w:val="36"/>
          <w:szCs w:val="28"/>
        </w:rPr>
      </w:pPr>
    </w:p>
    <w:p>
      <w:pPr>
        <w:pStyle w:val="13"/>
        <w:spacing w:line="500" w:lineRule="exact"/>
        <w:jc w:val="both"/>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赫山区城市管理和综合执法局</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益阳市赫山区城市管理和综合执法局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both"/>
        <w:rPr>
          <w:sz w:val="18"/>
          <w:szCs w:val="18"/>
        </w:rPr>
      </w:pPr>
    </w:p>
    <w:p>
      <w:pPr>
        <w:jc w:val="both"/>
        <w:rPr>
          <w:sz w:val="18"/>
          <w:szCs w:val="18"/>
        </w:rPr>
      </w:pPr>
    </w:p>
    <w:p>
      <w:pPr>
        <w:pStyle w:val="14"/>
        <w:numPr>
          <w:ilvl w:val="0"/>
          <w:numId w:val="0"/>
        </w:numPr>
        <w:ind w:leftChars="0"/>
        <w:jc w:val="left"/>
        <w:rPr>
          <w:rFonts w:hint="eastAsia" w:ascii="仿宋" w:hAnsi="仿宋" w:eastAsia="仿宋" w:cs="仿宋"/>
          <w:b/>
          <w:bCs/>
          <w:sz w:val="21"/>
          <w:szCs w:val="21"/>
        </w:rPr>
      </w:pPr>
    </w:p>
    <w:p>
      <w:pPr>
        <w:pStyle w:val="7"/>
        <w:keepNext/>
        <w:keepLines w:val="0"/>
        <w:widowControl/>
        <w:suppressLineNumbers w:val="0"/>
        <w:wordWrap w:val="0"/>
        <w:spacing w:before="0" w:beforeAutospacing="0" w:after="0" w:afterAutospacing="0"/>
        <w:ind w:right="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一、部门职责</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1</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贯彻执行城市管理和综合执法工作的方针政策和法律法规。深化城市管理综合行政执法体制改革，加强城市管理行政执法体系建设。</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2</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负责指导、协调、监督和考核全区城市管理和综合执法工作。</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3</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负责职责范围内市政公用设施（不含城区供水、供气）监管、城市园林绿化设施建设维护管理工作。</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4</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负责职责范围内门店招牌、侵占城市道路、城市公共空间等市容秩序的管理。</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5</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负责城市环境卫生的管理。承担城区环境卫生清扫保洁，城市环境卫生基础设施建设维护管理，生活垃圾、餐厨垃圾和建筑垃圾的处理。推进垃圾分类工作。</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6</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负责中心城区村（居）民违法违规建设行为的查处。负责区级规划控制区、乡镇规划控制区的查违控违拆违工作。参与联合巡查管理，参与全区查违控违拆违综合管理、监督、检查和考核工作。</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7</w:t>
      </w:r>
      <w:r>
        <w:rPr>
          <w:rFonts w:hint="eastAsia" w:ascii="仿宋" w:hAnsi="仿宋" w:eastAsia="仿宋" w:cs="仿宋"/>
          <w:sz w:val="32"/>
          <w:szCs w:val="32"/>
          <w:shd w:val="clear" w:fill="FFFFFF"/>
          <w:lang w:val="en-US" w:eastAsia="zh-CN"/>
        </w:rPr>
        <w:t>)</w:t>
      </w:r>
      <w:r>
        <w:rPr>
          <w:rFonts w:hint="eastAsia" w:ascii="仿宋" w:hAnsi="仿宋" w:eastAsia="仿宋" w:cs="仿宋"/>
          <w:sz w:val="32"/>
          <w:szCs w:val="32"/>
          <w:shd w:val="clear" w:fill="FFFFFF"/>
        </w:rPr>
        <w:t>负责全区禁限区域燃放烟花爆竹污染的监督管理和考核。负责城区焚烧垃圾、秸杆、落叶、沥青塑料等产生烟尘污染和经营性餐饮业油烟污染的监督管理；负责社会生活噪声污染、建筑施工噪声污染、建筑施工扬尘污染、渣土扬尘污染管理。</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val="en-US" w:eastAsia="zh-CN"/>
        </w:rPr>
        <w:t>(</w:t>
      </w:r>
      <w:r>
        <w:rPr>
          <w:rFonts w:hint="eastAsia" w:ascii="仿宋" w:hAnsi="仿宋" w:eastAsia="仿宋" w:cs="仿宋"/>
          <w:sz w:val="32"/>
          <w:szCs w:val="32"/>
          <w:shd w:val="clear" w:fill="FFFFFF"/>
        </w:rPr>
        <w:t>8</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负责职责范围内设置在城市公园与广场的应急避难场所管理，城区路面与广场排渍排涝、城市道路与桥梁、园林绿化照明等应急保障处理。</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9</w:t>
      </w:r>
      <w:r>
        <w:rPr>
          <w:rFonts w:hint="eastAsia" w:ascii="仿宋" w:hAnsi="仿宋" w:eastAsia="仿宋" w:cs="仿宋"/>
          <w:sz w:val="32"/>
          <w:szCs w:val="32"/>
          <w:shd w:val="clear" w:fill="FFFFFF"/>
          <w:lang w:val="en-US" w:eastAsia="zh-CN"/>
        </w:rPr>
        <w:t>)</w:t>
      </w:r>
      <w:r>
        <w:rPr>
          <w:rFonts w:hint="eastAsia" w:ascii="仿宋" w:hAnsi="仿宋" w:eastAsia="仿宋" w:cs="仿宋"/>
          <w:sz w:val="32"/>
          <w:szCs w:val="32"/>
          <w:shd w:val="clear" w:fill="FFFFFF"/>
        </w:rPr>
        <w:t>负责中心城区黑臭水体整治后维护管理的业务指导、监督和考核。</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val="en-US" w:eastAsia="zh-CN"/>
        </w:rPr>
        <w:t>(</w:t>
      </w:r>
      <w:r>
        <w:rPr>
          <w:rFonts w:hint="eastAsia" w:ascii="仿宋" w:hAnsi="仿宋" w:eastAsia="仿宋" w:cs="仿宋"/>
          <w:sz w:val="32"/>
          <w:szCs w:val="32"/>
          <w:shd w:val="clear" w:fill="FFFFFF"/>
        </w:rPr>
        <w:t>10</w:t>
      </w:r>
      <w:r>
        <w:rPr>
          <w:rFonts w:hint="eastAsia" w:ascii="仿宋" w:hAnsi="仿宋" w:eastAsia="仿宋" w:cs="仿宋"/>
          <w:sz w:val="32"/>
          <w:szCs w:val="32"/>
          <w:shd w:val="clear" w:fill="FFFFFF"/>
          <w:lang w:val="en-US" w:eastAsia="zh-CN"/>
        </w:rPr>
        <w:t>)</w:t>
      </w:r>
      <w:r>
        <w:rPr>
          <w:rFonts w:hint="eastAsia" w:ascii="仿宋" w:hAnsi="仿宋" w:eastAsia="仿宋" w:cs="仿宋"/>
          <w:sz w:val="32"/>
          <w:szCs w:val="32"/>
          <w:shd w:val="clear" w:fill="FFFFFF"/>
        </w:rPr>
        <w:t>负责职责范围内路灯的建设维护管理，以及中心城区路灯电费的管理。</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11</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负责职责范围内“门前三包”责任制的监督和考核工作。</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12</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负责区级智慧城市管理平台建设维护管理工作。</w:t>
      </w:r>
    </w:p>
    <w:p>
      <w:pPr>
        <w:pStyle w:val="7"/>
        <w:keepNext/>
        <w:keepLines w:val="0"/>
        <w:widowControl/>
        <w:suppressLineNumbers w:val="0"/>
        <w:wordWrap w:val="0"/>
        <w:spacing w:before="0" w:beforeAutospacing="0" w:after="0" w:afterAutospacing="0" w:line="500" w:lineRule="atLeast"/>
        <w:ind w:left="0" w:right="0" w:firstLine="640"/>
        <w:jc w:val="both"/>
        <w:rPr>
          <w:rFonts w:hint="eastAsia" w:ascii="仿宋" w:hAnsi="仿宋" w:eastAsia="仿宋" w:cs="仿宋"/>
          <w:sz w:val="21"/>
          <w:szCs w:val="21"/>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13</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协助乡镇开展镇区秩序整治、空间治理、供水供气监管，负责农村生活垃圾转运。</w:t>
      </w:r>
    </w:p>
    <w:p>
      <w:pPr>
        <w:pStyle w:val="7"/>
        <w:keepNext/>
        <w:keepLines w:val="0"/>
        <w:widowControl/>
        <w:suppressLineNumbers w:val="0"/>
        <w:wordWrap w:val="0"/>
        <w:spacing w:before="0" w:beforeAutospacing="0" w:after="0" w:afterAutospacing="0" w:line="500" w:lineRule="atLeast"/>
        <w:ind w:right="0"/>
        <w:jc w:val="both"/>
        <w:rPr>
          <w:rFonts w:hint="eastAsia" w:ascii="仿宋" w:hAnsi="仿宋" w:eastAsia="仿宋" w:cs="仿宋"/>
          <w:b/>
          <w:bCs/>
          <w:sz w:val="32"/>
          <w:szCs w:val="32"/>
          <w:shd w:val="clear" w:fill="FFFFFF"/>
          <w:lang w:val="en-US" w:eastAsia="zh-CN"/>
        </w:rPr>
      </w:pPr>
      <w:r>
        <w:rPr>
          <w:rFonts w:hint="eastAsia" w:ascii="黑体" w:hAnsi="黑体" w:eastAsia="黑体" w:cs="黑体"/>
          <w:b w:val="0"/>
          <w:bCs/>
          <w:kern w:val="0"/>
          <w:sz w:val="32"/>
          <w:szCs w:val="32"/>
        </w:rPr>
        <w:t>二、机构设置及决算单位构成</w:t>
      </w:r>
    </w:p>
    <w:p>
      <w:pPr>
        <w:pStyle w:val="7"/>
        <w:keepNext/>
        <w:keepLines w:val="0"/>
        <w:widowControl/>
        <w:suppressLineNumbers w:val="0"/>
        <w:wordWrap w:val="0"/>
        <w:spacing w:before="0" w:beforeAutospacing="0" w:after="0" w:afterAutospacing="0" w:line="500" w:lineRule="atLeast"/>
        <w:ind w:right="0" w:firstLine="640" w:firstLineChars="200"/>
        <w:jc w:val="both"/>
        <w:rPr>
          <w:rFonts w:hint="eastAsia" w:ascii="仿宋" w:hAnsi="仿宋" w:eastAsia="仿宋" w:cs="仿宋"/>
          <w:sz w:val="21"/>
          <w:szCs w:val="21"/>
        </w:rPr>
      </w:pP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1</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rPr>
        <w:t>局机关内设</w:t>
      </w:r>
      <w:r>
        <w:rPr>
          <w:rFonts w:hint="eastAsia" w:ascii="仿宋" w:hAnsi="仿宋" w:eastAsia="仿宋" w:cs="仿宋"/>
          <w:color w:val="000000"/>
          <w:sz w:val="32"/>
          <w:szCs w:val="32"/>
          <w:shd w:val="clear" w:fill="FFFFFF"/>
          <w:lang w:val="en-US" w:eastAsia="zh-CN"/>
        </w:rPr>
        <w:t>4</w:t>
      </w:r>
      <w:r>
        <w:rPr>
          <w:rFonts w:hint="eastAsia" w:ascii="仿宋" w:hAnsi="仿宋" w:eastAsia="仿宋" w:cs="仿宋"/>
          <w:color w:val="000000"/>
          <w:sz w:val="32"/>
          <w:szCs w:val="32"/>
          <w:shd w:val="clear" w:fill="FFFFFF"/>
        </w:rPr>
        <w:t>个股室：</w:t>
      </w:r>
      <w:r>
        <w:rPr>
          <w:rFonts w:hint="eastAsia" w:ascii="仿宋" w:hAnsi="仿宋" w:eastAsia="仿宋" w:cs="仿宋"/>
          <w:color w:val="000000"/>
          <w:sz w:val="32"/>
          <w:szCs w:val="32"/>
          <w:shd w:val="clear" w:fill="FFFFFF"/>
          <w:lang w:val="en-US" w:eastAsia="zh-CN"/>
        </w:rPr>
        <w:t>综合</w:t>
      </w:r>
      <w:r>
        <w:rPr>
          <w:rFonts w:hint="eastAsia" w:ascii="仿宋" w:hAnsi="仿宋" w:eastAsia="仿宋" w:cs="仿宋"/>
          <w:color w:val="000000"/>
          <w:sz w:val="32"/>
          <w:szCs w:val="32"/>
          <w:shd w:val="clear" w:fill="FFFFFF"/>
        </w:rPr>
        <w:t>办公室、督查考核股、法制股、</w:t>
      </w:r>
      <w:r>
        <w:rPr>
          <w:rFonts w:hint="eastAsia" w:ascii="仿宋" w:hAnsi="仿宋" w:eastAsia="仿宋" w:cs="仿宋"/>
          <w:color w:val="000000"/>
          <w:sz w:val="32"/>
          <w:szCs w:val="32"/>
          <w:shd w:val="clear" w:fill="FFFFFF"/>
          <w:lang w:val="en-US" w:eastAsia="zh-CN"/>
        </w:rPr>
        <w:t>城市管理股</w:t>
      </w:r>
      <w:r>
        <w:rPr>
          <w:rFonts w:hint="eastAsia" w:ascii="仿宋" w:hAnsi="仿宋" w:eastAsia="仿宋" w:cs="仿宋"/>
          <w:color w:val="000000"/>
          <w:sz w:val="32"/>
          <w:szCs w:val="32"/>
          <w:shd w:val="clear" w:fill="FFFFFF"/>
        </w:rPr>
        <w:t>。局下辖</w:t>
      </w:r>
      <w:r>
        <w:rPr>
          <w:rFonts w:hint="eastAsia" w:ascii="仿宋" w:hAnsi="仿宋" w:eastAsia="仿宋" w:cs="仿宋"/>
          <w:color w:val="000000"/>
          <w:sz w:val="32"/>
          <w:szCs w:val="32"/>
          <w:shd w:val="clear" w:fill="FFFFFF"/>
          <w:lang w:val="en-US" w:eastAsia="zh-CN"/>
        </w:rPr>
        <w:t>5</w:t>
      </w:r>
      <w:r>
        <w:rPr>
          <w:rFonts w:hint="eastAsia" w:ascii="仿宋" w:hAnsi="仿宋" w:eastAsia="仿宋" w:cs="仿宋"/>
          <w:color w:val="000000"/>
          <w:sz w:val="32"/>
          <w:szCs w:val="32"/>
          <w:shd w:val="clear" w:fill="FFFFFF"/>
        </w:rPr>
        <w:t>个大队</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lang w:val="en-US" w:eastAsia="zh-CN"/>
        </w:rPr>
        <w:t>规划执法大队</w:t>
      </w:r>
      <w:r>
        <w:rPr>
          <w:rFonts w:hint="eastAsia" w:ascii="仿宋" w:hAnsi="仿宋" w:eastAsia="仿宋" w:cs="仿宋"/>
          <w:color w:val="000000"/>
          <w:sz w:val="32"/>
          <w:szCs w:val="32"/>
          <w:shd w:val="clear" w:fill="FFFFFF"/>
        </w:rPr>
        <w:t>、</w:t>
      </w:r>
      <w:r>
        <w:rPr>
          <w:rFonts w:hint="eastAsia" w:ascii="仿宋" w:hAnsi="仿宋" w:eastAsia="仿宋" w:cs="仿宋"/>
          <w:color w:val="000000"/>
          <w:sz w:val="32"/>
          <w:szCs w:val="32"/>
          <w:shd w:val="clear" w:fill="FFFFFF"/>
          <w:lang w:val="en-US" w:eastAsia="zh-CN"/>
        </w:rPr>
        <w:t>城区城管执法大队、应急大队、龙岭城管执法大队、渣土大队。</w:t>
      </w:r>
      <w:r>
        <w:rPr>
          <w:rFonts w:hint="eastAsia" w:ascii="仿宋" w:hAnsi="仿宋" w:eastAsia="仿宋" w:cs="仿宋"/>
          <w:color w:val="000000"/>
          <w:sz w:val="32"/>
          <w:szCs w:val="32"/>
          <w:shd w:val="clear" w:fill="FFFFFF"/>
        </w:rPr>
        <w:t>1个</w:t>
      </w:r>
      <w:r>
        <w:rPr>
          <w:rFonts w:hint="eastAsia" w:ascii="仿宋" w:hAnsi="仿宋" w:eastAsia="仿宋" w:cs="仿宋"/>
          <w:color w:val="000000"/>
          <w:sz w:val="32"/>
          <w:szCs w:val="32"/>
          <w:shd w:val="clear" w:fill="FFFFFF"/>
          <w:lang w:val="en-US" w:eastAsia="zh-CN"/>
        </w:rPr>
        <w:t>独立核算二级机构单位：赫山区环境卫生</w:t>
      </w:r>
      <w:r>
        <w:rPr>
          <w:rFonts w:hint="eastAsia" w:ascii="仿宋" w:hAnsi="仿宋" w:eastAsia="仿宋" w:cs="仿宋"/>
          <w:color w:val="000000"/>
          <w:sz w:val="32"/>
          <w:szCs w:val="32"/>
          <w:shd w:val="clear" w:fill="FFFFFF"/>
        </w:rPr>
        <w:t>服务中心。区级办公室</w:t>
      </w:r>
      <w:r>
        <w:rPr>
          <w:rFonts w:hint="eastAsia" w:ascii="仿宋" w:hAnsi="仿宋" w:eastAsia="仿宋" w:cs="仿宋"/>
          <w:color w:val="000000"/>
          <w:sz w:val="32"/>
          <w:szCs w:val="32"/>
          <w:shd w:val="clear" w:fill="FFFFFF"/>
          <w:lang w:val="en-US" w:eastAsia="zh-CN"/>
        </w:rPr>
        <w:t>4</w:t>
      </w:r>
      <w:r>
        <w:rPr>
          <w:rFonts w:hint="eastAsia" w:ascii="仿宋" w:hAnsi="仿宋" w:eastAsia="仿宋" w:cs="仿宋"/>
          <w:color w:val="000000"/>
          <w:sz w:val="32"/>
          <w:szCs w:val="32"/>
          <w:shd w:val="clear" w:fill="FFFFFF"/>
        </w:rPr>
        <w:t>个，分别为区城市管理委员会办公室、</w:t>
      </w:r>
      <w:r>
        <w:rPr>
          <w:rFonts w:hint="eastAsia" w:ascii="仿宋" w:hAnsi="仿宋" w:eastAsia="仿宋" w:cs="仿宋"/>
          <w:color w:val="000000"/>
          <w:sz w:val="32"/>
          <w:szCs w:val="32"/>
          <w:shd w:val="clear" w:fill="FFFFFF"/>
          <w:lang w:val="en-US" w:eastAsia="zh-CN"/>
        </w:rPr>
        <w:t>区垃圾分类办公室、</w:t>
      </w:r>
      <w:r>
        <w:rPr>
          <w:rFonts w:hint="eastAsia" w:ascii="仿宋" w:hAnsi="仿宋" w:eastAsia="仿宋" w:cs="仿宋"/>
          <w:color w:val="000000"/>
          <w:sz w:val="32"/>
          <w:szCs w:val="32"/>
          <w:shd w:val="clear" w:fill="FFFFFF"/>
        </w:rPr>
        <w:t>区查违办</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lang w:val="en-US" w:eastAsia="zh-CN"/>
        </w:rPr>
        <w:t>区创园办</w:t>
      </w:r>
      <w:r>
        <w:rPr>
          <w:rFonts w:hint="eastAsia" w:ascii="仿宋" w:hAnsi="仿宋" w:eastAsia="仿宋" w:cs="仿宋"/>
          <w:color w:val="000000"/>
          <w:sz w:val="32"/>
          <w:szCs w:val="32"/>
          <w:shd w:val="clear" w:fill="FFFFFF"/>
        </w:rPr>
        <w:t>。</w:t>
      </w:r>
    </w:p>
    <w:p>
      <w:pPr>
        <w:pStyle w:val="7"/>
        <w:keepNext/>
        <w:keepLines w:val="0"/>
        <w:widowControl/>
        <w:suppressLineNumbers w:val="0"/>
        <w:wordWrap w:val="0"/>
        <w:spacing w:before="0" w:beforeAutospacing="0" w:after="0" w:afterAutospacing="0" w:line="500" w:lineRule="atLeast"/>
        <w:ind w:right="0" w:firstLine="640" w:firstLineChars="200"/>
        <w:jc w:val="both"/>
        <w:rPr>
          <w:rFonts w:hint="default" w:ascii="仿宋" w:hAnsi="仿宋" w:eastAsia="仿宋" w:cs="仿宋"/>
          <w:color w:val="000000"/>
          <w:sz w:val="32"/>
          <w:szCs w:val="32"/>
          <w:shd w:val="clear" w:fill="FFFFFF"/>
          <w:lang w:val="en-US"/>
        </w:rPr>
      </w:pP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lang w:val="en-US" w:eastAsia="zh-CN"/>
        </w:rPr>
        <w:t>2</w:t>
      </w:r>
      <w:r>
        <w:rPr>
          <w:rFonts w:hint="eastAsia" w:ascii="仿宋" w:hAnsi="仿宋" w:eastAsia="仿宋" w:cs="仿宋"/>
          <w:color w:val="000000"/>
          <w:sz w:val="32"/>
          <w:szCs w:val="32"/>
          <w:shd w:val="clear" w:fill="FFFFFF"/>
          <w:lang w:eastAsia="zh-CN"/>
        </w:rPr>
        <w:t>）</w:t>
      </w:r>
      <w:r>
        <w:rPr>
          <w:rFonts w:hint="eastAsia" w:ascii="仿宋" w:hAnsi="仿宋" w:eastAsia="仿宋" w:cs="仿宋"/>
          <w:color w:val="000000"/>
          <w:sz w:val="32"/>
          <w:szCs w:val="32"/>
          <w:shd w:val="clear" w:fill="FFFFFF"/>
          <w:lang w:val="en-US" w:eastAsia="zh-CN"/>
        </w:rPr>
        <w:t>决算单位构成。赫山区城市管理和综合执法局2022年部门决算汇总公开单位构成包括：赫山区城市管理和综合执法局本级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both"/>
        <w:rPr>
          <w:sz w:val="72"/>
          <w:szCs w:val="72"/>
        </w:rPr>
      </w:pP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3"/>
        <w:jc w:val="center"/>
        <w:rPr>
          <w:rFonts w:hint="eastAsia" w:ascii="方正小标宋_GBK" w:hAnsi="方正小标宋_GBK" w:eastAsia="方正小标宋_GBK" w:cs="方正小标宋_GBK"/>
          <w:sz w:val="84"/>
          <w:szCs w:val="84"/>
        </w:rPr>
      </w:pPr>
    </w:p>
    <w:p>
      <w:pPr>
        <w:pStyle w:val="13"/>
        <w:jc w:val="center"/>
        <w:rPr>
          <w:rFonts w:hint="default"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pPr>
      <w:r>
        <w:drawing>
          <wp:inline distT="0" distB="0" distL="114300" distR="114300">
            <wp:extent cx="5992495" cy="4728845"/>
            <wp:effectExtent l="0" t="0" r="825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92495" cy="4728845"/>
                    </a:xfrm>
                    <a:prstGeom prst="rect">
                      <a:avLst/>
                    </a:prstGeom>
                    <a:noFill/>
                    <a:ln>
                      <a:noFill/>
                    </a:ln>
                  </pic:spPr>
                </pic:pic>
              </a:graphicData>
            </a:graphic>
          </wp:inline>
        </w:drawing>
      </w:r>
    </w:p>
    <w:p>
      <w:pPr>
        <w:pStyle w:val="2"/>
      </w:pPr>
    </w:p>
    <w:p/>
    <w:p>
      <w:pPr>
        <w:pStyle w:val="2"/>
      </w:pPr>
    </w:p>
    <w:p/>
    <w:p>
      <w:pPr>
        <w:pStyle w:val="2"/>
      </w:pPr>
    </w:p>
    <w:p/>
    <w:p>
      <w:pPr>
        <w:pStyle w:val="2"/>
      </w:pPr>
    </w:p>
    <w:p>
      <w:r>
        <w:drawing>
          <wp:inline distT="0" distB="0" distL="114300" distR="114300">
            <wp:extent cx="5990590" cy="3797300"/>
            <wp:effectExtent l="0" t="0" r="1016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990590" cy="3797300"/>
                    </a:xfrm>
                    <a:prstGeom prst="rect">
                      <a:avLst/>
                    </a:prstGeom>
                    <a:noFill/>
                    <a:ln>
                      <a:noFill/>
                    </a:ln>
                  </pic:spPr>
                </pic:pic>
              </a:graphicData>
            </a:graphic>
          </wp:inline>
        </w:drawing>
      </w:r>
    </w:p>
    <w:p>
      <w:pPr>
        <w:pStyle w:val="2"/>
      </w:pPr>
    </w:p>
    <w:p/>
    <w:p>
      <w:pPr>
        <w:pStyle w:val="2"/>
      </w:pPr>
    </w:p>
    <w:p/>
    <w:p>
      <w:pPr>
        <w:pStyle w:val="2"/>
      </w:pPr>
    </w:p>
    <w:p/>
    <w:p>
      <w:pPr>
        <w:pStyle w:val="2"/>
      </w:pPr>
      <w:r>
        <w:drawing>
          <wp:inline distT="0" distB="0" distL="114300" distR="114300">
            <wp:extent cx="5995035" cy="4234815"/>
            <wp:effectExtent l="0" t="0" r="5715" b="133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995035" cy="4234815"/>
                    </a:xfrm>
                    <a:prstGeom prst="rect">
                      <a:avLst/>
                    </a:prstGeom>
                    <a:noFill/>
                    <a:ln>
                      <a:noFill/>
                    </a:ln>
                  </pic:spPr>
                </pic:pic>
              </a:graphicData>
            </a:graphic>
          </wp:inline>
        </w:drawing>
      </w:r>
    </w:p>
    <w:p/>
    <w:p>
      <w:pPr>
        <w:pStyle w:val="2"/>
      </w:pPr>
    </w:p>
    <w:p/>
    <w:p>
      <w:pPr>
        <w:pStyle w:val="2"/>
      </w:pPr>
    </w:p>
    <w:p/>
    <w:p>
      <w:pPr>
        <w:pStyle w:val="2"/>
      </w:pPr>
    </w:p>
    <w:p>
      <w:r>
        <w:drawing>
          <wp:inline distT="0" distB="0" distL="114300" distR="114300">
            <wp:extent cx="5989320" cy="4333875"/>
            <wp:effectExtent l="0" t="0" r="1143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989320" cy="4333875"/>
                    </a:xfrm>
                    <a:prstGeom prst="rect">
                      <a:avLst/>
                    </a:prstGeom>
                    <a:noFill/>
                    <a:ln>
                      <a:noFill/>
                    </a:ln>
                  </pic:spPr>
                </pic:pic>
              </a:graphicData>
            </a:graphic>
          </wp:inline>
        </w:drawing>
      </w:r>
    </w:p>
    <w:p>
      <w:pPr>
        <w:pStyle w:val="2"/>
      </w:pPr>
    </w:p>
    <w:p/>
    <w:p>
      <w:pPr>
        <w:pStyle w:val="2"/>
      </w:pPr>
    </w:p>
    <w:p/>
    <w:p>
      <w:pPr>
        <w:pStyle w:val="2"/>
      </w:pPr>
    </w:p>
    <w:p/>
    <w:p>
      <w:pPr>
        <w:pStyle w:val="2"/>
      </w:pPr>
      <w:r>
        <w:drawing>
          <wp:inline distT="0" distB="0" distL="114300" distR="114300">
            <wp:extent cx="5995035" cy="46101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995035" cy="4610100"/>
                    </a:xfrm>
                    <a:prstGeom prst="rect">
                      <a:avLst/>
                    </a:prstGeom>
                    <a:noFill/>
                    <a:ln>
                      <a:noFill/>
                    </a:ln>
                  </pic:spPr>
                </pic:pic>
              </a:graphicData>
            </a:graphic>
          </wp:inline>
        </w:drawing>
      </w:r>
    </w:p>
    <w:p/>
    <w:p>
      <w:pPr>
        <w:pStyle w:val="2"/>
      </w:pPr>
    </w:p>
    <w:p/>
    <w:p>
      <w:pPr>
        <w:pStyle w:val="2"/>
      </w:pPr>
    </w:p>
    <w:p/>
    <w:p>
      <w:pPr>
        <w:pStyle w:val="2"/>
      </w:pPr>
    </w:p>
    <w:p>
      <w:r>
        <w:drawing>
          <wp:inline distT="0" distB="0" distL="114300" distR="114300">
            <wp:extent cx="5995035" cy="4032885"/>
            <wp:effectExtent l="0" t="0" r="5715"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995035" cy="4032885"/>
                    </a:xfrm>
                    <a:prstGeom prst="rect">
                      <a:avLst/>
                    </a:prstGeom>
                    <a:noFill/>
                    <a:ln>
                      <a:noFill/>
                    </a:ln>
                  </pic:spPr>
                </pic:pic>
              </a:graphicData>
            </a:graphic>
          </wp:inline>
        </w:drawing>
      </w:r>
    </w:p>
    <w:p>
      <w:pPr>
        <w:pStyle w:val="2"/>
      </w:pPr>
    </w:p>
    <w:p/>
    <w:p>
      <w:pPr>
        <w:pStyle w:val="2"/>
      </w:pPr>
    </w:p>
    <w:p/>
    <w:p>
      <w:pPr>
        <w:pStyle w:val="2"/>
      </w:pPr>
    </w:p>
    <w:p/>
    <w:p>
      <w:pPr>
        <w:pStyle w:val="2"/>
      </w:pPr>
    </w:p>
    <w:p>
      <w:r>
        <w:drawing>
          <wp:inline distT="0" distB="0" distL="114300" distR="114300">
            <wp:extent cx="5996940" cy="2162810"/>
            <wp:effectExtent l="0" t="0" r="381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996940" cy="2162810"/>
                    </a:xfrm>
                    <a:prstGeom prst="rect">
                      <a:avLst/>
                    </a:prstGeom>
                    <a:noFill/>
                    <a:ln>
                      <a:noFill/>
                    </a:ln>
                  </pic:spPr>
                </pic:pic>
              </a:graphicData>
            </a:graphic>
          </wp:inline>
        </w:drawing>
      </w:r>
    </w:p>
    <w:p>
      <w:pPr>
        <w:pStyle w:val="2"/>
      </w:pPr>
    </w:p>
    <w:p/>
    <w:p>
      <w:pPr>
        <w:pStyle w:val="2"/>
      </w:pPr>
    </w:p>
    <w:p/>
    <w:p>
      <w:pPr>
        <w:pStyle w:val="2"/>
      </w:pPr>
    </w:p>
    <w:p/>
    <w:p>
      <w:pPr>
        <w:pStyle w:val="2"/>
      </w:pPr>
    </w:p>
    <w:p>
      <w:pPr>
        <w:jc w:val="center"/>
      </w:pPr>
      <w:r>
        <w:drawing>
          <wp:inline distT="0" distB="0" distL="114300" distR="114300">
            <wp:extent cx="5991860" cy="2712085"/>
            <wp:effectExtent l="0" t="0" r="8890" b="1206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991860" cy="2712085"/>
                    </a:xfrm>
                    <a:prstGeom prst="rect">
                      <a:avLst/>
                    </a:prstGeom>
                    <a:noFill/>
                    <a:ln>
                      <a:noFill/>
                    </a:ln>
                  </pic:spPr>
                </pic:pic>
              </a:graphicData>
            </a:graphic>
          </wp:inline>
        </w:drawing>
      </w:r>
    </w:p>
    <w:p>
      <w:pPr>
        <w:pStyle w:val="2"/>
        <w:rPr>
          <w:rFonts w:hint="eastAsia" w:eastAsiaTheme="minorEastAsia"/>
          <w:lang w:eastAsia="zh-CN"/>
        </w:rPr>
      </w:pPr>
      <w:r>
        <w:rPr>
          <w:rFonts w:hint="eastAsia"/>
          <w:lang w:eastAsia="zh-CN"/>
        </w:rPr>
        <w:t>本年本单位无此支出，此表无数据。</w:t>
      </w:r>
      <w:bookmarkStart w:id="0" w:name="_GoBack"/>
      <w:bookmarkEnd w:id="0"/>
    </w:p>
    <w:p/>
    <w:p>
      <w:pPr>
        <w:pStyle w:val="2"/>
      </w:pPr>
    </w:p>
    <w:p/>
    <w:p>
      <w:pPr>
        <w:pStyle w:val="2"/>
      </w:pPr>
    </w:p>
    <w:p/>
    <w:p>
      <w:pPr>
        <w:pStyle w:val="2"/>
      </w:pPr>
    </w:p>
    <w:p>
      <w:r>
        <w:drawing>
          <wp:inline distT="0" distB="0" distL="114300" distR="114300">
            <wp:extent cx="5989955" cy="1018540"/>
            <wp:effectExtent l="0" t="0" r="10795"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989955" cy="1018540"/>
                    </a:xfrm>
                    <a:prstGeom prst="rect">
                      <a:avLst/>
                    </a:prstGeom>
                    <a:noFill/>
                    <a:ln>
                      <a:noFill/>
                    </a:ln>
                  </pic:spPr>
                </pic:pic>
              </a:graphicData>
            </a:graphic>
          </wp:inline>
        </w:drawing>
      </w: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174" w:right="1174" w:bottom="947" w:left="1287" w:header="851" w:footer="992" w:gutter="0"/>
          <w:cols w:space="0" w:num="1"/>
          <w:rtlGutter w:val="0"/>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3"/>
        <w:jc w:val="center"/>
        <w:rPr>
          <w:rFonts w:hint="eastAsia" w:ascii="方正小标宋_GBK" w:hAnsi="方正小标宋_GBK" w:eastAsia="方正小标宋_GBK" w:cs="方正小标宋_GBK"/>
          <w:sz w:val="70"/>
          <w:szCs w:val="70"/>
        </w:rPr>
      </w:pPr>
    </w:p>
    <w:p>
      <w:pPr>
        <w:pStyle w:val="13"/>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6022.66</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2624.04</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30.35</w:t>
      </w:r>
      <w:r>
        <w:rPr>
          <w:rFonts w:hint="eastAsia" w:ascii="Times New Roman" w:hAnsi="Times New Roman" w:eastAsia="仿宋_GB2312"/>
          <w:sz w:val="32"/>
          <w:szCs w:val="32"/>
        </w:rPr>
        <w:t>%，主要是因</w:t>
      </w:r>
      <w:r>
        <w:rPr>
          <w:rFonts w:hint="eastAsia" w:ascii="Times New Roman" w:hAnsi="Times New Roman" w:eastAsia="仿宋_GB2312"/>
          <w:sz w:val="32"/>
          <w:szCs w:val="32"/>
          <w:lang w:val="en-US" w:eastAsia="zh-CN"/>
        </w:rPr>
        <w:t>为减少了创建国家文明城市基础设施提质改造方面和“三微工程”项目的投入。</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6022.66</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3598.53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59.75</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2424.13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40.25</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6022.66</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2681.6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44.53</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3341.06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55.47</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3"/>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3598.53</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1855.36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34.02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减少了创建国家文明城市基础设施提质改造方面和“三微工程”项目的投入。</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3598.53</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59.74</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1855.36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34.02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减少了创建国家文明城市基础设施提质改造方面和“三微工程”项目的投入。</w:t>
      </w:r>
    </w:p>
    <w:p>
      <w:pPr>
        <w:pStyle w:val="13"/>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3598.53</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4.49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0.13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社会保障和就业</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123.53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3.43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；卫生健康</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79.24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3300.26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91.71</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住房保障</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91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2.53</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3598.53</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3598.53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val="en-US" w:eastAsia="zh-CN"/>
        </w:rPr>
        <w:t>政府办公厅（室）及相关机构事务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1.49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w:t>
      </w:r>
      <w:r>
        <w:rPr>
          <w:rFonts w:hint="eastAsia" w:ascii="Times New Roman" w:hAnsi="Times New Roman" w:eastAsia="仿宋_GB2312"/>
          <w:sz w:val="32"/>
          <w:szCs w:val="32"/>
          <w:lang w:val="en-US"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其他财政事务</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社会保障和就业</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行政事业单位养老</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机关事业单位基本养老保险费</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123.53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123.53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卫生健康</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行政事业单位医疗</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行政单位医疗</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79.22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79.22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卫生健康</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行政事业单位医疗</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事业单位医疗</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城乡社区管理事务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2386.33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2386.33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城乡社区管理事务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其他城乡社区管理事务</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229.58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229.58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国有土地使用权出让收入安排的支出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其他国有土地使用权出让收入安排的支出</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52.53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52.53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城市基础设施配套费安排的支出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其他城市基础设施配套费安排的支出</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550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其他城乡社区支出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其他城乡社区支出</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81.83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81.83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住房保障支出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住房改革支出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住房公积金</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91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2681.6</w:t>
      </w:r>
      <w:r>
        <w:rPr>
          <w:rFonts w:hint="eastAsia" w:ascii="Times New Roman" w:hAnsi="Times New Roman" w:eastAsia="仿宋_GB2312"/>
          <w:sz w:val="32"/>
          <w:szCs w:val="32"/>
        </w:rPr>
        <w:t>万元，其中：</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1554.25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57.96</w:t>
      </w:r>
      <w:r>
        <w:rPr>
          <w:rFonts w:hint="eastAsia" w:ascii="Times New Roman" w:hAnsi="Times New Roman" w:eastAsia="仿宋_GB2312"/>
          <w:sz w:val="32"/>
          <w:szCs w:val="32"/>
        </w:rPr>
        <w:t>%,主要包括基本工资</w:t>
      </w:r>
      <w:r>
        <w:rPr>
          <w:rFonts w:hint="eastAsia" w:ascii="Times New Roman" w:hAnsi="Times New Roman" w:eastAsia="仿宋_GB2312"/>
          <w:sz w:val="32"/>
          <w:szCs w:val="32"/>
          <w:lang w:val="en-US" w:eastAsia="zh-CN"/>
        </w:rPr>
        <w:t>489.36万元</w:t>
      </w:r>
      <w:r>
        <w:rPr>
          <w:rFonts w:hint="eastAsia" w:ascii="Times New Roman" w:hAnsi="Times New Roman" w:eastAsia="仿宋_GB2312"/>
          <w:sz w:val="32"/>
          <w:szCs w:val="32"/>
        </w:rPr>
        <w:t>、津贴补贴</w:t>
      </w:r>
      <w:r>
        <w:rPr>
          <w:rFonts w:hint="eastAsia" w:ascii="Times New Roman" w:hAnsi="Times New Roman" w:eastAsia="仿宋_GB2312"/>
          <w:sz w:val="32"/>
          <w:szCs w:val="32"/>
          <w:lang w:val="en-US" w:eastAsia="zh-CN"/>
        </w:rPr>
        <w:t>18.48万元</w:t>
      </w:r>
      <w:r>
        <w:rPr>
          <w:rFonts w:hint="eastAsia" w:ascii="Times New Roman" w:hAnsi="Times New Roman" w:eastAsia="仿宋_GB2312"/>
          <w:sz w:val="32"/>
          <w:szCs w:val="32"/>
        </w:rPr>
        <w:t>、奖金</w:t>
      </w:r>
      <w:r>
        <w:rPr>
          <w:rFonts w:hint="eastAsia" w:ascii="Times New Roman" w:hAnsi="Times New Roman" w:eastAsia="仿宋_GB2312"/>
          <w:sz w:val="32"/>
          <w:szCs w:val="32"/>
          <w:lang w:val="en-US" w:eastAsia="zh-CN"/>
        </w:rPr>
        <w:t>27.05万元</w:t>
      </w:r>
      <w:r>
        <w:rPr>
          <w:rFonts w:hint="eastAsia" w:ascii="Times New Roman" w:hAnsi="Times New Roman" w:eastAsia="仿宋_GB2312"/>
          <w:sz w:val="32"/>
          <w:szCs w:val="32"/>
        </w:rPr>
        <w:t>、伙食补助费</w:t>
      </w:r>
      <w:r>
        <w:rPr>
          <w:rFonts w:hint="eastAsia" w:ascii="Times New Roman" w:hAnsi="Times New Roman" w:eastAsia="仿宋_GB2312"/>
          <w:sz w:val="32"/>
          <w:szCs w:val="32"/>
          <w:lang w:val="en-US" w:eastAsia="zh-CN"/>
        </w:rPr>
        <w:t>74.74万元、绩效工资346.54万元、机关事业单位基本养老保险缴费176.99万元，职业年金缴费52.57万元，职工基本医疗保险缴费114.61万元、其他社会保障缴费1.27万元，住房公积金242.2万元，生活补助3.29万元，奖励金6.74万元、其他对个人和家庭的补助0.4万元</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1127.35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42.04</w:t>
      </w:r>
      <w:r>
        <w:rPr>
          <w:rFonts w:hint="eastAsia" w:ascii="Times New Roman" w:hAnsi="Times New Roman" w:eastAsia="仿宋_GB2312"/>
          <w:sz w:val="32"/>
          <w:szCs w:val="32"/>
        </w:rPr>
        <w:t>%，主要包括办公费</w:t>
      </w:r>
      <w:r>
        <w:rPr>
          <w:rFonts w:hint="eastAsia" w:ascii="Times New Roman" w:hAnsi="Times New Roman" w:eastAsia="仿宋_GB2312"/>
          <w:sz w:val="32"/>
          <w:szCs w:val="32"/>
          <w:lang w:val="en-US" w:eastAsia="zh-CN"/>
        </w:rPr>
        <w:t>39.88万元</w:t>
      </w:r>
      <w:r>
        <w:rPr>
          <w:rFonts w:hint="eastAsia" w:ascii="Times New Roman" w:hAnsi="Times New Roman" w:eastAsia="仿宋_GB2312"/>
          <w:sz w:val="32"/>
          <w:szCs w:val="32"/>
        </w:rPr>
        <w:t>、印刷费</w:t>
      </w:r>
      <w:r>
        <w:rPr>
          <w:rFonts w:hint="eastAsia" w:ascii="Times New Roman" w:hAnsi="Times New Roman" w:eastAsia="仿宋_GB2312"/>
          <w:sz w:val="32"/>
          <w:szCs w:val="32"/>
          <w:lang w:val="en-US" w:eastAsia="zh-CN"/>
        </w:rPr>
        <w:t>15.27万元</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水费1.18万元、电费305.59万元、差旅费0.59万元、维修（护）费26.21万元、培训费4.25万元、专用材料费144.07万元、专用燃料费0.59万元、劳务费42.86万元、委托业务费229.58万元、工会经费43.75万元、福利费24.17万元、公务用车运行维护费20.32万元、其他交通费用1.03万元、其他商品和服务支出121.98万元、办公设备购置6.13万元、专用设备购置99.9万元。</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20.32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20.32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没有</w:t>
      </w:r>
      <w:r>
        <w:rPr>
          <w:rFonts w:hint="eastAsia" w:ascii="Times New Roman" w:hAnsi="Times New Roman" w:eastAsia="仿宋_GB2312"/>
          <w:sz w:val="32"/>
          <w:szCs w:val="32"/>
        </w:rPr>
        <w:t>因公出国（境）费支出。</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没有公务接待费支出</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没有</w:t>
      </w:r>
      <w:r>
        <w:rPr>
          <w:rFonts w:hint="eastAsia" w:ascii="Times New Roman" w:hAnsi="Times New Roman" w:eastAsia="仿宋_GB2312"/>
          <w:sz w:val="32"/>
          <w:szCs w:val="32"/>
        </w:rPr>
        <w:t>公务用车购置费支出。</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20.32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20.32</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预算数。</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20.32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3"/>
        <w:keepNext w:val="0"/>
        <w:keepLines w:val="0"/>
        <w:pageBreakBefore w:val="0"/>
        <w:widowControl w:val="0"/>
        <w:numPr>
          <w:ilvl w:val="0"/>
          <w:numId w:val="1"/>
        </w:numPr>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sz w:val="32"/>
          <w:szCs w:val="32"/>
        </w:rPr>
      </w:pP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楷体" w:hAnsi="楷体" w:eastAsia="楷体" w:cs="楷体"/>
          <w:b/>
          <w:bCs/>
          <w:i/>
          <w:color w:val="auto"/>
          <w:sz w:val="32"/>
          <w:szCs w:val="32"/>
        </w:rPr>
        <w:t xml:space="preserve"> </w:t>
      </w:r>
    </w:p>
    <w:p>
      <w:pPr>
        <w:pStyle w:val="13"/>
        <w:keepNext w:val="0"/>
        <w:keepLines w:val="0"/>
        <w:pageBreakBefore w:val="0"/>
        <w:widowControl w:val="0"/>
        <w:numPr>
          <w:ilvl w:val="0"/>
          <w:numId w:val="0"/>
        </w:numPr>
        <w:kinsoku/>
        <w:wordWrap/>
        <w:overflowPunct/>
        <w:topLinePunct w:val="0"/>
        <w:bidi w:val="0"/>
        <w:snapToGrid/>
        <w:spacing w:line="600" w:lineRule="exact"/>
        <w:ind w:firstLine="960" w:firstLineChars="30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20.32</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20.32</w:t>
      </w:r>
      <w:r>
        <w:rPr>
          <w:rFonts w:hint="eastAsia" w:ascii="Times New Roman" w:hAnsi="Times New Roman" w:eastAsia="仿宋_GB2312"/>
          <w:sz w:val="32"/>
          <w:szCs w:val="32"/>
        </w:rPr>
        <w:t>万元，主要是</w:t>
      </w:r>
      <w:r>
        <w:rPr>
          <w:rFonts w:hint="eastAsia" w:ascii="Times New Roman" w:hAnsi="Times New Roman" w:eastAsia="仿宋_GB2312"/>
          <w:sz w:val="32"/>
          <w:szCs w:val="32"/>
          <w:lang w:val="en-US" w:eastAsia="zh-CN"/>
        </w:rPr>
        <w:t>公务用车的维修、车辆保险和油料费用的支</w:t>
      </w:r>
      <w:r>
        <w:rPr>
          <w:rFonts w:hint="eastAsia" w:ascii="Times New Roman" w:hAnsi="Times New Roman" w:eastAsia="仿宋_GB2312"/>
          <w:sz w:val="32"/>
          <w:szCs w:val="32"/>
        </w:rPr>
        <w:t>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辆。</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3"/>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602.53</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602.53</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602.53</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国有土地使用权出让收入安排的支出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其他国有土地使用权出让收入安排的支出</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52.53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52.53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城乡社区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城市基础设施配套费安排的支出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其他城市基础设施配套费安排的支出</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550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550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1127.35</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725.45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180.5</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增加了查违控违劳务费与业务委托费的列支和赫山区路灯电费的列支</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万元；开支培训费</w:t>
      </w:r>
      <w:r>
        <w:rPr>
          <w:rFonts w:hint="eastAsia" w:ascii="Times New Roman" w:hAnsi="Times New Roman" w:eastAsia="仿宋_GB2312"/>
          <w:sz w:val="32"/>
          <w:szCs w:val="32"/>
          <w:lang w:val="en-US" w:eastAsia="zh-CN"/>
        </w:rPr>
        <w:t>4.25</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全市事业单位工作人员</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122</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事业单位工作人员公共科目、专业科目课程网络培训服务</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150.14</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33.14</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67</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150.14</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33.33</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仿宋" w:hAnsi="仿宋" w:eastAsia="仿宋" w:cs="仿宋"/>
          <w:b/>
          <w:bCs/>
          <w:sz w:val="21"/>
          <w:szCs w:val="21"/>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r>
        <w:rPr>
          <w:rFonts w:hint="eastAsia" w:ascii="仿宋" w:hAnsi="仿宋" w:eastAsia="仿宋" w:cs="仿宋"/>
          <w:b/>
          <w:bCs/>
          <w:sz w:val="32"/>
          <w:szCs w:val="32"/>
          <w:shd w:val="clear" w:fill="FFFFFF"/>
        </w:rPr>
        <w:t xml:space="preserve">  </w:t>
      </w:r>
    </w:p>
    <w:p>
      <w:pPr>
        <w:pStyle w:val="7"/>
        <w:keepNext w:val="0"/>
        <w:keepLines w:val="0"/>
        <w:widowControl/>
        <w:suppressLineNumbers w:val="0"/>
        <w:wordWrap w:val="0"/>
        <w:spacing w:before="0" w:beforeAutospacing="0" w:after="0" w:afterAutospacing="0"/>
        <w:ind w:left="0" w:right="0" w:firstLine="640"/>
        <w:jc w:val="left"/>
        <w:rPr>
          <w:rFonts w:hint="eastAsia" w:ascii="仿宋" w:hAnsi="仿宋" w:eastAsia="仿宋" w:cs="仿宋"/>
          <w:sz w:val="21"/>
          <w:szCs w:val="21"/>
        </w:rPr>
      </w:pPr>
      <w:r>
        <w:rPr>
          <w:rFonts w:hint="eastAsia" w:ascii="仿宋" w:hAnsi="仿宋" w:eastAsia="仿宋" w:cs="仿宋"/>
          <w:sz w:val="32"/>
          <w:szCs w:val="32"/>
          <w:shd w:val="clear" w:fill="FFFFFF"/>
        </w:rPr>
        <w:t>1.基础工作管理。我局领导非常重视预算绩效管理工作，对该项工作给予大力支持和指导，对上级做出的批示和下发的预算批发非常的关心。在一些制度建设方面我们做的有些欠缺，有待提高和完善。</w:t>
      </w:r>
    </w:p>
    <w:p>
      <w:pPr>
        <w:pStyle w:val="7"/>
        <w:keepNext w:val="0"/>
        <w:keepLines w:val="0"/>
        <w:widowControl/>
        <w:suppressLineNumbers w:val="0"/>
        <w:wordWrap w:val="0"/>
        <w:spacing w:before="0" w:beforeAutospacing="0" w:after="0" w:afterAutospacing="0"/>
        <w:ind w:left="0" w:right="0" w:firstLine="640"/>
        <w:jc w:val="left"/>
        <w:rPr>
          <w:rFonts w:hint="eastAsia" w:ascii="仿宋" w:hAnsi="仿宋" w:eastAsia="仿宋" w:cs="仿宋"/>
          <w:sz w:val="21"/>
          <w:szCs w:val="21"/>
        </w:rPr>
      </w:pPr>
      <w:r>
        <w:rPr>
          <w:rFonts w:hint="eastAsia" w:ascii="仿宋" w:hAnsi="仿宋" w:eastAsia="仿宋" w:cs="仿宋"/>
          <w:sz w:val="32"/>
          <w:szCs w:val="32"/>
          <w:shd w:val="clear" w:fill="FFFFFF"/>
        </w:rPr>
        <w:t>2.绩效目标管理。我局严格按照上级的要求在规定的时间报送绩效目标，比如每月按时发放工资，公积金、医疗保险等按时准确发放到位，从无拖欠。</w:t>
      </w:r>
    </w:p>
    <w:p>
      <w:pPr>
        <w:pStyle w:val="7"/>
        <w:keepNext w:val="0"/>
        <w:keepLines w:val="0"/>
        <w:widowControl/>
        <w:suppressLineNumbers w:val="0"/>
        <w:wordWrap w:val="0"/>
        <w:spacing w:before="0" w:beforeAutospacing="0" w:after="0" w:afterAutospacing="0"/>
        <w:ind w:left="0" w:right="0" w:firstLine="640"/>
        <w:jc w:val="left"/>
        <w:rPr>
          <w:rFonts w:hint="eastAsia" w:ascii="仿宋" w:hAnsi="仿宋" w:eastAsia="仿宋" w:cs="仿宋"/>
          <w:sz w:val="21"/>
          <w:szCs w:val="21"/>
        </w:rPr>
      </w:pPr>
      <w:r>
        <w:rPr>
          <w:rFonts w:hint="eastAsia" w:ascii="仿宋" w:hAnsi="仿宋" w:eastAsia="仿宋" w:cs="仿宋"/>
          <w:sz w:val="32"/>
          <w:szCs w:val="32"/>
          <w:shd w:val="clear" w:fill="FFFFFF"/>
        </w:rPr>
        <w:t>3.绩效评价管理。202</w:t>
      </w:r>
      <w:r>
        <w:rPr>
          <w:rFonts w:hint="eastAsia" w:ascii="仿宋" w:hAnsi="仿宋" w:eastAsia="仿宋" w:cs="仿宋"/>
          <w:sz w:val="32"/>
          <w:szCs w:val="32"/>
          <w:shd w:val="clear" w:fill="FFFFFF"/>
          <w:lang w:val="en-US" w:eastAsia="zh-CN"/>
        </w:rPr>
        <w:t>2</w:t>
      </w:r>
      <w:r>
        <w:rPr>
          <w:rFonts w:hint="eastAsia" w:ascii="仿宋" w:hAnsi="仿宋" w:eastAsia="仿宋" w:cs="仿宋"/>
          <w:sz w:val="32"/>
          <w:szCs w:val="32"/>
          <w:shd w:val="clear" w:fill="FFFFFF"/>
        </w:rPr>
        <w:t>年我局基本支出管理的各项收入和支出都按预算的目标完成。我局财政收入有在职人员工资及公用经费。支出时按国家规定的工资标准发放给职工。公用经费主要用于添置办公用品、办公设备等，三公经费主要支出是公务用车维护费，</w:t>
      </w:r>
      <w:r>
        <w:rPr>
          <w:rFonts w:hint="eastAsia" w:ascii="仿宋" w:hAnsi="仿宋" w:eastAsia="仿宋" w:cs="仿宋"/>
          <w:sz w:val="32"/>
          <w:szCs w:val="32"/>
          <w:shd w:val="clear" w:fill="FFFFFF"/>
          <w:lang w:val="en-US" w:eastAsia="zh-CN"/>
        </w:rPr>
        <w:t>与</w:t>
      </w:r>
      <w:r>
        <w:rPr>
          <w:rFonts w:hint="eastAsia" w:ascii="仿宋" w:hAnsi="仿宋" w:eastAsia="仿宋" w:cs="仿宋"/>
          <w:sz w:val="32"/>
          <w:szCs w:val="32"/>
          <w:shd w:val="clear" w:fill="FFFFFF"/>
        </w:rPr>
        <w:t>上年</w:t>
      </w:r>
      <w:r>
        <w:rPr>
          <w:rFonts w:hint="eastAsia" w:ascii="仿宋" w:hAnsi="仿宋" w:eastAsia="仿宋" w:cs="仿宋"/>
          <w:sz w:val="32"/>
          <w:szCs w:val="32"/>
          <w:shd w:val="clear" w:fill="FFFFFF"/>
          <w:lang w:val="en-US" w:eastAsia="zh-CN"/>
        </w:rPr>
        <w:t>保持齐平</w:t>
      </w:r>
      <w:r>
        <w:rPr>
          <w:rFonts w:hint="eastAsia" w:ascii="仿宋" w:hAnsi="仿宋" w:eastAsia="仿宋" w:cs="仿宋"/>
          <w:sz w:val="32"/>
          <w:szCs w:val="32"/>
          <w:shd w:val="clear" w:fill="FFFFFF"/>
        </w:rPr>
        <w:t>。项目收、支主要</w:t>
      </w:r>
      <w:r>
        <w:rPr>
          <w:rFonts w:hint="eastAsia" w:ascii="仿宋" w:hAnsi="仿宋" w:eastAsia="仿宋" w:cs="仿宋"/>
          <w:sz w:val="32"/>
          <w:szCs w:val="32"/>
          <w:shd w:val="clear" w:fill="FFFFFF"/>
          <w:lang w:val="en-US" w:eastAsia="zh-CN"/>
        </w:rPr>
        <w:t>减少了</w:t>
      </w:r>
      <w:r>
        <w:rPr>
          <w:rFonts w:hint="eastAsia" w:ascii="仿宋" w:hAnsi="仿宋" w:eastAsia="仿宋" w:cs="仿宋"/>
          <w:sz w:val="32"/>
          <w:szCs w:val="32"/>
          <w:shd w:val="clear" w:fill="FFFFFF"/>
        </w:rPr>
        <w:t>三微工程</w:t>
      </w:r>
      <w:r>
        <w:rPr>
          <w:rFonts w:hint="eastAsia" w:ascii="仿宋" w:hAnsi="仿宋" w:eastAsia="仿宋" w:cs="仿宋"/>
          <w:sz w:val="32"/>
          <w:szCs w:val="32"/>
          <w:shd w:val="clear" w:fill="FFFFFF"/>
          <w:lang w:val="en-US" w:eastAsia="zh-CN"/>
        </w:rPr>
        <w:t>和城市基础设施改造的投入</w:t>
      </w:r>
      <w:r>
        <w:rPr>
          <w:rFonts w:hint="eastAsia" w:ascii="仿宋" w:hAnsi="仿宋" w:eastAsia="仿宋" w:cs="仿宋"/>
          <w:sz w:val="32"/>
          <w:szCs w:val="32"/>
          <w:shd w:val="clear" w:fill="FFFFFF"/>
        </w:rPr>
        <w:t>。</w:t>
      </w:r>
    </w:p>
    <w:p>
      <w:pPr>
        <w:pStyle w:val="7"/>
        <w:keepNext w:val="0"/>
        <w:keepLines w:val="0"/>
        <w:widowControl/>
        <w:suppressLineNumbers w:val="0"/>
        <w:wordWrap w:val="0"/>
        <w:spacing w:before="0" w:beforeAutospacing="0" w:after="0" w:afterAutospacing="0"/>
        <w:ind w:left="0" w:right="0" w:firstLine="640"/>
        <w:jc w:val="left"/>
        <w:rPr>
          <w:rFonts w:hint="eastAsia" w:ascii="仿宋" w:hAnsi="仿宋" w:eastAsia="仿宋" w:cs="仿宋"/>
          <w:sz w:val="21"/>
          <w:szCs w:val="21"/>
        </w:rPr>
      </w:pPr>
      <w:r>
        <w:rPr>
          <w:rFonts w:hint="eastAsia" w:ascii="仿宋" w:hAnsi="仿宋" w:eastAsia="仿宋" w:cs="仿宋"/>
          <w:sz w:val="32"/>
          <w:szCs w:val="32"/>
          <w:shd w:val="clear" w:fill="FFFFFF"/>
        </w:rPr>
        <w:t>4.结果运用管理。在上级部门的领导下，我局出色的完成了202</w:t>
      </w:r>
      <w:r>
        <w:rPr>
          <w:rFonts w:hint="eastAsia" w:ascii="仿宋" w:hAnsi="仿宋" w:eastAsia="仿宋" w:cs="仿宋"/>
          <w:sz w:val="32"/>
          <w:szCs w:val="32"/>
          <w:shd w:val="clear" w:fill="FFFFFF"/>
          <w:lang w:val="en-US" w:eastAsia="zh-CN"/>
        </w:rPr>
        <w:t>2</w:t>
      </w:r>
      <w:r>
        <w:rPr>
          <w:rFonts w:hint="eastAsia" w:ascii="仿宋" w:hAnsi="仿宋" w:eastAsia="仿宋" w:cs="仿宋"/>
          <w:sz w:val="32"/>
          <w:szCs w:val="32"/>
          <w:shd w:val="clear" w:fill="FFFFFF"/>
        </w:rPr>
        <w:t>年绩效管理工作，为下一年的工作奠定了基础，我局将一如既往，在新的一年里更上新台阶。</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预算和预算绩效管理，部门履职效能，资金分配、使用和管理，资产和财务管理、政府采购等方面归纳存在的问题</w:t>
      </w:r>
      <w:r>
        <w:rPr>
          <w:rFonts w:hint="eastAsia" w:ascii="Times New Roman" w:hAnsi="Times New Roman" w:eastAsia="仿宋_GB2312"/>
          <w:sz w:val="32"/>
          <w:szCs w:val="32"/>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44"/>
        <w:jc w:val="left"/>
        <w:textAlignment w:val="center"/>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1．指标设计不尽合理，导致评价结果与实际情况不一定相符。如预算执行相关指标，预算完成率和预算控制率指标，在编制预算时，存在不可控性，部分项目支出年初部门已作预算编制，但财政未在年初预算中下达而在年中追加，造成当年预算追加过大，部分预算资金年底才下达，当年根本不能及时使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44"/>
        <w:jc w:val="left"/>
        <w:textAlignment w:val="center"/>
        <w:rPr>
          <w:rFonts w:hint="eastAsia" w:ascii="仿宋" w:hAnsi="仿宋" w:eastAsia="仿宋" w:cs="仿宋"/>
          <w:i w:val="0"/>
          <w:iCs w:val="0"/>
          <w:caps w:val="0"/>
          <w:color w:val="333333"/>
          <w:spacing w:val="0"/>
          <w:sz w:val="21"/>
          <w:szCs w:val="21"/>
        </w:rPr>
      </w:pPr>
      <w:r>
        <w:rPr>
          <w:rFonts w:hint="eastAsia" w:ascii="仿宋" w:hAnsi="仿宋" w:eastAsia="仿宋" w:cs="仿宋"/>
          <w:i w:val="0"/>
          <w:iCs w:val="0"/>
          <w:caps w:val="0"/>
          <w:color w:val="000000"/>
          <w:spacing w:val="0"/>
          <w:sz w:val="32"/>
          <w:szCs w:val="32"/>
          <w:shd w:val="clear" w:fill="FFFFFF"/>
        </w:rPr>
        <w:t>2．在设计绩效评价体系时目标的确定与量化往往带有较强的主观性与经验主义，这需要在评价过程中不断完善。</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p>
    <w:p>
      <w:pPr>
        <w:pStyle w:val="13"/>
        <w:jc w:val="both"/>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rPr>
          <w:rFonts w:hint="eastAsia"/>
        </w:rPr>
      </w:pPr>
    </w:p>
    <w:p>
      <w:pPr>
        <w:rPr>
          <w:rFonts w:hint="eastAsia"/>
        </w:rPr>
      </w:pP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财政拨款收入：指本级财政当年拨付的资金。</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政府性基金预算财政拨款收入：指本级财政当年拨付的政府性基金预算资金。</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其他收入：指除上述“财政拨款收入”、“上级补助收入”、“事业收入”、“经营收入”、“附属单位上缴收入”等以外的收入。</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上年结转和结余：指以前年度尚未完成、结转到本年按有关规定继续使用的资金。</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年末结转和结余资金：指本年度或以前年度预算安排、因客观条件发生变化无法按原计划实施，需要延迟到以后年度按有关规定继续使用的资金。</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卫生健康支出（类）：是指用于医疗卫生与计划生育方面的支出，包括保障机构正常运转、完成日常和特定的工作任务或事业发展目标的支出。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节能环保支出（类）：是指用于节能环保支出，包括保障机构正常运转、完成日常和特定的工作任务或事业发展目标的支出。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城乡社区支出（类）：是指用于城乡社区事务支出，包括保障机构正常运转、完成日常和特定的工作任务或事业发展目标的支出。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住房保障支出（类）：是指用于住房方面的支出，包括保障机构正常运转、完成日常和特定的工作任务或事业发展目标的支出。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基本支出：指保障机构正常运转、完成支日常工作任务而发生的人员支出和公用支出。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项目支出：指在基本支出之外为完成特定行政任务和事业发展目标所发生的支出。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工资福利支出：反映单位开支的在职职工和编制外长期聘用人员的各类劳动报酬，以及为上述人员缴纳的各项社会保险费等。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津贴补贴：反映经国家批准建立的机关事业单位艰苦边远地区津贴、机关工作人员地区附加津贴、机关工作人员岗位津贴、事业单位工作人员特殊岗位津贴补贴等。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奖金：反映机关工作人员年终一次性奖金。</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伙食补助费：反映单位发给职工的伙食补助费，如误餐补助等。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绩效工资：反映事业单位工作人员的绩效工资。</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机关事业单位基本养老保险缴费：反映机关事业单位缴纳的基本养老保险费。由单位代扣的工作人员基本养老保险缴费，不在此科目反映。</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eastAsia="zh-CN"/>
        </w:rPr>
      </w:pPr>
      <w:r>
        <w:rPr>
          <w:rFonts w:hint="eastAsia" w:ascii="仿宋" w:hAnsi="仿宋" w:eastAsia="仿宋" w:cs="仿宋"/>
          <w:color w:val="000000"/>
          <w:kern w:val="0"/>
          <w:sz w:val="32"/>
          <w:szCs w:val="24"/>
          <w:highlight w:val="white"/>
          <w:lang w:val="en-US"/>
        </w:rPr>
        <w:t>职业年金缴费：反映机关事业单位实际缴纳的职业年金支出。由单位代扣的工作人员职业年金缴费，不在此科目反映。</w:t>
      </w:r>
      <w:r>
        <w:rPr>
          <w:rFonts w:hint="eastAsia" w:ascii="仿宋" w:hAnsi="仿宋" w:eastAsia="仿宋" w:cs="仿宋"/>
          <w:color w:val="000000"/>
          <w:kern w:val="0"/>
          <w:sz w:val="32"/>
          <w:szCs w:val="24"/>
          <w:highlight w:val="white"/>
          <w:lang w:val="en-US" w:eastAsia="zh-CN"/>
        </w:rPr>
        <w:t xml:space="preserve">   </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职工基本医疗保险缴费：反映单位为职工缴纳的基本医疗保险费。</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其他社会保障缴费：反映单位为职工缴纳的基本医疗、失业、工伤、生育等社会保险费，残疾人就业保障金，军队（含武警）为军人缴纳的伤亡、退役医疗等社会保险费。</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住房公积金：反映行政事业单位按人力资源和社会保障部、财政部规定的基本工资和津贴补贴以及规定比例为职工缴纳的住房公积金。</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商品和服务支出：反映单位购买商品和服务的支出（不包括用于购置固定资产的支出、战略性和应急储备支出）。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办公费：反映单位购买按财务会计制度规定不符合固定资产确认标准的日常办公用品、书报杂志等支出。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印刷费：反映单位的印刷费支出。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咨询费：反映单位咨询方面的支出。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水费：反映单位支付的水费、污水处理费等支出。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电费：反映单位的电费支出。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eastAsia="zh-CN"/>
        </w:rPr>
      </w:pPr>
      <w:r>
        <w:rPr>
          <w:rFonts w:hint="eastAsia" w:ascii="仿宋" w:hAnsi="仿宋" w:eastAsia="仿宋" w:cs="仿宋"/>
          <w:color w:val="000000"/>
          <w:kern w:val="0"/>
          <w:sz w:val="32"/>
          <w:szCs w:val="24"/>
          <w:highlight w:val="white"/>
          <w:lang w:val="en-US"/>
        </w:rPr>
        <w:t>邮电费：反映单位开支的信函、包裹、货物等物品的邮寄费及电话费、电报费、传真费、网络通讯费等</w:t>
      </w:r>
      <w:r>
        <w:rPr>
          <w:rFonts w:hint="eastAsia" w:ascii="仿宋" w:hAnsi="仿宋" w:eastAsia="仿宋" w:cs="仿宋"/>
          <w:color w:val="000000"/>
          <w:kern w:val="0"/>
          <w:sz w:val="32"/>
          <w:szCs w:val="24"/>
          <w:highlight w:val="white"/>
          <w:lang w:val="en-US" w:eastAsia="zh-CN"/>
        </w:rPr>
        <w:t>。</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物业管理费：反映单位开支的办公用房以及未实行职工住宅物业服务改革的在职职工和离退休人员宿舍等的物业管理费，包括综合治理、绿化、卫生等方面的支出。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维修(护)费：反映单位日常开支的固定资产（不包括车船等交通工具）修理和维护费用，网络信息系统运行与维护费用，以及按规定提取的修购基金。</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租赁费：反映租赁办公用房、宿舍、专用通讯网以及其他设备等方面的费用。</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会议费：反映会议中按规定开支的住宿费、伙食费、会议室租金、交通费、文件印刷费、医药费等。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培训费：反映除因公出国（境）培训费以外的各类培训支出。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专用燃料费：反映用作业务工作设备的车、船设施等的油料支出。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劳务费：反映支付给单位和个人的劳务费用，如临时聘用人员、钟点工工资，稿费、翻译费，评审费等。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委托业务费：反映因委托外单位办理业务而支付的委托业务费。</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工会经费：反映单位按规定提取的工会经费。</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福利费：反映单位按规定提取的福利费。</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公务用车运行维护费：反映单位按规定保留的公务用车燃料费、维修费、过桥过路费、保险费、安全奖励费用等支出。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其他交通费用：反映单位除公务用车运行维护费以外的其他交通费用。如公务交通补贴，租车费用、出租车费用，飞机、船舶等的燃料费、维修费、保险费等。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其他商品和服务支出：反映上述科目未包括的日常公用支出。如行政赔偿费和诉讼费、国内组织的会员费、来访费、广告宣传、其他劳务费及离休人员特需费、公用经费等。</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对个人和家庭的补助：反映政府用于对个人和家庭的补助支出。</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退休费：反映行政事业单位和军队移交政府安置的退休人员的退休费和其他补贴。</w:t>
      </w:r>
    </w:p>
    <w:p>
      <w:pPr>
        <w:pageBreakBefore w:val="0"/>
        <w:numPr>
          <w:ilvl w:val="0"/>
          <w:numId w:val="0"/>
        </w:numPr>
        <w:kinsoku/>
        <w:overflowPunct/>
        <w:topLinePunct w:val="0"/>
        <w:bidi w:val="0"/>
        <w:snapToGrid/>
        <w:spacing w:beforeLines="0" w:afterLines="0" w:line="400" w:lineRule="atLeast"/>
        <w:ind w:firstLine="640" w:firstLineChars="200"/>
        <w:jc w:val="left"/>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keepLines/>
        <w:pageBreakBefore w:val="0"/>
        <w:kinsoku/>
        <w:overflowPunct/>
        <w:topLinePunct w:val="0"/>
        <w:bidi w:val="0"/>
        <w:snapToGrid/>
        <w:spacing w:beforeLines="0" w:afterLines="0" w:line="400" w:lineRule="atLeast"/>
        <w:ind w:firstLine="640"/>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助学金：反映各类学校学生助学金、奖学金、学生贷款、出国留学（实习）人员生活费，青少年业余体校学员伙食补助费和生活费补贴，按照协议由我方负担或享受我方奖学金的来华留学生、进修生生活费等。</w:t>
      </w:r>
    </w:p>
    <w:p>
      <w:pPr>
        <w:keepNext/>
        <w:keepLines/>
        <w:pageBreakBefore w:val="0"/>
        <w:kinsoku/>
        <w:overflowPunct/>
        <w:topLinePunct w:val="0"/>
        <w:bidi w:val="0"/>
        <w:snapToGrid/>
        <w:spacing w:beforeLines="0" w:afterLines="0" w:line="400" w:lineRule="atLeast"/>
        <w:ind w:firstLine="640"/>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奖励金：反映政府各部门的奖励支出，如对个体私营经济的奖励、计划生育目标责任奖励、独生子女父母奖励等。</w:t>
      </w:r>
    </w:p>
    <w:p>
      <w:pPr>
        <w:keepNext/>
        <w:keepLines/>
        <w:pageBreakBefore w:val="0"/>
        <w:kinsoku/>
        <w:overflowPunct/>
        <w:topLinePunct w:val="0"/>
        <w:bidi w:val="0"/>
        <w:snapToGrid/>
        <w:spacing w:beforeLines="0" w:afterLines="0" w:line="400" w:lineRule="atLeast"/>
        <w:ind w:firstLine="640" w:firstLineChars="200"/>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办公设备购置：反映用于购置并按财务会计制度规定纳入固定资产核算范围的办公家具和办公设备的支出，以及按规定提取的修购基金。</w:t>
      </w:r>
    </w:p>
    <w:p>
      <w:pPr>
        <w:keepNext/>
        <w:keepLines/>
        <w:pageBreakBefore w:val="0"/>
        <w:kinsoku/>
        <w:overflowPunct/>
        <w:topLinePunct w:val="0"/>
        <w:bidi w:val="0"/>
        <w:snapToGrid/>
        <w:spacing w:beforeLines="0" w:afterLines="0" w:line="400" w:lineRule="atLeast"/>
        <w:ind w:firstLine="640" w:firstLineChars="200"/>
        <w:textAlignment w:val="auto"/>
        <w:rPr>
          <w:rFonts w:hint="eastAsia" w:ascii="仿宋" w:hAnsi="仿宋" w:eastAsia="仿宋" w:cs="仿宋"/>
          <w:color w:val="000000"/>
          <w:kern w:val="0"/>
          <w:sz w:val="32"/>
          <w:szCs w:val="24"/>
          <w:highlight w:val="white"/>
          <w:lang w:val="en-US"/>
        </w:rPr>
      </w:pPr>
      <w:r>
        <w:rPr>
          <w:rFonts w:hint="eastAsia" w:ascii="仿宋" w:hAnsi="仿宋" w:eastAsia="仿宋" w:cs="仿宋"/>
          <w:color w:val="000000"/>
          <w:kern w:val="0"/>
          <w:sz w:val="32"/>
          <w:szCs w:val="24"/>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r>
        <w:rPr>
          <w:rFonts w:hint="eastAsia" w:ascii="仿宋" w:hAnsi="仿宋" w:eastAsia="仿宋" w:cs="仿宋"/>
          <w:color w:val="000000"/>
          <w:kern w:val="0"/>
          <w:sz w:val="32"/>
          <w:szCs w:val="24"/>
          <w:highlight w:val="white"/>
          <w:lang w:val="en-US" w:eastAsia="zh-CN"/>
        </w:rPr>
        <w:t>，反映一般公共预算财政拨款基本支出中公用经费之和</w:t>
      </w:r>
      <w:r>
        <w:rPr>
          <w:rFonts w:hint="eastAsia" w:ascii="仿宋" w:hAnsi="仿宋" w:eastAsia="仿宋" w:cs="仿宋"/>
          <w:color w:val="000000"/>
          <w:kern w:val="0"/>
          <w:sz w:val="32"/>
          <w:szCs w:val="24"/>
          <w:highlight w:val="white"/>
          <w:lang w:val="en-US"/>
        </w:rPr>
        <w:t>。</w:t>
      </w:r>
    </w:p>
    <w:p>
      <w:pPr>
        <w:pStyle w:val="2"/>
        <w:pageBreakBefore w:val="0"/>
        <w:kinsoku/>
        <w:overflowPunct/>
        <w:topLinePunct w:val="0"/>
        <w:bidi w:val="0"/>
        <w:snapToGrid/>
        <w:spacing w:line="400" w:lineRule="atLeast"/>
        <w:rPr>
          <w:rFonts w:hint="eastAsia" w:ascii="仿宋" w:hAnsi="仿宋" w:eastAsia="仿宋" w:cs="仿宋"/>
          <w:lang w:val="en-US"/>
        </w:rPr>
      </w:pPr>
    </w:p>
    <w:p>
      <w:pPr>
        <w:pStyle w:val="13"/>
        <w:jc w:val="center"/>
        <w:rPr>
          <w:sz w:val="72"/>
          <w:szCs w:val="72"/>
        </w:rPr>
      </w:pPr>
    </w:p>
    <w:p>
      <w:pPr>
        <w:jc w:val="left"/>
        <w:rPr>
          <w:rFonts w:cs="黑体" w:asciiTheme="minorEastAsia" w:hAnsiTheme="minorEastAsia"/>
          <w:color w:val="000000"/>
          <w:kern w:val="0"/>
          <w:sz w:val="32"/>
          <w:szCs w:val="32"/>
        </w:rPr>
      </w:pPr>
    </w:p>
    <w:sectPr>
      <w:pgSz w:w="11906" w:h="16838"/>
      <w:pgMar w:top="890" w:right="1174" w:bottom="890" w:left="11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DC1195"/>
    <w:multiLevelType w:val="singleLevel"/>
    <w:tmpl w:val="6FDC1195"/>
    <w:lvl w:ilvl="0" w:tentative="0">
      <w:start w:val="1"/>
      <w:numFmt w:val="decimal"/>
      <w:suff w:val="nothing"/>
      <w:lvlText w:val="%1、"/>
      <w:lvlJc w:val="left"/>
      <w:rPr>
        <w:rFonts w:hint="default" w:ascii="仿宋" w:hAnsi="仿宋" w:eastAsia="仿宋" w:cs="仿宋"/>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A7433AB"/>
    <w:rsid w:val="0F653EAC"/>
    <w:rsid w:val="1635792E"/>
    <w:rsid w:val="23952182"/>
    <w:rsid w:val="23E75B7E"/>
    <w:rsid w:val="24067C5F"/>
    <w:rsid w:val="284D302B"/>
    <w:rsid w:val="2FB06F5B"/>
    <w:rsid w:val="310972DE"/>
    <w:rsid w:val="3285584A"/>
    <w:rsid w:val="3E682515"/>
    <w:rsid w:val="40BA61E3"/>
    <w:rsid w:val="410F0A26"/>
    <w:rsid w:val="41427B9A"/>
    <w:rsid w:val="41E820EC"/>
    <w:rsid w:val="42767012"/>
    <w:rsid w:val="4A9A14FA"/>
    <w:rsid w:val="4B2C0426"/>
    <w:rsid w:val="4BCF4CEF"/>
    <w:rsid w:val="4C613FF6"/>
    <w:rsid w:val="4CB1343A"/>
    <w:rsid w:val="4D714816"/>
    <w:rsid w:val="4FF67E42"/>
    <w:rsid w:val="530D1306"/>
    <w:rsid w:val="55C91D3A"/>
    <w:rsid w:val="5777D4F5"/>
    <w:rsid w:val="5FC6BB1E"/>
    <w:rsid w:val="5FF720F1"/>
    <w:rsid w:val="60952422"/>
    <w:rsid w:val="670F50F1"/>
    <w:rsid w:val="67184FB0"/>
    <w:rsid w:val="6D136286"/>
    <w:rsid w:val="737D59BA"/>
    <w:rsid w:val="77C37683"/>
    <w:rsid w:val="79FF515B"/>
    <w:rsid w:val="7C482F30"/>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pPr>
    <w:rPr>
      <w:rFonts w:hint="default"/>
      <w:sz w:val="21"/>
      <w:szCs w:val="24"/>
    </w:rPr>
  </w:style>
  <w:style w:type="paragraph" w:styleId="3">
    <w:name w:val="Body Text Indent"/>
    <w:basedOn w:val="1"/>
    <w:qFormat/>
    <w:uiPriority w:val="0"/>
    <w:pPr>
      <w:spacing w:after="120"/>
      <w:ind w:left="420" w:leftChars="200"/>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qFormat/>
    <w:uiPriority w:val="0"/>
    <w:pPr>
      <w:ind w:firstLine="420"/>
    </w:p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 w:type="character" w:customStyle="1" w:styleId="16">
    <w:name w:val="font01"/>
    <w:basedOn w:val="10"/>
    <w:qFormat/>
    <w:uiPriority w:val="0"/>
    <w:rPr>
      <w:rFonts w:hint="eastAsia" w:ascii="宋体" w:hAnsi="宋体" w:eastAsia="宋体" w:cs="宋体"/>
      <w:color w:val="000000"/>
      <w:sz w:val="22"/>
      <w:szCs w:val="22"/>
      <w:u w:val="none"/>
    </w:rPr>
  </w:style>
  <w:style w:type="character" w:customStyle="1" w:styleId="17">
    <w:name w:val="font21"/>
    <w:basedOn w:val="10"/>
    <w:qFormat/>
    <w:uiPriority w:val="0"/>
    <w:rPr>
      <w:rFonts w:hint="eastAsia" w:ascii="宋体" w:hAnsi="宋体" w:eastAsia="宋体" w:cs="宋体"/>
      <w:color w:val="000000"/>
      <w:sz w:val="24"/>
      <w:szCs w:val="24"/>
      <w:u w:val="none"/>
    </w:rPr>
  </w:style>
  <w:style w:type="character" w:customStyle="1" w:styleId="18">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17</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2023-09-19T02:50:36Z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9E83B29EBDC049698CE634CE603DC35E_13</vt:lpwstr>
  </property>
</Properties>
</file>