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sz w:val="56"/>
          <w:szCs w:val="56"/>
        </w:rPr>
      </w:pPr>
    </w:p>
    <w:p>
      <w:pPr>
        <w:pStyle w:val="7"/>
        <w:jc w:val="center"/>
        <w:rPr>
          <w:sz w:val="56"/>
          <w:szCs w:val="56"/>
        </w:rPr>
      </w:pPr>
    </w:p>
    <w:p>
      <w:pPr>
        <w:pStyle w:val="7"/>
        <w:jc w:val="center"/>
        <w:rPr>
          <w:sz w:val="84"/>
          <w:szCs w:val="84"/>
        </w:rPr>
      </w:pPr>
    </w:p>
    <w:p>
      <w:pPr>
        <w:pStyle w:val="7"/>
        <w:jc w:val="center"/>
        <w:rPr>
          <w:sz w:val="84"/>
          <w:szCs w:val="84"/>
        </w:rPr>
      </w:pPr>
    </w:p>
    <w:p>
      <w:pPr>
        <w:pStyle w:val="7"/>
        <w:jc w:val="center"/>
        <w:rPr>
          <w:rFonts w:hint="eastAsia" w:ascii="方正小标宋_GBK" w:hAnsi="方正小标宋_GBK" w:eastAsia="方正小标宋_GBK" w:cs="方正小标宋_GBK"/>
          <w:sz w:val="84"/>
          <w:szCs w:val="84"/>
          <w:lang w:val="en-US" w:eastAsia="zh-CN"/>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r>
        <w:rPr>
          <w:rFonts w:hint="eastAsia" w:ascii="方正小标宋_GBK" w:hAnsi="方正小标宋_GBK" w:eastAsia="方正小标宋_GBK" w:cs="方正小标宋_GBK"/>
          <w:sz w:val="84"/>
          <w:szCs w:val="84"/>
          <w:lang w:val="en-US" w:eastAsia="zh-CN"/>
        </w:rPr>
        <w:t>益阳市赫山区</w:t>
      </w:r>
    </w:p>
    <w:p>
      <w:pPr>
        <w:pStyle w:val="7"/>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商务局</w:t>
      </w:r>
      <w:r>
        <w:rPr>
          <w:rFonts w:hint="eastAsia" w:ascii="方正小标宋_GBK" w:hAnsi="方正小标宋_GBK" w:eastAsia="方正小标宋_GBK" w:cs="方正小标宋_GBK"/>
          <w:sz w:val="84"/>
          <w:szCs w:val="84"/>
        </w:rPr>
        <w:t>部门决算</w:t>
      </w:r>
    </w:p>
    <w:p>
      <w:pPr>
        <w:pStyle w:val="7"/>
        <w:jc w:val="center"/>
        <w:rPr>
          <w:rFonts w:hint="eastAsia" w:ascii="方正小标宋_GBK" w:hAnsi="方正小标宋_GBK" w:eastAsia="方正小标宋_GBK" w:cs="方正小标宋_GBK"/>
          <w:sz w:val="56"/>
          <w:szCs w:val="56"/>
        </w:rPr>
      </w:pPr>
    </w:p>
    <w:p>
      <w:pPr>
        <w:pStyle w:val="7"/>
        <w:jc w:val="center"/>
        <w:rPr>
          <w:sz w:val="56"/>
          <w:szCs w:val="56"/>
        </w:rPr>
      </w:pPr>
    </w:p>
    <w:p>
      <w:pPr>
        <w:pStyle w:val="7"/>
        <w:jc w:val="center"/>
        <w:rPr>
          <w:sz w:val="56"/>
          <w:szCs w:val="56"/>
        </w:rPr>
      </w:pPr>
    </w:p>
    <w:p>
      <w:pPr>
        <w:pStyle w:val="7"/>
        <w:jc w:val="center"/>
        <w:rPr>
          <w:sz w:val="56"/>
          <w:szCs w:val="56"/>
        </w:rPr>
      </w:pPr>
    </w:p>
    <w:p>
      <w:pPr>
        <w:pStyle w:val="7"/>
        <w:jc w:val="center"/>
        <w:rPr>
          <w:sz w:val="56"/>
          <w:szCs w:val="56"/>
        </w:rPr>
      </w:pPr>
    </w:p>
    <w:p>
      <w:pPr>
        <w:pStyle w:val="7"/>
        <w:jc w:val="center"/>
        <w:rPr>
          <w:sz w:val="56"/>
          <w:szCs w:val="56"/>
        </w:rPr>
      </w:pPr>
    </w:p>
    <w:p>
      <w:pPr>
        <w:pStyle w:val="7"/>
        <w:jc w:val="center"/>
        <w:rPr>
          <w:sz w:val="56"/>
          <w:szCs w:val="56"/>
        </w:rPr>
      </w:pPr>
    </w:p>
    <w:p>
      <w:pPr>
        <w:pStyle w:val="7"/>
        <w:jc w:val="center"/>
        <w:rPr>
          <w:sz w:val="56"/>
          <w:szCs w:val="56"/>
        </w:rPr>
      </w:pPr>
    </w:p>
    <w:p>
      <w:pPr>
        <w:pStyle w:val="7"/>
        <w:jc w:val="center"/>
        <w:rPr>
          <w:sz w:val="32"/>
          <w:szCs w:val="32"/>
        </w:rPr>
      </w:pPr>
    </w:p>
    <w:p>
      <w:pPr>
        <w:pStyle w:val="7"/>
        <w:jc w:val="center"/>
        <w:rPr>
          <w:sz w:val="32"/>
          <w:szCs w:val="32"/>
        </w:rPr>
      </w:pPr>
    </w:p>
    <w:p>
      <w:pPr>
        <w:pStyle w:val="7"/>
        <w:jc w:val="center"/>
        <w:rPr>
          <w:sz w:val="32"/>
          <w:szCs w:val="32"/>
        </w:rPr>
      </w:pPr>
    </w:p>
    <w:p>
      <w:pPr>
        <w:pStyle w:val="7"/>
        <w:jc w:val="center"/>
        <w:rPr>
          <w:sz w:val="32"/>
          <w:szCs w:val="32"/>
        </w:rPr>
      </w:pPr>
    </w:p>
    <w:p>
      <w:pPr>
        <w:pStyle w:val="7"/>
        <w:jc w:val="center"/>
        <w:rPr>
          <w:sz w:val="32"/>
          <w:szCs w:val="32"/>
        </w:rPr>
      </w:pPr>
    </w:p>
    <w:p>
      <w:pPr>
        <w:pStyle w:val="7"/>
        <w:spacing w:line="540" w:lineRule="exact"/>
        <w:jc w:val="center"/>
        <w:rPr>
          <w:sz w:val="56"/>
          <w:szCs w:val="56"/>
        </w:rPr>
      </w:pPr>
    </w:p>
    <w:p>
      <w:pPr>
        <w:pStyle w:val="7"/>
        <w:spacing w:line="500" w:lineRule="exact"/>
        <w:jc w:val="both"/>
        <w:rPr>
          <w:b/>
          <w:sz w:val="36"/>
          <w:szCs w:val="28"/>
        </w:rPr>
      </w:pPr>
    </w:p>
    <w:p>
      <w:pPr>
        <w:pStyle w:val="7"/>
        <w:spacing w:line="500" w:lineRule="exact"/>
        <w:jc w:val="center"/>
        <w:rPr>
          <w:b/>
          <w:sz w:val="36"/>
          <w:szCs w:val="28"/>
        </w:rPr>
      </w:pPr>
      <w:r>
        <w:rPr>
          <w:rFonts w:hint="eastAsia"/>
          <w:b/>
          <w:sz w:val="36"/>
          <w:szCs w:val="28"/>
        </w:rPr>
        <w:t>目录</w:t>
      </w:r>
    </w:p>
    <w:p>
      <w:pPr>
        <w:pStyle w:val="7"/>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val="en-US" w:eastAsia="zh-CN"/>
        </w:rPr>
        <w:t>益阳市赫山区商务局</w:t>
      </w:r>
      <w:r>
        <w:rPr>
          <w:rFonts w:hint="eastAsia" w:ascii="黑体" w:hAnsi="黑体" w:eastAsia="黑体" w:cs="黑体"/>
          <w:b w:val="0"/>
          <w:bCs/>
          <w:sz w:val="28"/>
          <w:szCs w:val="28"/>
        </w:rPr>
        <w:t>概况</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7"/>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7"/>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7"/>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7"/>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7"/>
        <w:jc w:val="center"/>
        <w:rPr>
          <w:rFonts w:hint="eastAsia" w:ascii="方正小标宋_GBK" w:hAnsi="方正小标宋_GBK" w:eastAsia="方正小标宋_GBK" w:cs="方正小标宋_GBK"/>
          <w:sz w:val="84"/>
          <w:szCs w:val="84"/>
        </w:rPr>
      </w:pPr>
    </w:p>
    <w:p>
      <w:pPr>
        <w:pStyle w:val="7"/>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益阳市赫山区商务局</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both"/>
        <w:rPr>
          <w:sz w:val="32"/>
          <w:szCs w:val="32"/>
        </w:rPr>
      </w:pPr>
    </w:p>
    <w:p>
      <w:pPr>
        <w:jc w:val="both"/>
        <w:rPr>
          <w:sz w:val="32"/>
          <w:szCs w:val="32"/>
        </w:rPr>
      </w:pPr>
    </w:p>
    <w:p>
      <w:pPr>
        <w:jc w:val="both"/>
        <w:rPr>
          <w:sz w:val="32"/>
          <w:szCs w:val="32"/>
        </w:rPr>
      </w:pPr>
    </w:p>
    <w:p>
      <w:pPr>
        <w:pStyle w:val="8"/>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spacing w:before="242" w:line="369" w:lineRule="auto"/>
        <w:ind w:firstLine="605"/>
        <w:rPr>
          <w:rFonts w:ascii="仿宋" w:hAnsi="仿宋" w:eastAsia="仿宋" w:cs="仿宋"/>
          <w:sz w:val="30"/>
          <w:szCs w:val="30"/>
        </w:rPr>
      </w:pPr>
      <w:r>
        <w:rPr>
          <w:rFonts w:ascii="仿宋" w:hAnsi="仿宋" w:eastAsia="仿宋" w:cs="仿宋"/>
          <w:spacing w:val="-1"/>
          <w:sz w:val="30"/>
          <w:szCs w:val="30"/>
        </w:rPr>
        <w:t>（一）贯彻执行国家国内外贸易、国际经济合作和区域经济合</w:t>
      </w:r>
      <w:r>
        <w:rPr>
          <w:rFonts w:ascii="仿宋" w:hAnsi="仿宋" w:eastAsia="仿宋" w:cs="仿宋"/>
          <w:sz w:val="30"/>
          <w:szCs w:val="30"/>
        </w:rPr>
        <w:t xml:space="preserve">  </w:t>
      </w:r>
      <w:r>
        <w:rPr>
          <w:rFonts w:ascii="仿宋" w:hAnsi="仿宋" w:eastAsia="仿宋" w:cs="仿宋"/>
          <w:spacing w:val="-1"/>
          <w:sz w:val="30"/>
          <w:szCs w:val="30"/>
        </w:rPr>
        <w:t>作的发展战略、政策，起草我区国内外贸易、招商引资、承接产业</w:t>
      </w:r>
      <w:r>
        <w:rPr>
          <w:rFonts w:ascii="仿宋" w:hAnsi="仿宋" w:eastAsia="仿宋" w:cs="仿宋"/>
          <w:spacing w:val="4"/>
          <w:sz w:val="30"/>
          <w:szCs w:val="30"/>
        </w:rPr>
        <w:t xml:space="preserve">  </w:t>
      </w:r>
      <w:r>
        <w:rPr>
          <w:rFonts w:ascii="仿宋" w:hAnsi="仿宋" w:eastAsia="仿宋" w:cs="仿宋"/>
          <w:spacing w:val="-3"/>
          <w:sz w:val="30"/>
          <w:szCs w:val="30"/>
        </w:rPr>
        <w:t>转移、对外援助、对外投资和对外经济合作的政策措施和</w:t>
      </w:r>
      <w:r>
        <w:rPr>
          <w:rFonts w:ascii="仿宋" w:hAnsi="仿宋" w:eastAsia="仿宋" w:cs="仿宋"/>
          <w:spacing w:val="-4"/>
          <w:sz w:val="30"/>
          <w:szCs w:val="30"/>
        </w:rPr>
        <w:t>实施办法，</w:t>
      </w:r>
      <w:r>
        <w:rPr>
          <w:rFonts w:ascii="仿宋" w:hAnsi="仿宋" w:eastAsia="仿宋" w:cs="仿宋"/>
          <w:sz w:val="30"/>
          <w:szCs w:val="30"/>
        </w:rPr>
        <w:t xml:space="preserve"> </w:t>
      </w:r>
      <w:r>
        <w:rPr>
          <w:rFonts w:ascii="仿宋" w:hAnsi="仿宋" w:eastAsia="仿宋" w:cs="仿宋"/>
          <w:spacing w:val="-1"/>
          <w:sz w:val="30"/>
          <w:szCs w:val="30"/>
        </w:rPr>
        <w:t>研究经济全球化、区域经济合作、现代流通方式的发展趋势和流通</w:t>
      </w:r>
    </w:p>
    <w:p>
      <w:pPr>
        <w:spacing w:line="220" w:lineRule="auto"/>
        <w:ind w:left="2"/>
        <w:rPr>
          <w:rFonts w:ascii="仿宋" w:hAnsi="仿宋" w:eastAsia="仿宋" w:cs="仿宋"/>
          <w:sz w:val="30"/>
          <w:szCs w:val="30"/>
        </w:rPr>
      </w:pPr>
      <w:r>
        <w:rPr>
          <w:rFonts w:ascii="仿宋" w:hAnsi="仿宋" w:eastAsia="仿宋" w:cs="仿宋"/>
          <w:spacing w:val="-3"/>
          <w:sz w:val="30"/>
          <w:szCs w:val="30"/>
        </w:rPr>
        <w:t>体制改革并提出建议。</w:t>
      </w:r>
    </w:p>
    <w:p>
      <w:pPr>
        <w:spacing w:before="243" w:line="369" w:lineRule="auto"/>
        <w:ind w:right="225" w:firstLine="605"/>
        <w:rPr>
          <w:rFonts w:ascii="仿宋" w:hAnsi="仿宋" w:eastAsia="仿宋" w:cs="仿宋"/>
          <w:sz w:val="30"/>
          <w:szCs w:val="30"/>
        </w:rPr>
      </w:pPr>
      <w:r>
        <w:rPr>
          <w:rFonts w:ascii="仿宋" w:hAnsi="仿宋" w:eastAsia="仿宋" w:cs="仿宋"/>
          <w:spacing w:val="-1"/>
          <w:sz w:val="30"/>
          <w:szCs w:val="30"/>
        </w:rPr>
        <w:t>（二）负责推进流通产业结构调整，指导流通企业改革，促进</w:t>
      </w:r>
      <w:r>
        <w:rPr>
          <w:rFonts w:ascii="仿宋" w:hAnsi="仿宋" w:eastAsia="仿宋" w:cs="仿宋"/>
          <w:spacing w:val="1"/>
          <w:sz w:val="30"/>
          <w:szCs w:val="30"/>
        </w:rPr>
        <w:t xml:space="preserve"> </w:t>
      </w:r>
      <w:r>
        <w:rPr>
          <w:rFonts w:ascii="仿宋" w:hAnsi="仿宋" w:eastAsia="仿宋" w:cs="仿宋"/>
          <w:spacing w:val="-1"/>
          <w:sz w:val="30"/>
          <w:szCs w:val="30"/>
        </w:rPr>
        <w:t>商贸服务业和社区商业发展，提出促进商贸中小企业发展的政策建</w:t>
      </w:r>
      <w:r>
        <w:rPr>
          <w:rFonts w:ascii="仿宋" w:hAnsi="仿宋" w:eastAsia="仿宋" w:cs="仿宋"/>
          <w:spacing w:val="9"/>
          <w:sz w:val="30"/>
          <w:szCs w:val="30"/>
        </w:rPr>
        <w:t xml:space="preserve"> </w:t>
      </w:r>
      <w:r>
        <w:rPr>
          <w:rFonts w:ascii="仿宋" w:hAnsi="仿宋" w:eastAsia="仿宋" w:cs="仿宋"/>
          <w:spacing w:val="-1"/>
          <w:sz w:val="30"/>
          <w:szCs w:val="30"/>
        </w:rPr>
        <w:t>议，推动流通标准化和连锁经营、商业特许经营、物流配送、电子</w:t>
      </w:r>
    </w:p>
    <w:p>
      <w:pPr>
        <w:spacing w:line="223" w:lineRule="auto"/>
        <w:ind w:left="11"/>
        <w:rPr>
          <w:rFonts w:ascii="仿宋" w:hAnsi="仿宋" w:eastAsia="仿宋" w:cs="仿宋"/>
          <w:sz w:val="30"/>
          <w:szCs w:val="30"/>
        </w:rPr>
      </w:pPr>
      <w:r>
        <w:rPr>
          <w:rFonts w:ascii="仿宋" w:hAnsi="仿宋" w:eastAsia="仿宋" w:cs="仿宋"/>
          <w:spacing w:val="-3"/>
          <w:sz w:val="30"/>
          <w:szCs w:val="30"/>
        </w:rPr>
        <w:t>商务等现代流通方式的发展。</w:t>
      </w:r>
    </w:p>
    <w:p>
      <w:pPr>
        <w:spacing w:before="238" w:line="369" w:lineRule="auto"/>
        <w:ind w:left="4" w:right="225" w:firstLine="601"/>
        <w:rPr>
          <w:rFonts w:ascii="仿宋" w:hAnsi="仿宋" w:eastAsia="仿宋" w:cs="仿宋"/>
          <w:sz w:val="30"/>
          <w:szCs w:val="30"/>
        </w:rPr>
      </w:pPr>
      <w:r>
        <w:rPr>
          <w:rFonts w:ascii="仿宋" w:hAnsi="仿宋" w:eastAsia="仿宋" w:cs="仿宋"/>
          <w:spacing w:val="-1"/>
          <w:sz w:val="30"/>
          <w:szCs w:val="30"/>
        </w:rPr>
        <w:t>（三）拟订全区国内贸易发展规划，促进城乡市场发展，指导</w:t>
      </w:r>
      <w:r>
        <w:rPr>
          <w:rFonts w:ascii="仿宋" w:hAnsi="仿宋" w:eastAsia="仿宋" w:cs="仿宋"/>
          <w:spacing w:val="1"/>
          <w:sz w:val="30"/>
          <w:szCs w:val="30"/>
        </w:rPr>
        <w:t xml:space="preserve"> </w:t>
      </w:r>
      <w:r>
        <w:rPr>
          <w:rFonts w:ascii="仿宋" w:hAnsi="仿宋" w:eastAsia="仿宋" w:cs="仿宋"/>
          <w:spacing w:val="-1"/>
          <w:sz w:val="30"/>
          <w:szCs w:val="30"/>
        </w:rPr>
        <w:t>大宗产品批发市场规划和城市商业网点规划、商业体系建设工作，</w:t>
      </w:r>
    </w:p>
    <w:p>
      <w:pPr>
        <w:spacing w:before="1" w:line="221" w:lineRule="auto"/>
        <w:ind w:left="3"/>
        <w:rPr>
          <w:rFonts w:ascii="仿宋" w:hAnsi="仿宋" w:eastAsia="仿宋" w:cs="仿宋"/>
          <w:sz w:val="30"/>
          <w:szCs w:val="30"/>
        </w:rPr>
      </w:pPr>
      <w:r>
        <w:rPr>
          <w:rFonts w:ascii="仿宋" w:hAnsi="仿宋" w:eastAsia="仿宋" w:cs="仿宋"/>
          <w:spacing w:val="-1"/>
          <w:sz w:val="30"/>
          <w:szCs w:val="30"/>
        </w:rPr>
        <w:t>推进农村市场体系建设，组织实施农村现代流通网络工程。</w:t>
      </w:r>
    </w:p>
    <w:p>
      <w:pPr>
        <w:spacing w:before="240" w:line="369" w:lineRule="auto"/>
        <w:ind w:left="31" w:right="225" w:firstLine="574"/>
        <w:rPr>
          <w:rFonts w:ascii="仿宋" w:hAnsi="仿宋" w:eastAsia="仿宋" w:cs="仿宋"/>
          <w:sz w:val="30"/>
          <w:szCs w:val="30"/>
        </w:rPr>
      </w:pPr>
      <w:r>
        <w:rPr>
          <w:rFonts w:ascii="仿宋" w:hAnsi="仿宋" w:eastAsia="仿宋" w:cs="仿宋"/>
          <w:spacing w:val="-1"/>
          <w:sz w:val="30"/>
          <w:szCs w:val="30"/>
        </w:rPr>
        <w:t>（四）承担牵头协调整顿和规范市场经济秩序工作的责任，提</w:t>
      </w:r>
      <w:r>
        <w:rPr>
          <w:rFonts w:ascii="仿宋" w:hAnsi="仿宋" w:eastAsia="仿宋" w:cs="仿宋"/>
          <w:spacing w:val="1"/>
          <w:sz w:val="30"/>
          <w:szCs w:val="30"/>
        </w:rPr>
        <w:t xml:space="preserve"> </w:t>
      </w:r>
      <w:r>
        <w:rPr>
          <w:rFonts w:ascii="仿宋" w:hAnsi="仿宋" w:eastAsia="仿宋" w:cs="仿宋"/>
          <w:spacing w:val="-2"/>
          <w:sz w:val="30"/>
          <w:szCs w:val="30"/>
        </w:rPr>
        <w:t>出整顿和规范全区市场秩序的工作建议；推动商务领域信用建设，</w:t>
      </w:r>
    </w:p>
    <w:p>
      <w:pPr>
        <w:spacing w:before="2" w:line="220" w:lineRule="auto"/>
        <w:rPr>
          <w:rFonts w:ascii="仿宋" w:hAnsi="仿宋" w:eastAsia="仿宋" w:cs="仿宋"/>
          <w:sz w:val="30"/>
          <w:szCs w:val="30"/>
        </w:rPr>
      </w:pPr>
      <w:r>
        <w:rPr>
          <w:rFonts w:ascii="仿宋" w:hAnsi="仿宋" w:eastAsia="仿宋" w:cs="仿宋"/>
          <w:spacing w:val="-3"/>
          <w:sz w:val="30"/>
          <w:szCs w:val="30"/>
        </w:rPr>
        <w:t>指导商业信用销售。</w:t>
      </w:r>
    </w:p>
    <w:p>
      <w:pPr>
        <w:spacing w:before="242" w:line="369" w:lineRule="auto"/>
        <w:ind w:right="225" w:firstLine="605"/>
        <w:rPr>
          <w:rFonts w:ascii="仿宋" w:hAnsi="仿宋" w:eastAsia="仿宋" w:cs="仿宋"/>
          <w:sz w:val="30"/>
          <w:szCs w:val="30"/>
        </w:rPr>
      </w:pPr>
      <w:r>
        <w:rPr>
          <w:rFonts w:ascii="仿宋" w:hAnsi="仿宋" w:eastAsia="仿宋" w:cs="仿宋"/>
          <w:spacing w:val="-1"/>
          <w:sz w:val="30"/>
          <w:szCs w:val="30"/>
        </w:rPr>
        <w:t>（五）承担组织实施重要消费品市场调控和重要生产资料流通</w:t>
      </w:r>
      <w:r>
        <w:rPr>
          <w:rFonts w:ascii="仿宋" w:hAnsi="仿宋" w:eastAsia="仿宋" w:cs="仿宋"/>
          <w:spacing w:val="1"/>
          <w:sz w:val="30"/>
          <w:szCs w:val="30"/>
        </w:rPr>
        <w:t xml:space="preserve"> </w:t>
      </w:r>
      <w:r>
        <w:rPr>
          <w:rFonts w:ascii="仿宋" w:hAnsi="仿宋" w:eastAsia="仿宋" w:cs="仿宋"/>
          <w:spacing w:val="-1"/>
          <w:sz w:val="30"/>
          <w:szCs w:val="30"/>
        </w:rPr>
        <w:t>管理的责任，建立健全生活必需品市场供应应急管理机制，监测分</w:t>
      </w:r>
      <w:r>
        <w:rPr>
          <w:rFonts w:ascii="仿宋" w:hAnsi="仿宋" w:eastAsia="仿宋" w:cs="仿宋"/>
          <w:spacing w:val="9"/>
          <w:sz w:val="30"/>
          <w:szCs w:val="30"/>
        </w:rPr>
        <w:t xml:space="preserve"> </w:t>
      </w:r>
      <w:r>
        <w:rPr>
          <w:rFonts w:ascii="仿宋" w:hAnsi="仿宋" w:eastAsia="仿宋" w:cs="仿宋"/>
          <w:spacing w:val="-1"/>
          <w:sz w:val="30"/>
          <w:szCs w:val="30"/>
        </w:rPr>
        <w:t>析市场运行、商品供求状况，调查分析商品价格信息，进行预测预</w:t>
      </w:r>
      <w:r>
        <w:rPr>
          <w:rFonts w:ascii="仿宋" w:hAnsi="仿宋" w:eastAsia="仿宋" w:cs="仿宋"/>
          <w:spacing w:val="9"/>
          <w:sz w:val="30"/>
          <w:szCs w:val="30"/>
        </w:rPr>
        <w:t xml:space="preserve"> </w:t>
      </w:r>
      <w:r>
        <w:rPr>
          <w:rFonts w:ascii="仿宋" w:hAnsi="仿宋" w:eastAsia="仿宋" w:cs="仿宋"/>
          <w:spacing w:val="-1"/>
          <w:sz w:val="30"/>
          <w:szCs w:val="30"/>
        </w:rPr>
        <w:t>警和信息引导；按分工负责重要消费品储备管理和市场调控工作；</w:t>
      </w:r>
    </w:p>
    <w:p>
      <w:pPr>
        <w:spacing w:before="1" w:line="219" w:lineRule="auto"/>
        <w:rPr>
          <w:rFonts w:ascii="仿宋" w:hAnsi="仿宋" w:eastAsia="仿宋" w:cs="仿宋"/>
          <w:sz w:val="30"/>
          <w:szCs w:val="30"/>
        </w:rPr>
      </w:pPr>
      <w:r>
        <w:rPr>
          <w:rFonts w:ascii="仿宋" w:hAnsi="仿宋" w:eastAsia="仿宋" w:cs="仿宋"/>
          <w:spacing w:val="-2"/>
          <w:sz w:val="30"/>
          <w:szCs w:val="30"/>
        </w:rPr>
        <w:t>指导全区报废汽车回收企业经营管理。</w:t>
      </w:r>
    </w:p>
    <w:p>
      <w:pPr>
        <w:spacing w:before="244" w:line="369" w:lineRule="auto"/>
        <w:ind w:left="17" w:firstLine="588"/>
        <w:rPr>
          <w:rFonts w:ascii="仿宋" w:hAnsi="仿宋" w:eastAsia="仿宋" w:cs="仿宋"/>
          <w:sz w:val="30"/>
          <w:szCs w:val="30"/>
        </w:rPr>
      </w:pPr>
      <w:r>
        <w:rPr>
          <w:rFonts w:ascii="仿宋" w:hAnsi="仿宋" w:eastAsia="仿宋" w:cs="仿宋"/>
          <w:spacing w:val="-1"/>
          <w:sz w:val="30"/>
          <w:szCs w:val="30"/>
        </w:rPr>
        <w:t>（六）贯彻执行国家进出口商品、加工贸易管理办法和进出口</w:t>
      </w:r>
      <w:r>
        <w:rPr>
          <w:rFonts w:ascii="仿宋" w:hAnsi="仿宋" w:eastAsia="仿宋" w:cs="仿宋"/>
          <w:sz w:val="30"/>
          <w:szCs w:val="30"/>
        </w:rPr>
        <w:t xml:space="preserve">  </w:t>
      </w:r>
      <w:r>
        <w:rPr>
          <w:rFonts w:ascii="仿宋" w:hAnsi="仿宋" w:eastAsia="仿宋" w:cs="仿宋"/>
          <w:spacing w:val="-4"/>
          <w:sz w:val="30"/>
          <w:szCs w:val="30"/>
        </w:rPr>
        <w:t>管理商品、技术目录，协助拟订促进外贸增长方式转变的政策措施，</w:t>
      </w:r>
    </w:p>
    <w:p>
      <w:pPr>
        <w:spacing w:before="1" w:line="220" w:lineRule="auto"/>
        <w:ind w:left="2"/>
        <w:rPr>
          <w:rFonts w:ascii="仿宋" w:hAnsi="仿宋" w:eastAsia="仿宋" w:cs="仿宋"/>
          <w:sz w:val="30"/>
          <w:szCs w:val="30"/>
        </w:rPr>
        <w:sectPr>
          <w:pgSz w:w="11906" w:h="16839"/>
          <w:pgMar w:top="1295" w:right="1449" w:bottom="0" w:left="1550" w:header="0" w:footer="0" w:gutter="0"/>
          <w:cols w:space="720" w:num="1"/>
        </w:sectPr>
      </w:pPr>
      <w:r>
        <w:rPr>
          <w:rFonts w:ascii="仿宋" w:hAnsi="仿宋" w:eastAsia="仿宋" w:cs="仿宋"/>
          <w:spacing w:val="-1"/>
          <w:sz w:val="30"/>
          <w:szCs w:val="30"/>
        </w:rPr>
        <w:t>组织实施重要工业品、原材料和重要农产品进出口总量计划，会同</w:t>
      </w:r>
    </w:p>
    <w:p>
      <w:pPr>
        <w:spacing w:before="61" w:line="600" w:lineRule="exact"/>
        <w:rPr>
          <w:rFonts w:ascii="仿宋" w:hAnsi="仿宋" w:eastAsia="仿宋" w:cs="仿宋"/>
          <w:sz w:val="30"/>
          <w:szCs w:val="30"/>
        </w:rPr>
      </w:pPr>
      <w:r>
        <w:rPr>
          <w:rFonts w:ascii="仿宋" w:hAnsi="仿宋" w:eastAsia="仿宋" w:cs="仿宋"/>
          <w:spacing w:val="-1"/>
          <w:position w:val="22"/>
          <w:sz w:val="30"/>
          <w:szCs w:val="30"/>
        </w:rPr>
        <w:t>有关部门协调大宗进出口商品，指导贸易促进活动和外贸促进体系</w:t>
      </w:r>
    </w:p>
    <w:p>
      <w:pPr>
        <w:spacing w:before="1" w:line="223" w:lineRule="auto"/>
        <w:ind w:left="3"/>
        <w:rPr>
          <w:rFonts w:ascii="仿宋" w:hAnsi="仿宋" w:eastAsia="仿宋" w:cs="仿宋"/>
          <w:sz w:val="30"/>
          <w:szCs w:val="30"/>
        </w:rPr>
      </w:pPr>
      <w:r>
        <w:rPr>
          <w:rFonts w:ascii="仿宋" w:hAnsi="仿宋" w:eastAsia="仿宋" w:cs="仿宋"/>
          <w:spacing w:val="-7"/>
          <w:sz w:val="30"/>
          <w:szCs w:val="30"/>
        </w:rPr>
        <w:t>建设。</w:t>
      </w:r>
    </w:p>
    <w:p>
      <w:pPr>
        <w:spacing w:before="237" w:line="369" w:lineRule="auto"/>
        <w:ind w:left="8" w:right="225" w:firstLine="600"/>
        <w:jc w:val="both"/>
        <w:rPr>
          <w:rFonts w:ascii="仿宋" w:hAnsi="仿宋" w:eastAsia="仿宋" w:cs="仿宋"/>
          <w:sz w:val="30"/>
          <w:szCs w:val="30"/>
        </w:rPr>
      </w:pPr>
      <w:r>
        <w:rPr>
          <w:rFonts w:ascii="仿宋" w:hAnsi="仿宋" w:eastAsia="仿宋" w:cs="仿宋"/>
          <w:spacing w:val="-1"/>
          <w:sz w:val="30"/>
          <w:szCs w:val="30"/>
        </w:rPr>
        <w:t>（七）贯彻执行国家对外技术贸易、出口管制以及鼓励技术和</w:t>
      </w:r>
      <w:r>
        <w:rPr>
          <w:rFonts w:ascii="仿宋" w:hAnsi="仿宋" w:eastAsia="仿宋" w:cs="仿宋"/>
          <w:spacing w:val="1"/>
          <w:sz w:val="30"/>
          <w:szCs w:val="30"/>
        </w:rPr>
        <w:t xml:space="preserve"> </w:t>
      </w:r>
      <w:r>
        <w:rPr>
          <w:rFonts w:ascii="仿宋" w:hAnsi="仿宋" w:eastAsia="仿宋" w:cs="仿宋"/>
          <w:spacing w:val="-1"/>
          <w:sz w:val="30"/>
          <w:szCs w:val="30"/>
        </w:rPr>
        <w:t>成套设备进出口的贸易政策，推进进出口贸易标准化工作；依法监</w:t>
      </w:r>
    </w:p>
    <w:p>
      <w:pPr>
        <w:spacing w:line="220" w:lineRule="auto"/>
        <w:ind w:left="11"/>
        <w:rPr>
          <w:rFonts w:ascii="仿宋" w:hAnsi="仿宋" w:eastAsia="仿宋" w:cs="仿宋"/>
          <w:sz w:val="30"/>
          <w:szCs w:val="30"/>
        </w:rPr>
      </w:pPr>
      <w:r>
        <w:rPr>
          <w:rFonts w:ascii="仿宋" w:hAnsi="仿宋" w:eastAsia="仿宋" w:cs="仿宋"/>
          <w:spacing w:val="-2"/>
          <w:sz w:val="30"/>
          <w:szCs w:val="30"/>
        </w:rPr>
        <w:t>督技术引进、设备进口、国家限制出口技术的工作。</w:t>
      </w:r>
    </w:p>
    <w:p>
      <w:pPr>
        <w:spacing w:before="242" w:line="369" w:lineRule="auto"/>
        <w:ind w:left="4" w:right="225" w:firstLine="603"/>
        <w:jc w:val="both"/>
        <w:rPr>
          <w:rFonts w:ascii="仿宋" w:hAnsi="仿宋" w:eastAsia="仿宋" w:cs="仿宋"/>
          <w:sz w:val="30"/>
          <w:szCs w:val="30"/>
        </w:rPr>
      </w:pPr>
      <w:r>
        <w:rPr>
          <w:rFonts w:ascii="仿宋" w:hAnsi="仿宋" w:eastAsia="仿宋" w:cs="仿宋"/>
          <w:spacing w:val="-1"/>
          <w:sz w:val="30"/>
          <w:szCs w:val="30"/>
        </w:rPr>
        <w:t>（八）拟订服务贸易发展规划并开展相关工作；会同有关部门</w:t>
      </w:r>
      <w:r>
        <w:rPr>
          <w:rFonts w:ascii="仿宋" w:hAnsi="仿宋" w:eastAsia="仿宋" w:cs="仿宋"/>
          <w:spacing w:val="1"/>
          <w:sz w:val="30"/>
          <w:szCs w:val="30"/>
        </w:rPr>
        <w:t xml:space="preserve"> </w:t>
      </w:r>
      <w:r>
        <w:rPr>
          <w:rFonts w:ascii="仿宋" w:hAnsi="仿宋" w:eastAsia="仿宋" w:cs="仿宋"/>
          <w:spacing w:val="-1"/>
          <w:sz w:val="30"/>
          <w:szCs w:val="30"/>
        </w:rPr>
        <w:t>制定促进服务出口、服务外包的规划、政策并组织实施，推动服务</w:t>
      </w:r>
    </w:p>
    <w:p>
      <w:pPr>
        <w:spacing w:before="1" w:line="220" w:lineRule="auto"/>
        <w:ind w:left="6"/>
        <w:rPr>
          <w:rFonts w:ascii="仿宋" w:hAnsi="仿宋" w:eastAsia="仿宋" w:cs="仿宋"/>
          <w:sz w:val="30"/>
          <w:szCs w:val="30"/>
        </w:rPr>
      </w:pPr>
      <w:r>
        <w:rPr>
          <w:rFonts w:ascii="仿宋" w:hAnsi="仿宋" w:eastAsia="仿宋" w:cs="仿宋"/>
          <w:spacing w:val="-4"/>
          <w:sz w:val="30"/>
          <w:szCs w:val="30"/>
        </w:rPr>
        <w:t>外包平台建设。</w:t>
      </w:r>
    </w:p>
    <w:p>
      <w:pPr>
        <w:spacing w:before="243" w:line="369" w:lineRule="auto"/>
        <w:ind w:left="3" w:firstLine="605"/>
        <w:jc w:val="both"/>
        <w:rPr>
          <w:rFonts w:ascii="仿宋" w:hAnsi="仿宋" w:eastAsia="仿宋" w:cs="仿宋"/>
          <w:sz w:val="30"/>
          <w:szCs w:val="30"/>
        </w:rPr>
      </w:pPr>
      <w:r>
        <w:rPr>
          <w:rFonts w:ascii="仿宋" w:hAnsi="仿宋" w:eastAsia="仿宋" w:cs="仿宋"/>
          <w:spacing w:val="-5"/>
          <w:sz w:val="30"/>
          <w:szCs w:val="30"/>
        </w:rPr>
        <w:t>（九）贯彻执行我国多双边(含区域、</w:t>
      </w:r>
      <w:r>
        <w:rPr>
          <w:rFonts w:ascii="仿宋" w:hAnsi="仿宋" w:eastAsia="仿宋" w:cs="仿宋"/>
          <w:spacing w:val="-74"/>
          <w:sz w:val="30"/>
          <w:szCs w:val="30"/>
        </w:rPr>
        <w:t xml:space="preserve"> </w:t>
      </w:r>
      <w:r>
        <w:rPr>
          <w:rFonts w:ascii="仿宋" w:hAnsi="仿宋" w:eastAsia="仿宋" w:cs="仿宋"/>
          <w:spacing w:val="-5"/>
          <w:sz w:val="30"/>
          <w:szCs w:val="30"/>
        </w:rPr>
        <w:t>自由贸易区)</w:t>
      </w:r>
      <w:r>
        <w:rPr>
          <w:rFonts w:ascii="仿宋" w:hAnsi="仿宋" w:eastAsia="仿宋" w:cs="仿宋"/>
          <w:spacing w:val="-6"/>
          <w:sz w:val="30"/>
          <w:szCs w:val="30"/>
        </w:rPr>
        <w:t xml:space="preserve">经贸合作战  </w:t>
      </w:r>
      <w:r>
        <w:rPr>
          <w:rFonts w:ascii="仿宋" w:hAnsi="仿宋" w:eastAsia="仿宋" w:cs="仿宋"/>
          <w:spacing w:val="-3"/>
          <w:sz w:val="30"/>
          <w:szCs w:val="30"/>
        </w:rPr>
        <w:t>略和政策，推进我区与其他国家(地区)的经贸往来与投资贸易</w:t>
      </w:r>
      <w:r>
        <w:rPr>
          <w:rFonts w:ascii="仿宋" w:hAnsi="仿宋" w:eastAsia="仿宋" w:cs="仿宋"/>
          <w:spacing w:val="-4"/>
          <w:sz w:val="30"/>
          <w:szCs w:val="30"/>
        </w:rPr>
        <w:t>合作；</w:t>
      </w:r>
      <w:r>
        <w:rPr>
          <w:rFonts w:ascii="仿宋" w:hAnsi="仿宋" w:eastAsia="仿宋" w:cs="仿宋"/>
          <w:sz w:val="30"/>
          <w:szCs w:val="30"/>
        </w:rPr>
        <w:t xml:space="preserve"> </w:t>
      </w:r>
      <w:r>
        <w:rPr>
          <w:rFonts w:ascii="仿宋" w:hAnsi="仿宋" w:eastAsia="仿宋" w:cs="仿宋"/>
          <w:spacing w:val="-1"/>
          <w:sz w:val="30"/>
          <w:szCs w:val="30"/>
        </w:rPr>
        <w:t>承担全区商务领域涉及世界贸易组织事务的相关工作，负责对外经</w:t>
      </w:r>
      <w:r>
        <w:rPr>
          <w:rFonts w:ascii="仿宋" w:hAnsi="仿宋" w:eastAsia="仿宋" w:cs="仿宋"/>
          <w:spacing w:val="4"/>
          <w:sz w:val="30"/>
          <w:szCs w:val="30"/>
        </w:rPr>
        <w:t xml:space="preserve">  </w:t>
      </w:r>
      <w:r>
        <w:rPr>
          <w:rFonts w:ascii="仿宋" w:hAnsi="仿宋" w:eastAsia="仿宋" w:cs="仿宋"/>
          <w:spacing w:val="-3"/>
          <w:sz w:val="30"/>
          <w:szCs w:val="30"/>
        </w:rPr>
        <w:t>济贸易协调工作。指导我区对港、澳、台地区贸易和经</w:t>
      </w:r>
      <w:r>
        <w:rPr>
          <w:rFonts w:ascii="仿宋" w:hAnsi="仿宋" w:eastAsia="仿宋" w:cs="仿宋"/>
          <w:spacing w:val="-4"/>
          <w:sz w:val="30"/>
          <w:szCs w:val="30"/>
        </w:rPr>
        <w:t>贸合作活动，</w:t>
      </w:r>
    </w:p>
    <w:p>
      <w:pPr>
        <w:spacing w:line="220" w:lineRule="auto"/>
        <w:ind w:left="4"/>
        <w:rPr>
          <w:rFonts w:ascii="仿宋" w:hAnsi="仿宋" w:eastAsia="仿宋" w:cs="仿宋"/>
          <w:sz w:val="30"/>
          <w:szCs w:val="30"/>
        </w:rPr>
      </w:pPr>
      <w:r>
        <w:rPr>
          <w:rFonts w:ascii="仿宋" w:hAnsi="仿宋" w:eastAsia="仿宋" w:cs="仿宋"/>
          <w:spacing w:val="-2"/>
          <w:sz w:val="30"/>
          <w:szCs w:val="30"/>
        </w:rPr>
        <w:t>协调港、澳、台投资管理工作。</w:t>
      </w:r>
    </w:p>
    <w:p>
      <w:pPr>
        <w:spacing w:before="243" w:line="369" w:lineRule="auto"/>
        <w:ind w:left="3" w:right="225" w:firstLine="605"/>
        <w:jc w:val="both"/>
        <w:rPr>
          <w:rFonts w:ascii="仿宋" w:hAnsi="仿宋" w:eastAsia="仿宋" w:cs="仿宋"/>
          <w:sz w:val="30"/>
          <w:szCs w:val="30"/>
        </w:rPr>
      </w:pPr>
      <w:r>
        <w:rPr>
          <w:rFonts w:ascii="仿宋" w:hAnsi="仿宋" w:eastAsia="仿宋" w:cs="仿宋"/>
          <w:spacing w:val="-1"/>
          <w:sz w:val="30"/>
          <w:szCs w:val="30"/>
        </w:rPr>
        <w:t>（十）协助开展反倾销、反补贴、保障措施及其他与进出口公</w:t>
      </w:r>
      <w:r>
        <w:rPr>
          <w:rFonts w:ascii="仿宋" w:hAnsi="仿宋" w:eastAsia="仿宋" w:cs="仿宋"/>
          <w:spacing w:val="1"/>
          <w:sz w:val="30"/>
          <w:szCs w:val="30"/>
        </w:rPr>
        <w:t xml:space="preserve"> </w:t>
      </w:r>
      <w:r>
        <w:rPr>
          <w:rFonts w:ascii="仿宋" w:hAnsi="仿宋" w:eastAsia="仿宋" w:cs="仿宋"/>
          <w:spacing w:val="-1"/>
          <w:sz w:val="30"/>
          <w:szCs w:val="30"/>
        </w:rPr>
        <w:t>平贸易相关的工作，协助开展对外贸易调查和产业损害调查，指导</w:t>
      </w:r>
    </w:p>
    <w:p>
      <w:pPr>
        <w:spacing w:line="220" w:lineRule="auto"/>
        <w:ind w:left="4"/>
        <w:rPr>
          <w:rFonts w:ascii="仿宋" w:hAnsi="仿宋" w:eastAsia="仿宋" w:cs="仿宋"/>
          <w:sz w:val="30"/>
          <w:szCs w:val="30"/>
        </w:rPr>
      </w:pPr>
      <w:r>
        <w:rPr>
          <w:rFonts w:ascii="仿宋" w:hAnsi="仿宋" w:eastAsia="仿宋" w:cs="仿宋"/>
          <w:spacing w:val="-2"/>
          <w:sz w:val="30"/>
          <w:szCs w:val="30"/>
        </w:rPr>
        <w:t>协调产业安全应对工作。</w:t>
      </w:r>
    </w:p>
    <w:p>
      <w:pPr>
        <w:spacing w:before="243" w:line="369" w:lineRule="auto"/>
        <w:ind w:left="2" w:firstLine="605"/>
        <w:jc w:val="both"/>
        <w:rPr>
          <w:rFonts w:ascii="仿宋" w:hAnsi="仿宋" w:eastAsia="仿宋" w:cs="仿宋"/>
          <w:sz w:val="30"/>
          <w:szCs w:val="30"/>
        </w:rPr>
      </w:pPr>
      <w:r>
        <w:rPr>
          <w:rFonts w:ascii="仿宋" w:hAnsi="仿宋" w:eastAsia="仿宋" w:cs="仿宋"/>
          <w:spacing w:val="-1"/>
          <w:sz w:val="30"/>
          <w:szCs w:val="30"/>
        </w:rPr>
        <w:t>（十一）宏观指导全区招商引资和承接产业转移工作，组织实</w:t>
      </w:r>
      <w:r>
        <w:rPr>
          <w:rFonts w:ascii="仿宋" w:hAnsi="仿宋" w:eastAsia="仿宋" w:cs="仿宋"/>
          <w:sz w:val="30"/>
          <w:szCs w:val="30"/>
        </w:rPr>
        <w:t xml:space="preserve">  </w:t>
      </w:r>
      <w:r>
        <w:rPr>
          <w:rFonts w:ascii="仿宋" w:hAnsi="仿宋" w:eastAsia="仿宋" w:cs="仿宋"/>
          <w:spacing w:val="-1"/>
          <w:sz w:val="30"/>
          <w:szCs w:val="30"/>
        </w:rPr>
        <w:t>施招商引资和承接产业转移政策；协助投资促进及全区外商投资企</w:t>
      </w:r>
      <w:r>
        <w:rPr>
          <w:rFonts w:ascii="仿宋" w:hAnsi="仿宋" w:eastAsia="仿宋" w:cs="仿宋"/>
          <w:spacing w:val="4"/>
          <w:sz w:val="30"/>
          <w:szCs w:val="30"/>
        </w:rPr>
        <w:t xml:space="preserve">  </w:t>
      </w:r>
      <w:r>
        <w:rPr>
          <w:rFonts w:ascii="仿宋" w:hAnsi="仿宋" w:eastAsia="仿宋" w:cs="仿宋"/>
          <w:spacing w:val="-3"/>
          <w:sz w:val="30"/>
          <w:szCs w:val="30"/>
        </w:rPr>
        <w:t>业审批工作，规范招商引资活动；承接会展业促进与管理</w:t>
      </w:r>
      <w:r>
        <w:rPr>
          <w:rFonts w:ascii="仿宋" w:hAnsi="仿宋" w:eastAsia="仿宋" w:cs="仿宋"/>
          <w:spacing w:val="-4"/>
          <w:sz w:val="30"/>
          <w:szCs w:val="30"/>
        </w:rPr>
        <w:t>有关工作，</w:t>
      </w:r>
    </w:p>
    <w:p>
      <w:pPr>
        <w:spacing w:before="1" w:line="220" w:lineRule="auto"/>
        <w:ind w:left="3"/>
        <w:rPr>
          <w:rFonts w:ascii="仿宋" w:hAnsi="仿宋" w:eastAsia="仿宋" w:cs="仿宋"/>
          <w:sz w:val="30"/>
          <w:szCs w:val="30"/>
        </w:rPr>
      </w:pPr>
      <w:r>
        <w:rPr>
          <w:rFonts w:ascii="仿宋" w:hAnsi="仿宋" w:eastAsia="仿宋" w:cs="仿宋"/>
          <w:spacing w:val="-2"/>
          <w:sz w:val="30"/>
          <w:szCs w:val="30"/>
        </w:rPr>
        <w:t>指导区级经济技术开发区的有关工作。</w:t>
      </w:r>
    </w:p>
    <w:p>
      <w:pPr>
        <w:spacing w:before="243" w:line="369" w:lineRule="auto"/>
        <w:ind w:left="6" w:right="225" w:firstLine="601"/>
        <w:jc w:val="both"/>
        <w:rPr>
          <w:rFonts w:ascii="仿宋" w:hAnsi="仿宋" w:eastAsia="仿宋" w:cs="仿宋"/>
          <w:sz w:val="30"/>
          <w:szCs w:val="30"/>
        </w:rPr>
      </w:pPr>
      <w:r>
        <w:rPr>
          <w:rFonts w:ascii="仿宋" w:hAnsi="仿宋" w:eastAsia="仿宋" w:cs="仿宋"/>
          <w:spacing w:val="-1"/>
          <w:sz w:val="30"/>
          <w:szCs w:val="30"/>
        </w:rPr>
        <w:t>（十二）承担全区对外经济技术合作工作。指导和监督全区对</w:t>
      </w:r>
      <w:r>
        <w:rPr>
          <w:rFonts w:ascii="仿宋" w:hAnsi="仿宋" w:eastAsia="仿宋" w:cs="仿宋"/>
          <w:spacing w:val="1"/>
          <w:sz w:val="30"/>
          <w:szCs w:val="30"/>
        </w:rPr>
        <w:t xml:space="preserve"> </w:t>
      </w:r>
      <w:r>
        <w:rPr>
          <w:rFonts w:ascii="仿宋" w:hAnsi="仿宋" w:eastAsia="仿宋" w:cs="仿宋"/>
          <w:spacing w:val="-1"/>
          <w:sz w:val="30"/>
          <w:szCs w:val="30"/>
        </w:rPr>
        <w:t>外承包工程、劳务合作等对外经济合作业务；指导和组织实施市制</w:t>
      </w:r>
      <w:r>
        <w:rPr>
          <w:rFonts w:ascii="仿宋" w:hAnsi="仿宋" w:eastAsia="仿宋" w:cs="仿宋"/>
          <w:spacing w:val="4"/>
          <w:sz w:val="30"/>
          <w:szCs w:val="30"/>
        </w:rPr>
        <w:t xml:space="preserve"> </w:t>
      </w:r>
      <w:r>
        <w:rPr>
          <w:rFonts w:ascii="仿宋" w:hAnsi="仿宋" w:eastAsia="仿宋" w:cs="仿宋"/>
          <w:spacing w:val="-1"/>
          <w:sz w:val="30"/>
          <w:szCs w:val="30"/>
        </w:rPr>
        <w:t>定的出境就业管理政策，协助实施外派劳务和境外就业人员的权益</w:t>
      </w:r>
    </w:p>
    <w:p>
      <w:pPr>
        <w:spacing w:line="220" w:lineRule="auto"/>
        <w:ind w:left="4"/>
        <w:rPr>
          <w:rFonts w:ascii="仿宋" w:hAnsi="仿宋" w:eastAsia="仿宋" w:cs="仿宋"/>
          <w:sz w:val="30"/>
          <w:szCs w:val="30"/>
        </w:rPr>
      </w:pPr>
      <w:r>
        <w:rPr>
          <w:rFonts w:ascii="仿宋" w:hAnsi="仿宋" w:eastAsia="仿宋" w:cs="仿宋"/>
          <w:spacing w:val="-5"/>
          <w:sz w:val="30"/>
          <w:szCs w:val="30"/>
        </w:rPr>
        <w:t>保护工作。</w:t>
      </w:r>
    </w:p>
    <w:p>
      <w:pPr>
        <w:spacing w:line="220" w:lineRule="auto"/>
        <w:rPr>
          <w:rFonts w:ascii="仿宋" w:hAnsi="仿宋" w:eastAsia="仿宋" w:cs="仿宋"/>
          <w:sz w:val="30"/>
          <w:szCs w:val="30"/>
        </w:rPr>
        <w:sectPr>
          <w:pgSz w:w="11906" w:h="16839"/>
          <w:pgMar w:top="1294" w:right="1449" w:bottom="0" w:left="1547" w:header="0" w:footer="0" w:gutter="0"/>
          <w:cols w:space="720" w:num="1"/>
        </w:sectPr>
      </w:pPr>
    </w:p>
    <w:p>
      <w:pPr>
        <w:spacing w:before="62" w:line="369" w:lineRule="auto"/>
        <w:ind w:left="2" w:right="103" w:firstLine="602"/>
        <w:rPr>
          <w:rFonts w:ascii="仿宋" w:hAnsi="仿宋" w:eastAsia="仿宋" w:cs="仿宋"/>
          <w:sz w:val="30"/>
          <w:szCs w:val="30"/>
        </w:rPr>
      </w:pPr>
      <w:r>
        <w:rPr>
          <w:rFonts w:ascii="仿宋" w:hAnsi="仿宋" w:eastAsia="仿宋" w:cs="仿宋"/>
          <w:spacing w:val="-1"/>
          <w:sz w:val="30"/>
          <w:szCs w:val="30"/>
        </w:rPr>
        <w:t>（十三）贯彻执行国家对外援助政策和方案，协调管理全区承</w:t>
      </w:r>
      <w:r>
        <w:rPr>
          <w:rFonts w:ascii="仿宋" w:hAnsi="仿宋" w:eastAsia="仿宋" w:cs="仿宋"/>
          <w:sz w:val="30"/>
          <w:szCs w:val="30"/>
        </w:rPr>
        <w:t xml:space="preserve">  </w:t>
      </w:r>
      <w:r>
        <w:rPr>
          <w:rFonts w:ascii="仿宋" w:hAnsi="仿宋" w:eastAsia="仿宋" w:cs="仿宋"/>
          <w:spacing w:val="-1"/>
          <w:sz w:val="30"/>
          <w:szCs w:val="30"/>
        </w:rPr>
        <w:t>担的对外援助项目；协调管理多双边对我区的无偿援助和赠款(不含</w:t>
      </w:r>
    </w:p>
    <w:p>
      <w:pPr>
        <w:spacing w:line="220" w:lineRule="auto"/>
        <w:ind w:left="3"/>
        <w:rPr>
          <w:rFonts w:ascii="仿宋" w:hAnsi="仿宋" w:eastAsia="仿宋" w:cs="仿宋"/>
          <w:sz w:val="30"/>
          <w:szCs w:val="30"/>
        </w:rPr>
      </w:pPr>
      <w:r>
        <w:rPr>
          <w:rFonts w:ascii="仿宋" w:hAnsi="仿宋" w:eastAsia="仿宋" w:cs="仿宋"/>
          <w:spacing w:val="-1"/>
          <w:sz w:val="30"/>
          <w:szCs w:val="30"/>
        </w:rPr>
        <w:t>财政合作项下外国政府及国际金融组织的赠款)等发展合作业务。</w:t>
      </w:r>
    </w:p>
    <w:p>
      <w:pPr>
        <w:spacing w:before="243" w:line="369" w:lineRule="auto"/>
        <w:ind w:left="1" w:right="247" w:firstLine="603"/>
        <w:rPr>
          <w:rFonts w:ascii="仿宋" w:hAnsi="仿宋" w:eastAsia="仿宋" w:cs="仿宋"/>
          <w:sz w:val="30"/>
          <w:szCs w:val="30"/>
        </w:rPr>
      </w:pPr>
      <w:r>
        <w:rPr>
          <w:rFonts w:ascii="仿宋" w:hAnsi="仿宋" w:eastAsia="仿宋" w:cs="仿宋"/>
          <w:spacing w:val="-1"/>
          <w:sz w:val="30"/>
          <w:szCs w:val="30"/>
        </w:rPr>
        <w:t>（十四）负责组织协调相关企业参加商务部、省政府、省商务</w:t>
      </w:r>
      <w:r>
        <w:rPr>
          <w:rFonts w:ascii="仿宋" w:hAnsi="仿宋" w:eastAsia="仿宋" w:cs="仿宋"/>
          <w:spacing w:val="1"/>
          <w:sz w:val="30"/>
          <w:szCs w:val="30"/>
        </w:rPr>
        <w:t xml:space="preserve"> </w:t>
      </w:r>
      <w:r>
        <w:rPr>
          <w:rFonts w:ascii="仿宋" w:hAnsi="仿宋" w:eastAsia="仿宋" w:cs="仿宋"/>
          <w:spacing w:val="-1"/>
          <w:sz w:val="30"/>
          <w:szCs w:val="30"/>
        </w:rPr>
        <w:t>厅、市政府、市商务局举办的内外贸易促销活动和对外经济技术合</w:t>
      </w:r>
      <w:r>
        <w:rPr>
          <w:rFonts w:ascii="仿宋" w:hAnsi="仿宋" w:eastAsia="仿宋" w:cs="仿宋"/>
          <w:spacing w:val="6"/>
          <w:sz w:val="30"/>
          <w:szCs w:val="30"/>
        </w:rPr>
        <w:t xml:space="preserve"> </w:t>
      </w:r>
      <w:r>
        <w:rPr>
          <w:rFonts w:ascii="仿宋" w:hAnsi="仿宋" w:eastAsia="仿宋" w:cs="仿宋"/>
          <w:spacing w:val="-1"/>
          <w:sz w:val="30"/>
          <w:szCs w:val="30"/>
        </w:rPr>
        <w:t>作活动，指导、协调以赫山区名义在境内外举办的各种内外贸交易</w:t>
      </w:r>
    </w:p>
    <w:p>
      <w:pPr>
        <w:spacing w:line="222" w:lineRule="auto"/>
        <w:ind w:left="9"/>
        <w:rPr>
          <w:rFonts w:ascii="仿宋" w:hAnsi="仿宋" w:eastAsia="仿宋" w:cs="仿宋"/>
          <w:sz w:val="30"/>
          <w:szCs w:val="30"/>
        </w:rPr>
      </w:pPr>
      <w:r>
        <w:rPr>
          <w:rFonts w:ascii="仿宋" w:hAnsi="仿宋" w:eastAsia="仿宋" w:cs="仿宋"/>
          <w:spacing w:val="-3"/>
          <w:sz w:val="30"/>
          <w:szCs w:val="30"/>
        </w:rPr>
        <w:t>会、展览会、展销会等活动。</w:t>
      </w:r>
    </w:p>
    <w:p>
      <w:pPr>
        <w:spacing w:before="238" w:line="221" w:lineRule="auto"/>
        <w:ind w:left="605"/>
        <w:rPr>
          <w:rFonts w:ascii="仿宋" w:hAnsi="仿宋" w:eastAsia="仿宋" w:cs="仿宋"/>
          <w:sz w:val="30"/>
          <w:szCs w:val="30"/>
        </w:rPr>
      </w:pPr>
      <w:r>
        <w:rPr>
          <w:rFonts w:ascii="仿宋" w:hAnsi="仿宋" w:eastAsia="仿宋" w:cs="仿宋"/>
          <w:spacing w:val="-1"/>
          <w:sz w:val="30"/>
          <w:szCs w:val="30"/>
        </w:rPr>
        <w:t>（十五）负责直属企业及行业服务中心的监督</w:t>
      </w:r>
      <w:r>
        <w:rPr>
          <w:rFonts w:ascii="仿宋" w:hAnsi="仿宋" w:eastAsia="仿宋" w:cs="仿宋"/>
          <w:spacing w:val="-2"/>
          <w:sz w:val="30"/>
          <w:szCs w:val="30"/>
        </w:rPr>
        <w:t>管理。</w:t>
      </w:r>
    </w:p>
    <w:p>
      <w:pPr>
        <w:spacing w:before="241" w:line="600" w:lineRule="exact"/>
        <w:ind w:left="605"/>
        <w:rPr>
          <w:rFonts w:ascii="仿宋" w:hAnsi="仿宋" w:eastAsia="仿宋" w:cs="仿宋"/>
          <w:sz w:val="30"/>
          <w:szCs w:val="30"/>
        </w:rPr>
      </w:pPr>
      <w:r>
        <w:rPr>
          <w:rFonts w:ascii="仿宋" w:hAnsi="仿宋" w:eastAsia="仿宋" w:cs="仿宋"/>
          <w:spacing w:val="-1"/>
          <w:position w:val="22"/>
          <w:sz w:val="30"/>
          <w:szCs w:val="30"/>
        </w:rPr>
        <w:t>（十六）承担全区商务系统统计及其信息发布工作，提供信息</w:t>
      </w:r>
    </w:p>
    <w:p>
      <w:pPr>
        <w:spacing w:line="221" w:lineRule="auto"/>
        <w:ind w:left="16"/>
        <w:rPr>
          <w:rFonts w:ascii="仿宋" w:hAnsi="仿宋" w:eastAsia="仿宋" w:cs="仿宋"/>
          <w:sz w:val="30"/>
          <w:szCs w:val="30"/>
        </w:rPr>
      </w:pPr>
      <w:r>
        <w:rPr>
          <w:rFonts w:ascii="仿宋" w:hAnsi="仿宋" w:eastAsia="仿宋" w:cs="仿宋"/>
          <w:spacing w:val="-2"/>
          <w:sz w:val="30"/>
          <w:szCs w:val="30"/>
        </w:rPr>
        <w:t>咨询服务，指导全区流通领域信息网络和电子商务建设。</w:t>
      </w:r>
    </w:p>
    <w:p>
      <w:pPr>
        <w:spacing w:before="240" w:line="600" w:lineRule="exact"/>
        <w:ind w:left="605"/>
        <w:rPr>
          <w:rFonts w:ascii="仿宋" w:hAnsi="仿宋" w:eastAsia="仿宋" w:cs="仿宋"/>
          <w:sz w:val="30"/>
          <w:szCs w:val="30"/>
        </w:rPr>
      </w:pPr>
      <w:r>
        <w:rPr>
          <w:rFonts w:ascii="仿宋" w:hAnsi="仿宋" w:eastAsia="仿宋" w:cs="仿宋"/>
          <w:spacing w:val="-2"/>
          <w:position w:val="22"/>
          <w:sz w:val="30"/>
          <w:szCs w:val="30"/>
        </w:rPr>
        <w:t>（十七）完成区委、区政府交办的其他任务。</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spacing w:before="239" w:line="369" w:lineRule="auto"/>
        <w:ind w:right="8" w:firstLine="603"/>
        <w:jc w:val="both"/>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w:t>
      </w:r>
    </w:p>
    <w:p>
      <w:pPr>
        <w:spacing w:before="62" w:line="369" w:lineRule="auto"/>
        <w:ind w:left="2" w:right="103" w:firstLine="602"/>
        <w:rPr>
          <w:rFonts w:ascii="仿宋" w:hAnsi="仿宋" w:eastAsia="仿宋" w:cs="仿宋"/>
          <w:spacing w:val="-1"/>
          <w:sz w:val="30"/>
          <w:szCs w:val="30"/>
        </w:rPr>
      </w:pPr>
      <w:r>
        <w:rPr>
          <w:rFonts w:ascii="仿宋" w:hAnsi="仿宋" w:eastAsia="仿宋" w:cs="仿宋"/>
          <w:spacing w:val="-1"/>
          <w:sz w:val="30"/>
          <w:szCs w:val="30"/>
        </w:rPr>
        <w:t>益阳市赫山区商务局内设机构 9 个，包括：办公室、外经外贸 股、市场调节股、市场建设股、市场秩序股（法规股、政务服务股）、电子商务股、投资管理股、财务审计股、人事股（企业改制办公室）。</w:t>
      </w:r>
    </w:p>
    <w:p>
      <w:pPr>
        <w:spacing w:before="62" w:line="369" w:lineRule="auto"/>
        <w:ind w:left="2" w:right="103" w:firstLine="602"/>
        <w:rPr>
          <w:rFonts w:ascii="仿宋" w:hAnsi="仿宋" w:eastAsia="仿宋" w:cs="仿宋"/>
          <w:spacing w:val="-1"/>
          <w:sz w:val="30"/>
          <w:szCs w:val="30"/>
        </w:rPr>
      </w:pPr>
      <w:r>
        <w:rPr>
          <w:rFonts w:ascii="仿宋" w:hAnsi="仿宋" w:eastAsia="仿宋" w:cs="仿宋"/>
          <w:spacing w:val="-1"/>
          <w:sz w:val="30"/>
          <w:szCs w:val="30"/>
        </w:rPr>
        <w:t>下设未独立核算二级机构 1 个：益阳市赫山区行业服务中心。</w:t>
      </w:r>
    </w:p>
    <w:p>
      <w:pPr>
        <w:numPr>
          <w:ilvl w:val="0"/>
          <w:numId w:val="2"/>
        </w:numPr>
        <w:spacing w:before="242" w:line="369" w:lineRule="auto"/>
        <w:ind w:left="3" w:right="106" w:firstLine="6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决算单位构成。</w:t>
      </w:r>
    </w:p>
    <w:p>
      <w:pPr>
        <w:spacing w:before="62" w:line="369" w:lineRule="auto"/>
        <w:ind w:left="2" w:right="103" w:firstLine="602"/>
        <w:rPr>
          <w:rFonts w:ascii="仿宋" w:hAnsi="仿宋" w:eastAsia="仿宋" w:cs="仿宋"/>
          <w:spacing w:val="-1"/>
          <w:sz w:val="30"/>
          <w:szCs w:val="30"/>
        </w:rPr>
        <w:sectPr>
          <w:pgSz w:w="11906" w:h="16839"/>
          <w:pgMar w:top="1294" w:right="1426" w:bottom="0" w:left="1550" w:header="0" w:footer="0" w:gutter="0"/>
          <w:cols w:space="720" w:num="1"/>
        </w:sectPr>
      </w:pPr>
      <w:r>
        <w:rPr>
          <w:rFonts w:ascii="仿宋" w:hAnsi="仿宋" w:eastAsia="仿宋" w:cs="仿宋"/>
          <w:spacing w:val="-1"/>
          <w:sz w:val="30"/>
          <w:szCs w:val="30"/>
        </w:rPr>
        <w:t>益阳市赫山区商务局 202</w:t>
      </w:r>
      <w:r>
        <w:rPr>
          <w:rFonts w:hint="eastAsia" w:ascii="仿宋" w:hAnsi="仿宋" w:eastAsia="仿宋" w:cs="仿宋"/>
          <w:spacing w:val="-1"/>
          <w:sz w:val="30"/>
          <w:szCs w:val="30"/>
          <w:lang w:val="en-US" w:eastAsia="zh-CN"/>
        </w:rPr>
        <w:t>2</w:t>
      </w:r>
      <w:r>
        <w:rPr>
          <w:rFonts w:ascii="仿宋" w:hAnsi="仿宋" w:eastAsia="仿宋" w:cs="仿宋"/>
          <w:spacing w:val="-1"/>
          <w:sz w:val="30"/>
          <w:szCs w:val="30"/>
        </w:rPr>
        <w:t>年部门决算汇总公开单位构成包括： 益阳市赫山区商务局本级以及所属未独立核算的二级机构：益阳市赫山区行业服务中心。</w:t>
      </w:r>
    </w:p>
    <w:p>
      <w:pPr>
        <w:jc w:val="both"/>
        <w:rPr>
          <w:rFonts w:ascii="黑体" w:hAnsi="黑体" w:eastAsia="黑体"/>
          <w:sz w:val="72"/>
          <w:szCs w:val="72"/>
        </w:rPr>
      </w:pPr>
    </w:p>
    <w:p>
      <w:pPr>
        <w:jc w:val="center"/>
        <w:rPr>
          <w:rFonts w:ascii="黑体" w:hAnsi="黑体" w:eastAsia="黑体"/>
          <w:sz w:val="72"/>
          <w:szCs w:val="72"/>
        </w:rPr>
      </w:pPr>
    </w:p>
    <w:p>
      <w:pPr>
        <w:jc w:val="both"/>
        <w:rPr>
          <w:sz w:val="72"/>
          <w:szCs w:val="72"/>
        </w:rPr>
      </w:pPr>
    </w:p>
    <w:p>
      <w:pPr>
        <w:pStyle w:val="7"/>
        <w:jc w:val="center"/>
        <w:rPr>
          <w:rFonts w:hint="eastAsia" w:ascii="方正小标宋_GBK" w:hAnsi="方正小标宋_GBK" w:eastAsia="方正小标宋_GBK" w:cs="方正小标宋_GBK"/>
          <w:sz w:val="84"/>
          <w:szCs w:val="84"/>
        </w:rPr>
      </w:pPr>
    </w:p>
    <w:p>
      <w:pPr>
        <w:pStyle w:val="7"/>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7"/>
        <w:jc w:val="center"/>
        <w:rPr>
          <w:rFonts w:hint="eastAsia" w:ascii="方正小标宋_GBK" w:hAnsi="方正小标宋_GBK" w:eastAsia="方正小标宋_GBK" w:cs="方正小标宋_GBK"/>
          <w:sz w:val="84"/>
          <w:szCs w:val="84"/>
        </w:rPr>
      </w:pPr>
    </w:p>
    <w:p>
      <w:pPr>
        <w:pStyle w:val="7"/>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7"/>
      </w:pPr>
      <w:r>
        <w:drawing>
          <wp:inline distT="0" distB="0" distL="114300" distR="114300">
            <wp:extent cx="5607685" cy="4425315"/>
            <wp:effectExtent l="0" t="0" r="1206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607685" cy="4425315"/>
                    </a:xfrm>
                    <a:prstGeom prst="rect">
                      <a:avLst/>
                    </a:prstGeom>
                    <a:noFill/>
                    <a:ln>
                      <a:noFill/>
                    </a:ln>
                  </pic:spPr>
                </pic:pic>
              </a:graphicData>
            </a:graphic>
          </wp:inline>
        </w:drawing>
      </w:r>
    </w:p>
    <w:p>
      <w:pPr>
        <w:pStyle w:val="7"/>
      </w:pPr>
    </w:p>
    <w:p>
      <w:pPr>
        <w:pStyle w:val="7"/>
      </w:pPr>
    </w:p>
    <w:p>
      <w:pPr>
        <w:pStyle w:val="7"/>
      </w:pPr>
    </w:p>
    <w:p>
      <w:pPr>
        <w:pStyle w:val="7"/>
      </w:pPr>
    </w:p>
    <w:p>
      <w:pPr>
        <w:pStyle w:val="7"/>
      </w:pPr>
      <w:r>
        <w:drawing>
          <wp:inline distT="0" distB="0" distL="114300" distR="114300">
            <wp:extent cx="5614035" cy="4425315"/>
            <wp:effectExtent l="0" t="0" r="5715"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614035" cy="4425315"/>
                    </a:xfrm>
                    <a:prstGeom prst="rect">
                      <a:avLst/>
                    </a:prstGeom>
                    <a:noFill/>
                    <a:ln>
                      <a:noFill/>
                    </a:ln>
                  </pic:spPr>
                </pic:pic>
              </a:graphicData>
            </a:graphic>
          </wp:inline>
        </w:drawing>
      </w:r>
    </w:p>
    <w:p>
      <w:pPr>
        <w:pStyle w:val="7"/>
      </w:pPr>
    </w:p>
    <w:p>
      <w:pPr>
        <w:pStyle w:val="7"/>
      </w:pPr>
    </w:p>
    <w:p>
      <w:pPr>
        <w:pStyle w:val="7"/>
      </w:pPr>
    </w:p>
    <w:p>
      <w:pPr>
        <w:pStyle w:val="7"/>
      </w:pPr>
    </w:p>
    <w:p>
      <w:pPr>
        <w:pStyle w:val="7"/>
      </w:pPr>
    </w:p>
    <w:p>
      <w:pPr>
        <w:pStyle w:val="7"/>
      </w:pPr>
    </w:p>
    <w:p>
      <w:pPr>
        <w:pStyle w:val="7"/>
      </w:pPr>
      <w:r>
        <w:drawing>
          <wp:inline distT="0" distB="0" distL="114300" distR="114300">
            <wp:extent cx="5615305" cy="3859530"/>
            <wp:effectExtent l="0" t="0" r="444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615305" cy="3859530"/>
                    </a:xfrm>
                    <a:prstGeom prst="rect">
                      <a:avLst/>
                    </a:prstGeom>
                    <a:noFill/>
                    <a:ln>
                      <a:noFill/>
                    </a:ln>
                  </pic:spPr>
                </pic:pic>
              </a:graphicData>
            </a:graphic>
          </wp:inline>
        </w:drawing>
      </w:r>
    </w:p>
    <w:p>
      <w:pPr>
        <w:pStyle w:val="7"/>
      </w:pPr>
    </w:p>
    <w:p>
      <w:pPr>
        <w:pStyle w:val="7"/>
      </w:pPr>
    </w:p>
    <w:p>
      <w:pPr>
        <w:pStyle w:val="7"/>
      </w:pPr>
    </w:p>
    <w:p>
      <w:pPr>
        <w:pStyle w:val="7"/>
      </w:pPr>
    </w:p>
    <w:p>
      <w:pPr>
        <w:pStyle w:val="7"/>
      </w:pPr>
    </w:p>
    <w:p>
      <w:pPr>
        <w:pStyle w:val="7"/>
      </w:pPr>
    </w:p>
    <w:p>
      <w:pPr>
        <w:pStyle w:val="7"/>
      </w:pPr>
    </w:p>
    <w:p>
      <w:pPr>
        <w:pStyle w:val="7"/>
      </w:pPr>
      <w:r>
        <w:drawing>
          <wp:inline distT="0" distB="0" distL="114300" distR="114300">
            <wp:extent cx="5609590" cy="4058920"/>
            <wp:effectExtent l="0" t="0" r="10160" b="177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609590" cy="4058920"/>
                    </a:xfrm>
                    <a:prstGeom prst="rect">
                      <a:avLst/>
                    </a:prstGeom>
                    <a:noFill/>
                    <a:ln>
                      <a:noFill/>
                    </a:ln>
                  </pic:spPr>
                </pic:pic>
              </a:graphicData>
            </a:graphic>
          </wp:inline>
        </w:drawing>
      </w:r>
    </w:p>
    <w:p>
      <w:pPr>
        <w:pStyle w:val="7"/>
      </w:pPr>
    </w:p>
    <w:p>
      <w:pPr>
        <w:pStyle w:val="7"/>
      </w:pPr>
    </w:p>
    <w:p>
      <w:pPr>
        <w:pStyle w:val="7"/>
      </w:pPr>
    </w:p>
    <w:p>
      <w:pPr>
        <w:pStyle w:val="7"/>
      </w:pPr>
    </w:p>
    <w:p>
      <w:pPr>
        <w:pStyle w:val="7"/>
      </w:pPr>
    </w:p>
    <w:p>
      <w:pPr>
        <w:pStyle w:val="7"/>
      </w:pPr>
      <w:r>
        <w:drawing>
          <wp:inline distT="0" distB="0" distL="114300" distR="114300">
            <wp:extent cx="5609590" cy="4313555"/>
            <wp:effectExtent l="0" t="0" r="10160" b="107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609590" cy="4313555"/>
                    </a:xfrm>
                    <a:prstGeom prst="rect">
                      <a:avLst/>
                    </a:prstGeom>
                    <a:noFill/>
                    <a:ln>
                      <a:noFill/>
                    </a:ln>
                  </pic:spPr>
                </pic:pic>
              </a:graphicData>
            </a:graphic>
          </wp:inline>
        </w:drawing>
      </w:r>
    </w:p>
    <w:p>
      <w:pPr>
        <w:pStyle w:val="7"/>
      </w:pPr>
    </w:p>
    <w:p>
      <w:pPr>
        <w:pStyle w:val="7"/>
      </w:pPr>
    </w:p>
    <w:p>
      <w:pPr>
        <w:pStyle w:val="7"/>
      </w:pPr>
    </w:p>
    <w:p>
      <w:pPr>
        <w:pStyle w:val="7"/>
      </w:pPr>
    </w:p>
    <w:p>
      <w:pPr>
        <w:pStyle w:val="7"/>
      </w:pPr>
    </w:p>
    <w:p>
      <w:pPr>
        <w:pStyle w:val="7"/>
      </w:pPr>
    </w:p>
    <w:p>
      <w:pPr>
        <w:pStyle w:val="7"/>
      </w:pPr>
    </w:p>
    <w:p>
      <w:pPr>
        <w:pStyle w:val="7"/>
      </w:pPr>
      <w:r>
        <w:drawing>
          <wp:inline distT="0" distB="0" distL="114300" distR="114300">
            <wp:extent cx="5607685" cy="3772535"/>
            <wp:effectExtent l="0" t="0" r="12065" b="184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607685" cy="3772535"/>
                    </a:xfrm>
                    <a:prstGeom prst="rect">
                      <a:avLst/>
                    </a:prstGeom>
                    <a:noFill/>
                    <a:ln>
                      <a:noFill/>
                    </a:ln>
                  </pic:spPr>
                </pic:pic>
              </a:graphicData>
            </a:graphic>
          </wp:inline>
        </w:drawing>
      </w:r>
    </w:p>
    <w:p>
      <w:pPr>
        <w:pStyle w:val="7"/>
      </w:pPr>
    </w:p>
    <w:p>
      <w:pPr>
        <w:pStyle w:val="7"/>
      </w:pPr>
    </w:p>
    <w:p>
      <w:pPr>
        <w:pStyle w:val="7"/>
      </w:pPr>
    </w:p>
    <w:p>
      <w:pPr>
        <w:pStyle w:val="7"/>
      </w:pPr>
    </w:p>
    <w:p>
      <w:pPr>
        <w:pStyle w:val="7"/>
      </w:pPr>
    </w:p>
    <w:p>
      <w:pPr>
        <w:pStyle w:val="7"/>
      </w:pPr>
    </w:p>
    <w:p>
      <w:pPr>
        <w:pStyle w:val="7"/>
      </w:pPr>
    </w:p>
    <w:p>
      <w:pPr>
        <w:pStyle w:val="7"/>
      </w:pPr>
      <w:r>
        <w:drawing>
          <wp:inline distT="0" distB="0" distL="114300" distR="114300">
            <wp:extent cx="5615940" cy="1913255"/>
            <wp:effectExtent l="0" t="0" r="3810" b="1079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615940" cy="1913255"/>
                    </a:xfrm>
                    <a:prstGeom prst="rect">
                      <a:avLst/>
                    </a:prstGeom>
                    <a:noFill/>
                    <a:ln>
                      <a:noFill/>
                    </a:ln>
                  </pic:spPr>
                </pic:pic>
              </a:graphicData>
            </a:graphic>
          </wp:inline>
        </w:drawing>
      </w:r>
    </w:p>
    <w:p>
      <w:pPr>
        <w:pStyle w:val="7"/>
      </w:pPr>
    </w:p>
    <w:p>
      <w:pPr>
        <w:pStyle w:val="7"/>
      </w:pPr>
    </w:p>
    <w:p>
      <w:pPr>
        <w:pStyle w:val="7"/>
      </w:pPr>
    </w:p>
    <w:p>
      <w:pPr>
        <w:pStyle w:val="7"/>
      </w:pPr>
    </w:p>
    <w:p>
      <w:pPr>
        <w:pStyle w:val="7"/>
      </w:pPr>
    </w:p>
    <w:p>
      <w:pPr>
        <w:pStyle w:val="7"/>
      </w:pPr>
    </w:p>
    <w:p>
      <w:pPr>
        <w:pStyle w:val="7"/>
      </w:pPr>
      <w:r>
        <w:drawing>
          <wp:inline distT="0" distB="0" distL="114300" distR="114300">
            <wp:extent cx="5612130" cy="2540000"/>
            <wp:effectExtent l="0" t="0" r="7620" b="1270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612130" cy="2540000"/>
                    </a:xfrm>
                    <a:prstGeom prst="rect">
                      <a:avLst/>
                    </a:prstGeom>
                    <a:noFill/>
                    <a:ln>
                      <a:noFill/>
                    </a:ln>
                  </pic:spPr>
                </pic:pic>
              </a:graphicData>
            </a:graphic>
          </wp:inline>
        </w:drawing>
      </w:r>
    </w:p>
    <w:p>
      <w:pPr>
        <w:pStyle w:val="7"/>
        <w:rPr>
          <w:rFonts w:hint="eastAsia" w:eastAsia="黑体"/>
          <w:lang w:val="en-US" w:eastAsia="zh-CN"/>
        </w:rPr>
      </w:pPr>
      <w:r>
        <w:rPr>
          <w:rFonts w:hint="eastAsia"/>
          <w:lang w:val="en-US" w:eastAsia="zh-CN"/>
        </w:rPr>
        <w:t>本年本单位无此支出，本表无数据。</w:t>
      </w:r>
    </w:p>
    <w:p>
      <w:pPr>
        <w:pStyle w:val="7"/>
      </w:pPr>
    </w:p>
    <w:p>
      <w:pPr>
        <w:pStyle w:val="7"/>
      </w:pPr>
    </w:p>
    <w:p>
      <w:pPr>
        <w:pStyle w:val="7"/>
      </w:pPr>
    </w:p>
    <w:p>
      <w:pPr>
        <w:pStyle w:val="7"/>
      </w:pPr>
    </w:p>
    <w:p>
      <w:pPr>
        <w:pStyle w:val="7"/>
      </w:pPr>
    </w:p>
    <w:p>
      <w:pPr>
        <w:pStyle w:val="7"/>
      </w:pPr>
      <w:r>
        <w:drawing>
          <wp:inline distT="0" distB="0" distL="114300" distR="114300">
            <wp:extent cx="5613400" cy="954405"/>
            <wp:effectExtent l="0" t="0" r="6350" b="171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613400" cy="954405"/>
                    </a:xfrm>
                    <a:prstGeom prst="rect">
                      <a:avLst/>
                    </a:prstGeom>
                    <a:noFill/>
                    <a:ln>
                      <a:noFill/>
                    </a:ln>
                  </pic:spPr>
                </pic:pic>
              </a:graphicData>
            </a:graphic>
          </wp:inline>
        </w:drawing>
      </w:r>
    </w:p>
    <w:p>
      <w:pPr>
        <w:pStyle w:val="7"/>
        <w:rPr>
          <w:rFonts w:hint="eastAsia" w:eastAsia="黑体"/>
          <w:lang w:val="en-US" w:eastAsia="zh-CN"/>
        </w:rPr>
      </w:pPr>
      <w:r>
        <w:rPr>
          <w:rFonts w:hint="eastAsia"/>
          <w:lang w:val="en-US" w:eastAsia="zh-CN"/>
        </w:rPr>
        <w:t>本年本单位无此支出，本表无数据。</w:t>
      </w:r>
    </w:p>
    <w:p>
      <w:pPr>
        <w:pStyle w:val="7"/>
        <w:rPr>
          <w:sz w:val="72"/>
          <w:szCs w:val="72"/>
        </w:rPr>
      </w:pPr>
      <w:bookmarkStart w:id="0" w:name="_GoBack"/>
      <w:bookmarkEnd w:id="0"/>
    </w:p>
    <w:p>
      <w:pPr>
        <w:pStyle w:val="7"/>
        <w:rPr>
          <w:sz w:val="72"/>
          <w:szCs w:val="72"/>
        </w:rPr>
      </w:pPr>
    </w:p>
    <w:p>
      <w:pPr>
        <w:pStyle w:val="7"/>
        <w:jc w:val="center"/>
        <w:rPr>
          <w:sz w:val="72"/>
          <w:szCs w:val="72"/>
        </w:rPr>
      </w:pPr>
    </w:p>
    <w:p>
      <w:pPr>
        <w:pStyle w:val="7"/>
        <w:jc w:val="center"/>
        <w:rPr>
          <w:rFonts w:hint="eastAsia" w:ascii="方正小标宋_GBK" w:hAnsi="方正小标宋_GBK" w:eastAsia="方正小标宋_GBK" w:cs="方正小标宋_GBK"/>
          <w:sz w:val="72"/>
          <w:szCs w:val="72"/>
        </w:rPr>
      </w:pPr>
    </w:p>
    <w:p>
      <w:pPr>
        <w:pStyle w:val="7"/>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7"/>
        <w:jc w:val="center"/>
        <w:rPr>
          <w:rFonts w:hint="eastAsia" w:ascii="方正小标宋_GBK" w:hAnsi="方正小标宋_GBK" w:eastAsia="方正小标宋_GBK" w:cs="方正小标宋_GBK"/>
          <w:sz w:val="70"/>
          <w:szCs w:val="70"/>
        </w:rPr>
      </w:pPr>
    </w:p>
    <w:p>
      <w:pPr>
        <w:pStyle w:val="7"/>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1094.37</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613.05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127.37</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增加省商务厅乡村振兴示范帮扶项目资金600万元。</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1094.37</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1066.15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97.42</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28.22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2.58</w:t>
      </w:r>
      <w:r>
        <w:rPr>
          <w:rFonts w:hint="eastAsia" w:ascii="Times New Roman" w:hAnsi="Times New Roman" w:eastAsia="仿宋_GB2312"/>
          <w:sz w:val="32"/>
          <w:szCs w:val="32"/>
        </w:rPr>
        <w:t>%。</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1094.37</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400.17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36.57</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694.2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64.43</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1066.15</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610.15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133.80</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增加省商务厅乡村振兴示范帮扶项目资金600万元。</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1045.35</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95.52</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589.35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1299.24</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增加省商务厅乡村振兴示范帮扶项目资金600万元。</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1045.35</w:t>
      </w:r>
      <w:r>
        <w:rPr>
          <w:rFonts w:hint="eastAsia" w:ascii="Times New Roman" w:hAnsi="Times New Roman" w:eastAsia="仿宋_GB2312"/>
          <w:sz w:val="32"/>
          <w:szCs w:val="32"/>
        </w:rPr>
        <w:t>万元，主要用于以下方面：一般公共服务（类）支出</w:t>
      </w:r>
      <w:r>
        <w:rPr>
          <w:rFonts w:hint="eastAsia" w:ascii="Times New Roman" w:hAnsi="Times New Roman" w:eastAsia="仿宋_GB2312"/>
          <w:sz w:val="32"/>
          <w:szCs w:val="32"/>
          <w:lang w:val="en-US" w:eastAsia="zh-CN"/>
        </w:rPr>
        <w:t>357.68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34.21</w:t>
      </w:r>
      <w:r>
        <w:rPr>
          <w:rFonts w:hint="eastAsia" w:ascii="Times New Roman" w:hAnsi="Times New Roman" w:eastAsia="仿宋_GB2312"/>
          <w:sz w:val="32"/>
          <w:szCs w:val="32"/>
        </w:rPr>
        <w:t>%；社会保障和就业（类）支出</w:t>
      </w:r>
      <w:r>
        <w:rPr>
          <w:rFonts w:hint="eastAsia" w:ascii="Times New Roman" w:hAnsi="Times New Roman" w:eastAsia="仿宋_GB2312"/>
          <w:sz w:val="32"/>
          <w:szCs w:val="32"/>
          <w:lang w:val="en-US" w:eastAsia="zh-CN"/>
        </w:rPr>
        <w:t>36.55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3.5</w:t>
      </w:r>
      <w:r>
        <w:rPr>
          <w:rFonts w:hint="eastAsia" w:ascii="Times New Roman" w:hAnsi="Times New Roman" w:eastAsia="仿宋_GB2312"/>
          <w:sz w:val="32"/>
          <w:szCs w:val="32"/>
        </w:rPr>
        <w:t>%;卫生健康（类）支出</w:t>
      </w:r>
      <w:r>
        <w:rPr>
          <w:rFonts w:hint="eastAsia" w:ascii="Times New Roman" w:hAnsi="Times New Roman" w:eastAsia="仿宋_GB2312"/>
          <w:sz w:val="32"/>
          <w:szCs w:val="32"/>
          <w:lang w:val="en-US" w:eastAsia="zh-CN"/>
        </w:rPr>
        <w:t>20.76</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占</w:t>
      </w:r>
      <w:r>
        <w:rPr>
          <w:rFonts w:hint="eastAsia" w:ascii="Times New Roman" w:hAnsi="Times New Roman" w:eastAsia="仿宋_GB2312"/>
          <w:sz w:val="32"/>
          <w:szCs w:val="32"/>
          <w:lang w:val="en-US" w:eastAsia="zh-CN"/>
        </w:rPr>
        <w:t>1.99</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；商业服务业等</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支出616.78</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占</w:t>
      </w:r>
      <w:r>
        <w:rPr>
          <w:rFonts w:hint="eastAsia" w:ascii="Times New Roman" w:hAnsi="Times New Roman" w:eastAsia="仿宋_GB2312"/>
          <w:sz w:val="32"/>
          <w:szCs w:val="32"/>
          <w:lang w:val="en-US" w:eastAsia="zh-CN"/>
        </w:rPr>
        <w:t>59</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；住房保障</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支出13.59</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占</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300.09</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1045.35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248.35</w:t>
      </w:r>
      <w:r>
        <w:rPr>
          <w:rFonts w:hint="eastAsia" w:ascii="Times New Roman" w:hAnsi="Times New Roman" w:eastAsia="仿宋_GB2312"/>
          <w:sz w:val="32"/>
          <w:szCs w:val="32"/>
        </w:rPr>
        <w:t>%，其中：</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1、一般公共服务（类）商贸事务（款）行政运行（项）。</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246.50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280.69</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113.87</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val="en-US" w:eastAsia="zh-CN"/>
        </w:rPr>
        <w:t>人员工资预算增加。</w:t>
      </w:r>
    </w:p>
    <w:p>
      <w:pPr>
        <w:pStyle w:val="7"/>
        <w:keepNext w:val="0"/>
        <w:keepLines w:val="0"/>
        <w:pageBreakBefore w:val="0"/>
        <w:widowControl w:val="0"/>
        <w:numPr>
          <w:ilvl w:val="0"/>
          <w:numId w:val="3"/>
        </w:numPr>
        <w:kinsoku/>
        <w:wordWrap/>
        <w:overflowPunct/>
        <w:topLinePunct w:val="0"/>
        <w:bidi w:val="0"/>
        <w:snapToGrid/>
        <w:spacing w:line="600" w:lineRule="exact"/>
        <w:ind w:left="638" w:leftChars="304" w:firstLine="0" w:firstLineChars="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一般公共服务（类）商贸事务（款）招商引资（项）</w:t>
      </w:r>
    </w:p>
    <w:p>
      <w:pPr>
        <w:pStyle w:val="7"/>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54</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新增招商引资奖励资金。</w:t>
      </w:r>
    </w:p>
    <w:p>
      <w:pPr>
        <w:pStyle w:val="7"/>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一般公共服务（类）商贸事务（款）</w:t>
      </w:r>
      <w:r>
        <w:rPr>
          <w:rFonts w:hint="eastAsia" w:ascii="Times New Roman" w:hAnsi="Times New Roman" w:eastAsia="仿宋_GB2312"/>
          <w:sz w:val="32"/>
          <w:szCs w:val="32"/>
          <w:lang w:val="en-US" w:eastAsia="zh-CN"/>
        </w:rPr>
        <w:t>其他商贸事务支出</w:t>
      </w:r>
      <w:r>
        <w:rPr>
          <w:rFonts w:hint="eastAsia" w:ascii="Times New Roman" w:hAnsi="Times New Roman" w:eastAsia="仿宋_GB2312"/>
          <w:sz w:val="32"/>
          <w:szCs w:val="32"/>
        </w:rPr>
        <w:t>（项）。</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22.98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增加贸促会及美食节工作经费预备费。</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4、社会保障和就业</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行政事业单位养老</w:t>
      </w:r>
      <w:r>
        <w:rPr>
          <w:rFonts w:hint="eastAsia" w:ascii="Times New Roman" w:hAnsi="Times New Roman" w:eastAsia="仿宋_GB2312"/>
          <w:sz w:val="32"/>
          <w:szCs w:val="32"/>
        </w:rPr>
        <w:t>（款）机关事业单位基本养老保险缴费（项）。</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18.93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18.1</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95.62</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小</w:t>
      </w:r>
      <w:r>
        <w:rPr>
          <w:rFonts w:hint="eastAsia" w:ascii="Times New Roman" w:hAnsi="Times New Roman" w:eastAsia="仿宋_GB2312"/>
          <w:sz w:val="32"/>
          <w:szCs w:val="32"/>
        </w:rPr>
        <w:t>于年初预算数的主要原因是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缴纳跨年度支付。</w:t>
      </w:r>
    </w:p>
    <w:p>
      <w:pPr>
        <w:pStyle w:val="7"/>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5、社会保障和就业</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抚恤</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死亡抚恤</w:t>
      </w:r>
      <w:r>
        <w:rPr>
          <w:rFonts w:hint="eastAsia" w:ascii="Times New Roman" w:hAnsi="Times New Roman" w:eastAsia="仿宋_GB2312"/>
          <w:sz w:val="32"/>
          <w:szCs w:val="32"/>
        </w:rPr>
        <w:t>（项）。</w:t>
      </w:r>
    </w:p>
    <w:p>
      <w:pPr>
        <w:pStyle w:val="7"/>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18.45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新增预算。</w:t>
      </w:r>
    </w:p>
    <w:p>
      <w:pPr>
        <w:pStyle w:val="7"/>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6、卫生健康</w:t>
      </w:r>
      <w:r>
        <w:rPr>
          <w:rFonts w:hint="eastAsia" w:ascii="Times New Roman" w:hAnsi="Times New Roman" w:eastAsia="仿宋_GB2312"/>
          <w:sz w:val="32"/>
          <w:szCs w:val="32"/>
        </w:rPr>
        <w:t>（类）行政事业单位医疗（款）行政单位医疗（项）。</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21.06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20.76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98.58</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小</w:t>
      </w:r>
      <w:r>
        <w:rPr>
          <w:rFonts w:hint="eastAsia" w:ascii="Times New Roman" w:hAnsi="Times New Roman" w:eastAsia="仿宋_GB2312"/>
          <w:sz w:val="32"/>
          <w:szCs w:val="32"/>
        </w:rPr>
        <w:t>于年初预算数的主要原因是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缴纳跨年度支付。</w:t>
      </w:r>
    </w:p>
    <w:p>
      <w:pPr>
        <w:pStyle w:val="7"/>
        <w:keepNext w:val="0"/>
        <w:keepLines w:val="0"/>
        <w:pageBreakBefore w:val="0"/>
        <w:widowControl w:val="0"/>
        <w:numPr>
          <w:ilvl w:val="0"/>
          <w:numId w:val="4"/>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default" w:ascii="Times New Roman" w:hAnsi="Times New Roman" w:eastAsia="仿宋_GB2312"/>
          <w:sz w:val="32"/>
          <w:szCs w:val="32"/>
          <w:lang w:val="en-US" w:eastAsia="zh-CN"/>
        </w:rPr>
        <w:t>商业服务业等</w:t>
      </w:r>
      <w:r>
        <w:rPr>
          <w:rFonts w:hint="eastAsia" w:ascii="Times New Roman" w:hAnsi="Times New Roman" w:eastAsia="仿宋_GB2312"/>
          <w:sz w:val="32"/>
          <w:szCs w:val="32"/>
        </w:rPr>
        <w:t>（类）商业流通事务（款）其他商业流通事务（项）。</w:t>
      </w:r>
    </w:p>
    <w:p>
      <w:pPr>
        <w:pStyle w:val="7"/>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613.38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缴纳跨年度支付。</w:t>
      </w:r>
    </w:p>
    <w:p>
      <w:pPr>
        <w:pStyle w:val="7"/>
        <w:keepNext w:val="0"/>
        <w:keepLines w:val="0"/>
        <w:pageBreakBefore w:val="0"/>
        <w:widowControl w:val="0"/>
        <w:numPr>
          <w:ilvl w:val="0"/>
          <w:numId w:val="4"/>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default" w:ascii="Times New Roman" w:hAnsi="Times New Roman" w:eastAsia="仿宋_GB2312"/>
          <w:sz w:val="32"/>
          <w:szCs w:val="32"/>
          <w:lang w:val="en-US" w:eastAsia="zh-CN"/>
        </w:rPr>
        <w:t>商业服务业等</w:t>
      </w:r>
      <w:r>
        <w:rPr>
          <w:rFonts w:hint="eastAsia" w:ascii="Times New Roman" w:hAnsi="Times New Roman" w:eastAsia="仿宋_GB2312"/>
          <w:sz w:val="32"/>
          <w:szCs w:val="32"/>
        </w:rPr>
        <w:t>（类）涉外发展服务支出（款）其他涉外发展服务支出（项）。</w:t>
      </w:r>
    </w:p>
    <w:p>
      <w:pPr>
        <w:pStyle w:val="7"/>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3.4</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新增外贸企业参展补贴。</w:t>
      </w:r>
    </w:p>
    <w:p>
      <w:pPr>
        <w:pStyle w:val="7"/>
        <w:keepNext w:val="0"/>
        <w:keepLines w:val="0"/>
        <w:pageBreakBefore w:val="0"/>
        <w:widowControl w:val="0"/>
        <w:numPr>
          <w:ilvl w:val="0"/>
          <w:numId w:val="4"/>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住房保障支出</w:t>
      </w:r>
      <w:r>
        <w:rPr>
          <w:rFonts w:hint="eastAsia" w:ascii="Times New Roman" w:hAnsi="Times New Roman" w:eastAsia="仿宋_GB2312"/>
          <w:sz w:val="32"/>
          <w:szCs w:val="32"/>
        </w:rPr>
        <w:t>（类）住房改革支出（款）住房公积金（项）。</w:t>
      </w:r>
    </w:p>
    <w:p>
      <w:pPr>
        <w:pStyle w:val="7"/>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13.59</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13.59</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val="en-US" w:eastAsia="zh-CN"/>
        </w:rPr>
        <w:t>等</w:t>
      </w:r>
      <w:r>
        <w:rPr>
          <w:rFonts w:hint="eastAsia" w:ascii="Times New Roman" w:hAnsi="Times New Roman" w:eastAsia="仿宋_GB2312"/>
          <w:sz w:val="32"/>
          <w:szCs w:val="32"/>
        </w:rPr>
        <w:t>于年初预算数</w:t>
      </w:r>
      <w:r>
        <w:rPr>
          <w:rFonts w:hint="eastAsia" w:ascii="Times New Roman" w:hAnsi="Times New Roman" w:eastAsia="仿宋_GB2312"/>
          <w:sz w:val="32"/>
          <w:szCs w:val="32"/>
          <w:lang w:val="en-US" w:eastAsia="zh-CN"/>
        </w:rPr>
        <w:t>。</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371.96</w:t>
      </w:r>
      <w:r>
        <w:rPr>
          <w:rFonts w:hint="eastAsia" w:ascii="Times New Roman" w:hAnsi="Times New Roman" w:eastAsia="仿宋_GB2312"/>
          <w:sz w:val="32"/>
          <w:szCs w:val="32"/>
        </w:rPr>
        <w:t>万元，其中：</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278.21</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74.80</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绩效工资、</w:t>
      </w:r>
      <w:r>
        <w:rPr>
          <w:rFonts w:ascii="仿宋" w:hAnsi="仿宋" w:eastAsia="仿宋" w:cs="仿宋"/>
          <w:spacing w:val="-1"/>
          <w:sz w:val="30"/>
          <w:szCs w:val="30"/>
        </w:rPr>
        <w:t>机关事业单位基本养老保险缴费、职业年金缴费、职工基本医疗保险缴费、其他社会保障缴费、住房公积金、</w:t>
      </w:r>
      <w:r>
        <w:rPr>
          <w:rFonts w:hint="eastAsia" w:ascii="仿宋" w:hAnsi="仿宋" w:eastAsia="仿宋" w:cs="仿宋"/>
          <w:spacing w:val="-1"/>
          <w:sz w:val="30"/>
          <w:szCs w:val="30"/>
          <w:lang w:val="en-US" w:eastAsia="zh-CN"/>
        </w:rPr>
        <w:t>医疗费</w:t>
      </w:r>
      <w:r>
        <w:rPr>
          <w:rFonts w:ascii="仿宋" w:hAnsi="仿宋" w:eastAsia="仿宋" w:cs="仿宋"/>
          <w:spacing w:val="-1"/>
          <w:sz w:val="30"/>
          <w:szCs w:val="30"/>
        </w:rPr>
        <w:t>、</w:t>
      </w:r>
      <w:r>
        <w:rPr>
          <w:rFonts w:hint="eastAsia" w:ascii="仿宋" w:hAnsi="仿宋" w:eastAsia="仿宋" w:cs="仿宋"/>
          <w:spacing w:val="-1"/>
          <w:sz w:val="30"/>
          <w:szCs w:val="30"/>
          <w:lang w:val="en-US" w:eastAsia="zh-CN"/>
        </w:rPr>
        <w:t>退</w:t>
      </w:r>
      <w:r>
        <w:rPr>
          <w:rFonts w:ascii="仿宋" w:hAnsi="仿宋" w:eastAsia="仿宋" w:cs="仿宋"/>
          <w:spacing w:val="-1"/>
          <w:sz w:val="30"/>
          <w:szCs w:val="30"/>
        </w:rPr>
        <w:t>休费、抚恤金、</w:t>
      </w:r>
      <w:r>
        <w:rPr>
          <w:rFonts w:hint="eastAsia" w:ascii="仿宋" w:hAnsi="仿宋" w:eastAsia="仿宋" w:cs="仿宋"/>
          <w:spacing w:val="-1"/>
          <w:sz w:val="30"/>
          <w:szCs w:val="30"/>
          <w:lang w:val="en-US" w:eastAsia="zh-CN"/>
        </w:rPr>
        <w:t>生活补助</w:t>
      </w:r>
      <w:r>
        <w:rPr>
          <w:rFonts w:ascii="仿宋" w:hAnsi="仿宋" w:eastAsia="仿宋" w:cs="仿宋"/>
          <w:spacing w:val="-2"/>
          <w:sz w:val="30"/>
          <w:szCs w:val="30"/>
        </w:rPr>
        <w:t>、其他对个人和家庭的补助</w:t>
      </w:r>
      <w:r>
        <w:rPr>
          <w:rFonts w:hint="eastAsia" w:ascii="Times New Roman" w:hAnsi="Times New Roman" w:eastAsia="仿宋_GB2312"/>
          <w:sz w:val="32"/>
          <w:szCs w:val="32"/>
          <w:lang w:eastAsia="zh-CN"/>
        </w:rPr>
        <w:t>。</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93.75</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25.20</w:t>
      </w:r>
      <w:r>
        <w:rPr>
          <w:rFonts w:hint="eastAsia" w:ascii="Times New Roman" w:hAnsi="Times New Roman" w:eastAsia="仿宋_GB2312"/>
          <w:sz w:val="32"/>
          <w:szCs w:val="32"/>
        </w:rPr>
        <w:t>%，主要包括办公费、印刷费、</w:t>
      </w:r>
      <w:r>
        <w:rPr>
          <w:rFonts w:hint="eastAsia" w:ascii="Times New Roman" w:hAnsi="Times New Roman" w:eastAsia="仿宋_GB2312"/>
          <w:sz w:val="32"/>
          <w:szCs w:val="32"/>
          <w:lang w:val="en-US" w:eastAsia="zh-CN"/>
        </w:rPr>
        <w:t>水费、电费、邮电费、差旅费、维修（护）费、配存放、工会经费、福利费、其他商品和服务支出。</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5.56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ascii="仿宋" w:hAnsi="仿宋" w:eastAsia="仿宋" w:cs="仿宋"/>
          <w:spacing w:val="-2"/>
          <w:sz w:val="30"/>
          <w:szCs w:val="30"/>
        </w:rPr>
        <w:t>与上年相比持平</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主要原因</w:t>
      </w:r>
      <w:r>
        <w:rPr>
          <w:rFonts w:ascii="仿宋" w:hAnsi="仿宋" w:eastAsia="仿宋" w:cs="仿宋"/>
          <w:spacing w:val="-1"/>
          <w:sz w:val="30"/>
          <w:szCs w:val="30"/>
        </w:rPr>
        <w:t>是无因公出国（境）费支</w:t>
      </w:r>
      <w:r>
        <w:rPr>
          <w:rFonts w:ascii="仿宋" w:hAnsi="仿宋" w:eastAsia="仿宋" w:cs="仿宋"/>
          <w:spacing w:val="-2"/>
          <w:sz w:val="30"/>
          <w:szCs w:val="30"/>
        </w:rPr>
        <w:t>出</w:t>
      </w:r>
      <w:r>
        <w:rPr>
          <w:rFonts w:hint="eastAsia" w:ascii="Times New Roman" w:hAnsi="Times New Roman" w:eastAsia="仿宋_GB2312"/>
          <w:sz w:val="32"/>
          <w:szCs w:val="32"/>
        </w:rPr>
        <w:t>。</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5.56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ascii="仿宋" w:hAnsi="仿宋" w:eastAsia="仿宋" w:cs="仿宋"/>
          <w:spacing w:val="-2"/>
          <w:sz w:val="30"/>
          <w:szCs w:val="30"/>
        </w:rPr>
        <w:t>与上年相比持平</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val="en-US" w:eastAsia="zh-CN"/>
        </w:rPr>
        <w:t>厉行节约，本年度无公务接待</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bidi w:val="0"/>
        <w:snapToGrid/>
        <w:spacing w:before="1" w:line="600" w:lineRule="exact"/>
        <w:ind w:left="11"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ascii="仿宋" w:hAnsi="仿宋" w:eastAsia="仿宋" w:cs="仿宋"/>
          <w:spacing w:val="-2"/>
          <w:sz w:val="30"/>
          <w:szCs w:val="30"/>
        </w:rPr>
        <w:t>与上年相比持平</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主要原因是</w:t>
      </w:r>
      <w:r>
        <w:rPr>
          <w:rFonts w:hint="eastAsia" w:ascii="仿宋" w:hAnsi="仿宋" w:eastAsia="仿宋" w:cs="仿宋"/>
          <w:spacing w:val="-1"/>
          <w:sz w:val="30"/>
          <w:szCs w:val="30"/>
          <w:lang w:val="en-US" w:eastAsia="zh-CN"/>
        </w:rPr>
        <w:t>本年度</w:t>
      </w:r>
      <w:r>
        <w:rPr>
          <w:rFonts w:ascii="仿宋" w:hAnsi="仿宋" w:eastAsia="仿宋" w:cs="仿宋"/>
          <w:spacing w:val="-1"/>
          <w:sz w:val="30"/>
          <w:szCs w:val="30"/>
        </w:rPr>
        <w:t>无公务用车购置</w:t>
      </w:r>
      <w:r>
        <w:rPr>
          <w:rFonts w:ascii="仿宋" w:hAnsi="仿宋" w:eastAsia="仿宋" w:cs="仿宋"/>
          <w:spacing w:val="-2"/>
          <w:sz w:val="30"/>
          <w:szCs w:val="30"/>
        </w:rPr>
        <w:t>费支出</w:t>
      </w:r>
      <w:r>
        <w:rPr>
          <w:rFonts w:hint="eastAsia" w:ascii="Times New Roman" w:hAnsi="Times New Roman" w:eastAsia="仿宋_GB2312"/>
          <w:sz w:val="32"/>
          <w:szCs w:val="32"/>
        </w:rPr>
        <w:t>。</w:t>
      </w:r>
    </w:p>
    <w:p>
      <w:pPr>
        <w:pStyle w:val="7"/>
        <w:keepNext w:val="0"/>
        <w:keepLines w:val="0"/>
        <w:pageBreakBefore w:val="0"/>
        <w:widowControl w:val="0"/>
        <w:kinsoku/>
        <w:wordWrap/>
        <w:overflowPunct/>
        <w:topLinePunct w:val="0"/>
        <w:bidi w:val="0"/>
        <w:snapToGrid/>
        <w:spacing w:line="600" w:lineRule="exact"/>
        <w:ind w:firstLine="592" w:firstLineChars="200"/>
        <w:textAlignment w:val="auto"/>
        <w:rPr>
          <w:rFonts w:ascii="仿宋" w:hAnsi="仿宋" w:eastAsia="仿宋" w:cs="仿宋"/>
          <w:spacing w:val="-2"/>
          <w:sz w:val="30"/>
          <w:szCs w:val="30"/>
        </w:rPr>
      </w:pPr>
      <w:r>
        <w:rPr>
          <w:rFonts w:ascii="仿宋" w:hAnsi="仿宋" w:eastAsia="仿宋" w:cs="仿宋"/>
          <w:spacing w:val="-2"/>
          <w:sz w:val="30"/>
          <w:szCs w:val="30"/>
        </w:rPr>
        <w:t>公务用车运行维护费支出预算为0万元，支出决算为0万元，与上年相比持平，主要原因是本部门无公务用车。</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7"/>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7"/>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7"/>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20.8</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20.8</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20.8</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万元。具体情况如下：</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1、城乡社区支出（类）城市基础设施配套费安排的支出（款）其他城市基础设施配套费安排的支出（项）。</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20.8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增加</w:t>
      </w:r>
      <w:r>
        <w:rPr>
          <w:rFonts w:hint="eastAsia" w:ascii="Times New Roman" w:hAnsi="Times New Roman" w:eastAsia="仿宋_GB2312"/>
          <w:sz w:val="32"/>
          <w:szCs w:val="32"/>
        </w:rPr>
        <w:t>农贸市场环境卫生奖补经费</w:t>
      </w:r>
      <w:r>
        <w:rPr>
          <w:rFonts w:hint="eastAsia" w:ascii="Times New Roman" w:hAnsi="Times New Roman" w:eastAsia="仿宋_GB2312"/>
          <w:sz w:val="32"/>
          <w:szCs w:val="32"/>
          <w:lang w:val="en-US" w:eastAsia="zh-CN"/>
        </w:rPr>
        <w:t>预算。</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spacing w:before="61" w:line="223" w:lineRule="auto"/>
        <w:ind w:left="9"/>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93.75</w:t>
      </w:r>
      <w:r>
        <w:rPr>
          <w:rFonts w:hint="eastAsia" w:ascii="Times New Roman" w:hAnsi="Times New Roman" w:eastAsia="仿宋_GB2312"/>
          <w:sz w:val="32"/>
          <w:szCs w:val="32"/>
        </w:rPr>
        <w:t>万元，比上年决算数增加</w:t>
      </w:r>
      <w:r>
        <w:rPr>
          <w:rFonts w:hint="eastAsia" w:ascii="Times New Roman" w:hAnsi="Times New Roman" w:eastAsia="仿宋_GB2312"/>
          <w:sz w:val="32"/>
          <w:szCs w:val="32"/>
          <w:lang w:val="en-US" w:eastAsia="zh-CN"/>
        </w:rPr>
        <w:t>20.1</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27.29</w:t>
      </w:r>
      <w:r>
        <w:rPr>
          <w:rFonts w:hint="eastAsia" w:ascii="Times New Roman" w:hAnsi="Times New Roman" w:eastAsia="仿宋_GB2312"/>
          <w:sz w:val="32"/>
          <w:szCs w:val="32"/>
        </w:rPr>
        <w:t>%。主要原因是：办公费</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印刷费、社零工作经费</w:t>
      </w:r>
      <w:r>
        <w:rPr>
          <w:rFonts w:hint="eastAsia" w:ascii="Times New Roman" w:hAnsi="Times New Roman" w:eastAsia="仿宋_GB2312"/>
          <w:sz w:val="32"/>
          <w:szCs w:val="32"/>
        </w:rPr>
        <w:t>等增加。</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万元；开支培训费</w:t>
      </w:r>
      <w:r>
        <w:rPr>
          <w:rFonts w:hint="eastAsia" w:ascii="Times New Roman" w:hAnsi="Times New Roman" w:eastAsia="仿宋_GB2312"/>
          <w:sz w:val="32"/>
          <w:szCs w:val="32"/>
          <w:lang w:val="en-US" w:eastAsia="zh-CN"/>
        </w:rPr>
        <w:t>0.4</w:t>
      </w:r>
      <w:r>
        <w:rPr>
          <w:rFonts w:hint="eastAsia" w:ascii="Times New Roman" w:hAnsi="Times New Roman" w:eastAsia="仿宋_GB2312"/>
          <w:sz w:val="32"/>
          <w:szCs w:val="32"/>
        </w:rPr>
        <w:t>万元，用于开展</w:t>
      </w:r>
      <w:r>
        <w:rPr>
          <w:rFonts w:hint="eastAsia" w:ascii="Times New Roman" w:hAnsi="Times New Roman" w:eastAsia="仿宋_GB2312"/>
          <w:sz w:val="32"/>
          <w:szCs w:val="32"/>
          <w:lang w:val="en-US" w:eastAsia="zh-CN"/>
        </w:rPr>
        <w:t>电子商务</w:t>
      </w:r>
      <w:r>
        <w:rPr>
          <w:rFonts w:hint="eastAsia" w:ascii="Times New Roman" w:hAnsi="Times New Roman" w:eastAsia="仿宋_GB2312"/>
          <w:sz w:val="32"/>
          <w:szCs w:val="32"/>
        </w:rPr>
        <w:t>培训，人数</w:t>
      </w:r>
      <w:r>
        <w:rPr>
          <w:rFonts w:hint="eastAsia" w:ascii="Times New Roman" w:hAnsi="Times New Roman" w:eastAsia="仿宋_GB2312"/>
          <w:sz w:val="32"/>
          <w:szCs w:val="32"/>
          <w:lang w:val="en-US" w:eastAsia="zh-CN"/>
        </w:rPr>
        <w:t>80</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val="en-US" w:eastAsia="zh-CN"/>
        </w:rPr>
        <w:t>电子商务业务培训</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未</w:t>
      </w:r>
      <w:r>
        <w:rPr>
          <w:rFonts w:hint="eastAsia" w:ascii="Times New Roman" w:hAnsi="Times New Roman" w:eastAsia="仿宋_GB2312"/>
          <w:sz w:val="32"/>
          <w:szCs w:val="32"/>
        </w:rPr>
        <w:t>举办节庆、晚会、论坛、赛事活动。</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7"/>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7"/>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7"/>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根据绩效自评工作要求，我单位成立了绩效评价工作领导小组， 负责绩效评价工作的组织领导和具体实施。评价小组采取座谈等方  式听取情况，检查基本支出、项目支出有关账目，收集整理支出相关资料，并根据各部门报送的绩效自评材料进行分析，形成评价结论。</w:t>
      </w:r>
    </w:p>
    <w:p>
      <w:pPr>
        <w:pStyle w:val="7"/>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sz w:val="32"/>
          <w:szCs w:val="32"/>
          <w:lang w:val="en-US" w:eastAsia="zh-CN"/>
        </w:rPr>
        <w:t>1、招商引资成效明显。一是坚持多元招商对接项目。通过创新招商方式，多措并举开展招商，截至目前共联系企业90余家，主动上门对接企业60余家，对接客商100余次。举办了三次集中签约仪式，艾华四期、博翔新材、江丰学院等25个项目成功签约，合同投资金额高达148.87亿元，尤其在“2022 湖南-长三角经贸合作洽谈周”活动中成功推介电子信息产业，成功签约项目4个，合同引资24.3亿元。二是利用节会招商拓宽渠道。积极参与进博会、沪洽周等各类节会活动，拓展招商选商的</w:t>
      </w:r>
      <w:r>
        <w:rPr>
          <w:rFonts w:hint="eastAsia" w:ascii="Times New Roman" w:hAnsi="Times New Roman" w:eastAsia="仿宋_GB2312" w:cs="黑体"/>
          <w:color w:val="000000"/>
          <w:kern w:val="0"/>
          <w:sz w:val="32"/>
          <w:szCs w:val="32"/>
          <w:lang w:val="en-US" w:eastAsia="zh-CN" w:bidi="ar-SA"/>
        </w:rPr>
        <w:t>资源渠道。目前对接的重点企业和项目有北京东方雨虹防水技术股份有限公司、尚科纳米药业及国家纳米科学中心中试基地项目等。</w:t>
      </w:r>
    </w:p>
    <w:p>
      <w:pPr>
        <w:keepNext w:val="0"/>
        <w:keepLines w:val="0"/>
        <w:pageBreakBefore w:val="0"/>
        <w:widowControl w:val="0"/>
        <w:kinsoku/>
        <w:wordWrap/>
        <w:overflowPunct/>
        <w:topLinePunct w:val="0"/>
        <w:bidi w:val="0"/>
        <w:snapToGrid/>
        <w:spacing w:line="600" w:lineRule="exact"/>
        <w:ind w:left="1"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外经外贸稳中有进。一是不断夯实外贸基础。深入了解艾华电子、华慧新能源、龙源纺织等龙头企业发展规划和外贸进出口需求，给予政策支持和金融服务。引进了行业排名中国第一、全球第二的江丰电子公司、晶博太阳能、鼎一致远、瑞思光学等新引进企业相继落户投产。二是对接落实金融支持。摸底全区重点企业及中小企业的融资需求，帮助22家企业成功申报31个稳外贸项目，共计184.37万元，同时指导我区外贸进出口600万美元以下企业免费加入统保平台，保证企业应收账款安全。</w:t>
      </w:r>
    </w:p>
    <w:p>
      <w:pPr>
        <w:keepNext w:val="0"/>
        <w:keepLines w:val="0"/>
        <w:pageBreakBefore w:val="0"/>
        <w:widowControl w:val="0"/>
        <w:kinsoku/>
        <w:wordWrap/>
        <w:overflowPunct/>
        <w:topLinePunct w:val="0"/>
        <w:bidi w:val="0"/>
        <w:snapToGrid/>
        <w:spacing w:line="600" w:lineRule="exact"/>
        <w:ind w:left="1"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3、社会消费逆势而上。一是加强商贸主体培育。完善了商贸流通业相关政策，引导限上限下融合发展，全年共摸排入限企业20家，帮助已入规企业解决问题22个。二是组织各类消费活动。开展了“悦享益阳·品质生活”等系列促销活动；“五一”、“十一”等假期开展了多场促销活动，其中万达新青年暨五一店庆，吸引客流量达7.6万人次，日均销售额达392万；五周年暨“618”大型店庆活动，日均销售额高达575万元，同比增长41%。</w:t>
      </w:r>
    </w:p>
    <w:p>
      <w:pPr>
        <w:keepNext w:val="0"/>
        <w:keepLines w:val="0"/>
        <w:pageBreakBefore w:val="0"/>
        <w:widowControl w:val="0"/>
        <w:kinsoku/>
        <w:wordWrap/>
        <w:overflowPunct/>
        <w:topLinePunct w:val="0"/>
        <w:bidi w:val="0"/>
        <w:snapToGrid/>
        <w:spacing w:line="600" w:lineRule="exact"/>
        <w:ind w:left="1"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4、电子商务蓬勃发展。一是组织企业参加大型展会。积极组织辖区内和祥竹木、通达竹木等8家竹制品企业参加湖南（长沙）跨境电子商务交易会。此次交易会我区共展示明油纸伞、竹筷、竹刀叉勺、竹餐盒等30多种产品。并成功与阿里巴巴国际站、eBay、亚马逊、韩国Coupang等跨境电商平台达成初步合作；组织12家企业参加湖南第九届电子商务大会，推荐衡宇食品、58农服、叶姿国际3家企业参展，助企创新电商交易新模式。二是大力推进数商兴农。指导11家农副产品企业入住消费帮扶平台，参加由省商务厅、省教育厅等单位开展的消费帮扶活动，推动建立长期稳定的产销对接关系，补齐营销短板，提高产品销量。与区山乡巨变农业发展有限公司联合举办“赫赫有名、赫山有礼”“双十一”直播活动，点赞32万次，观看人次达13万，销售益阳名优特农产品1631单，56342.5元。</w:t>
      </w:r>
    </w:p>
    <w:p>
      <w:pPr>
        <w:pStyle w:val="7"/>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预算编制不够明确和细化，预算编制的合理性需要提高。因部分工作是年中或年末根据省市相关要求开展，未纳入年初预算，另外还有部分不可预见经费的追加，无法纳入预算，导致预算执行存在偏差。</w:t>
      </w:r>
    </w:p>
    <w:p>
      <w:pPr>
        <w:pStyle w:val="7"/>
        <w:keepNext w:val="0"/>
        <w:keepLines w:val="0"/>
        <w:pageBreakBefore w:val="0"/>
        <w:widowControl w:val="0"/>
        <w:kinsoku/>
        <w:wordWrap/>
        <w:overflowPunct/>
        <w:topLinePunct w:val="0"/>
        <w:bidi w:val="0"/>
        <w:snapToGrid/>
        <w:spacing w:line="600" w:lineRule="exact"/>
        <w:jc w:val="center"/>
        <w:textAlignment w:val="auto"/>
        <w:rPr>
          <w:rFonts w:hint="eastAsia" w:ascii="Times New Roman" w:hAnsi="Times New Roman" w:eastAsia="仿宋_GB2312" w:cs="黑体"/>
          <w:color w:val="000000"/>
          <w:kern w:val="0"/>
          <w:sz w:val="32"/>
          <w:szCs w:val="32"/>
          <w:lang w:val="en-US" w:eastAsia="zh-CN" w:bidi="ar-SA"/>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both"/>
        <w:rPr>
          <w:rFonts w:hint="eastAsia" w:ascii="方正小标宋_GBK" w:hAnsi="方正小标宋_GBK" w:eastAsia="方正小标宋_GBK" w:cs="方正小标宋_GBK"/>
          <w:sz w:val="72"/>
          <w:szCs w:val="72"/>
        </w:rPr>
      </w:pPr>
    </w:p>
    <w:p>
      <w:pP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br w:type="page"/>
      </w:r>
    </w:p>
    <w:p>
      <w:pPr>
        <w:pStyle w:val="7"/>
        <w:jc w:val="center"/>
        <w:rPr>
          <w:rFonts w:hint="eastAsia" w:ascii="方正小标宋_GBK" w:hAnsi="方正小标宋_GBK" w:eastAsia="方正小标宋_GBK" w:cs="方正小标宋_GBK"/>
          <w:sz w:val="72"/>
          <w:szCs w:val="72"/>
        </w:rPr>
      </w:pPr>
    </w:p>
    <w:p>
      <w:pPr>
        <w:pStyle w:val="7"/>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keepNext w:val="0"/>
        <w:keepLines w:val="0"/>
        <w:pageBreakBefore w:val="0"/>
        <w:widowControl w:val="0"/>
        <w:kinsoku/>
        <w:wordWrap/>
        <w:overflowPunct/>
        <w:topLinePunct w:val="0"/>
        <w:bidi w:val="0"/>
        <w:snapToGrid/>
        <w:spacing w:line="600" w:lineRule="exact"/>
        <w:ind w:left="1"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一、财政拨款收入：指本级财政当年拨付的资金。</w:t>
      </w:r>
    </w:p>
    <w:p>
      <w:pPr>
        <w:keepNext w:val="0"/>
        <w:keepLines w:val="0"/>
        <w:pageBreakBefore w:val="0"/>
        <w:widowControl w:val="0"/>
        <w:kinsoku/>
        <w:wordWrap/>
        <w:overflowPunct/>
        <w:topLinePunct w:val="0"/>
        <w:bidi w:val="0"/>
        <w:snapToGrid/>
        <w:spacing w:line="600" w:lineRule="exact"/>
        <w:ind w:left="1"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二、上年结转和结余：指以前年度尚未完成、结转到本年按有关规定继续使用的资金。</w:t>
      </w:r>
    </w:p>
    <w:p>
      <w:pPr>
        <w:keepNext w:val="0"/>
        <w:keepLines w:val="0"/>
        <w:pageBreakBefore w:val="0"/>
        <w:widowControl w:val="0"/>
        <w:kinsoku/>
        <w:wordWrap/>
        <w:overflowPunct/>
        <w:topLinePunct w:val="0"/>
        <w:bidi w:val="0"/>
        <w:snapToGrid/>
        <w:spacing w:line="600" w:lineRule="exact"/>
        <w:ind w:left="1"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三、年末结转和结余资金：指本年度或以前年度预算安排、因 客观条件发生变化无法按原计划实施，需要延迟到以后年度按有关规定继续使用的资金。</w:t>
      </w:r>
    </w:p>
    <w:p>
      <w:pPr>
        <w:keepNext w:val="0"/>
        <w:keepLines w:val="0"/>
        <w:pageBreakBefore w:val="0"/>
        <w:widowControl w:val="0"/>
        <w:kinsoku/>
        <w:wordWrap/>
        <w:overflowPunct/>
        <w:topLinePunct w:val="0"/>
        <w:bidi w:val="0"/>
        <w:snapToGrid/>
        <w:spacing w:line="600" w:lineRule="exact"/>
        <w:ind w:left="1"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四、基本支出：指保障机构正常运转、完成支日常工作任务而发生的人员支出和公用支出。</w:t>
      </w:r>
    </w:p>
    <w:p>
      <w:pPr>
        <w:keepNext w:val="0"/>
        <w:keepLines w:val="0"/>
        <w:pageBreakBefore w:val="0"/>
        <w:widowControl w:val="0"/>
        <w:kinsoku/>
        <w:wordWrap/>
        <w:overflowPunct/>
        <w:topLinePunct w:val="0"/>
        <w:bidi w:val="0"/>
        <w:snapToGrid/>
        <w:spacing w:line="600" w:lineRule="exact"/>
        <w:ind w:left="1"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五、项目支出：指在基本支出之外为完成特定行政任务和事业发展目标所发生的支出。</w:t>
      </w:r>
    </w:p>
    <w:p>
      <w:pPr>
        <w:keepNext w:val="0"/>
        <w:keepLines w:val="0"/>
        <w:pageBreakBefore w:val="0"/>
        <w:widowControl w:val="0"/>
        <w:kinsoku/>
        <w:wordWrap/>
        <w:overflowPunct/>
        <w:topLinePunct w:val="0"/>
        <w:bidi w:val="0"/>
        <w:snapToGrid/>
        <w:spacing w:line="600" w:lineRule="exact"/>
        <w:ind w:left="1"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六、“三公 ”经费：指用财政拨款安排的因公出国（境）费、公务用车购置及运行费和公务接待费。</w:t>
      </w:r>
    </w:p>
    <w:p>
      <w:pPr>
        <w:keepNext w:val="0"/>
        <w:keepLines w:val="0"/>
        <w:pageBreakBefore w:val="0"/>
        <w:widowControl w:val="0"/>
        <w:kinsoku/>
        <w:wordWrap/>
        <w:overflowPunct/>
        <w:topLinePunct w:val="0"/>
        <w:bidi w:val="0"/>
        <w:snapToGrid/>
        <w:spacing w:line="600" w:lineRule="exact"/>
        <w:ind w:left="1"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七、政府采购 ：是指国家各级政府为从事日常的政务活动或为了满足公共服务的目的，利用国家财政性资金和政府借款购买货物、工程和服务的行为。</w:t>
      </w:r>
    </w:p>
    <w:p>
      <w:pPr>
        <w:keepNext w:val="0"/>
        <w:keepLines w:val="0"/>
        <w:pageBreakBefore w:val="0"/>
        <w:widowControl w:val="0"/>
        <w:kinsoku/>
        <w:wordWrap/>
        <w:overflowPunct/>
        <w:topLinePunct w:val="0"/>
        <w:bidi w:val="0"/>
        <w:snapToGrid/>
        <w:spacing w:line="600" w:lineRule="exact"/>
        <w:ind w:left="1"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八、机关运行经费：指为保障行政单位（包括参照公务员法管 理的事业单位）运行用于购买货物和服务的各项资金，包括办公及、印刷费、邮电费、差旅费、会议费、福利费、日常维修费、专用材 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600" w:lineRule="exact"/>
        <w:ind w:left="1"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九、涉外发展服务支出：指对外贸企业各方面的政策扶持、奖励支出。</w:t>
      </w:r>
    </w:p>
    <w:p>
      <w:pPr>
        <w:keepNext w:val="0"/>
        <w:keepLines w:val="0"/>
        <w:pageBreakBefore w:val="0"/>
        <w:widowControl w:val="0"/>
        <w:kinsoku/>
        <w:wordWrap/>
        <w:overflowPunct/>
        <w:topLinePunct w:val="0"/>
        <w:bidi w:val="0"/>
        <w:snapToGrid/>
        <w:spacing w:line="600" w:lineRule="exact"/>
        <w:ind w:left="1"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十、商业流通事务支出：指与开放型经济与流通产业发展相关的费用支出。</w:t>
      </w:r>
    </w:p>
    <w:sectPr>
      <w:pgSz w:w="11906" w:h="16838"/>
      <w:pgMar w:top="2098" w:right="1474" w:bottom="1984" w:left="1587"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4ABD7E"/>
    <w:multiLevelType w:val="singleLevel"/>
    <w:tmpl w:val="854ABD7E"/>
    <w:lvl w:ilvl="0" w:tentative="0">
      <w:start w:val="7"/>
      <w:numFmt w:val="decimal"/>
      <w:suff w:val="nothing"/>
      <w:lvlText w:val="%1、"/>
      <w:lvlJc w:val="left"/>
    </w:lvl>
  </w:abstractNum>
  <w:abstractNum w:abstractNumId="1">
    <w:nsid w:val="89B90094"/>
    <w:multiLevelType w:val="singleLevel"/>
    <w:tmpl w:val="89B90094"/>
    <w:lvl w:ilvl="0" w:tentative="0">
      <w:start w:val="2"/>
      <w:numFmt w:val="chineseCounting"/>
      <w:suff w:val="nothing"/>
      <w:lvlText w:val="（%1）"/>
      <w:lvlJc w:val="left"/>
      <w:rPr>
        <w:rFonts w:hint="eastAsia"/>
      </w:rPr>
    </w:lvl>
  </w:abstractNum>
  <w:abstractNum w:abstractNumId="2">
    <w:nsid w:val="95009F81"/>
    <w:multiLevelType w:val="singleLevel"/>
    <w:tmpl w:val="95009F81"/>
    <w:lvl w:ilvl="0" w:tentative="0">
      <w:start w:val="2"/>
      <w:numFmt w:val="decimal"/>
      <w:suff w:val="nothing"/>
      <w:lvlText w:val="%1、"/>
      <w:lvlJc w:val="left"/>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1D0A4D5B"/>
    <w:rsid w:val="0A540824"/>
    <w:rsid w:val="0DFC36AD"/>
    <w:rsid w:val="0E9B5983"/>
    <w:rsid w:val="16FE3FF2"/>
    <w:rsid w:val="17F05ED9"/>
    <w:rsid w:val="1CE819CC"/>
    <w:rsid w:val="1D0A4D5B"/>
    <w:rsid w:val="1E1A6F96"/>
    <w:rsid w:val="1F7B6F6A"/>
    <w:rsid w:val="2F854E58"/>
    <w:rsid w:val="351D5B33"/>
    <w:rsid w:val="3B9A612F"/>
    <w:rsid w:val="49830F33"/>
    <w:rsid w:val="4B1D356C"/>
    <w:rsid w:val="4C6B5709"/>
    <w:rsid w:val="55D818D6"/>
    <w:rsid w:val="5AA4447D"/>
    <w:rsid w:val="5CF8460C"/>
    <w:rsid w:val="6018357D"/>
    <w:rsid w:val="61A11716"/>
    <w:rsid w:val="6ACC1A9B"/>
    <w:rsid w:val="6EA12D56"/>
    <w:rsid w:val="71281E8B"/>
    <w:rsid w:val="74E474F8"/>
    <w:rsid w:val="7BCC5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700" w:lineRule="exact"/>
      <w:ind w:firstLine="640" w:firstLineChars="200"/>
    </w:pPr>
    <w:rPr>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next w:val="1"/>
    <w:qFormat/>
    <w:uiPriority w:val="0"/>
    <w:pPr>
      <w:tabs>
        <w:tab w:val="left" w:pos="449"/>
      </w:tabs>
      <w:ind w:firstLine="420"/>
    </w:pPr>
    <w:rPr>
      <w:rFonts w:ascii="Times New Roman" w:hAnsi="Times New Roman"/>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2023-09-11T07:08:00Z</dcterms:created>
  <dc:creator>Min.</dc:creator>
  <cp:lastModifiedBy>Administrator</cp:lastModifiedBy>
  <dcterms:modified xsi:type="dcterms:W3CDTF">2023-09-19T03:09:01Z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7702014B772C420FB7D0FC88D5ED6C12_11</vt:lpwstr>
  </property>
</Properties>
</file>