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9"/>
        <w:jc w:val="center"/>
        <w:rPr>
          <w:sz w:val="84"/>
          <w:szCs w:val="84"/>
        </w:rPr>
      </w:pPr>
      <w:r>
        <w:rPr>
          <w:rFonts w:hint="eastAsia"/>
          <w:sz w:val="84"/>
          <w:szCs w:val="84"/>
          <w:lang w:eastAsia="zh-CN"/>
        </w:rPr>
        <w:t>益阳市赫山区</w:t>
      </w:r>
      <w:r>
        <w:rPr>
          <w:rFonts w:hint="eastAsia"/>
          <w:sz w:val="84"/>
          <w:szCs w:val="84"/>
          <w:lang w:val="en-US" w:eastAsia="zh-CN"/>
        </w:rPr>
        <w:t>国库集中支付</w:t>
      </w:r>
      <w:r>
        <w:rPr>
          <w:rFonts w:hint="eastAsia"/>
          <w:sz w:val="84"/>
          <w:szCs w:val="84"/>
          <w:lang w:eastAsia="zh-CN"/>
        </w:rPr>
        <w:t>核算中心</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益阳市赫山区</w:t>
      </w:r>
      <w:r>
        <w:rPr>
          <w:rFonts w:hint="eastAsia" w:ascii="黑体" w:hAnsi="黑体" w:eastAsia="黑体" w:cs="黑体"/>
          <w:b w:val="0"/>
          <w:bCs/>
          <w:sz w:val="30"/>
          <w:szCs w:val="30"/>
          <w:lang w:val="en-US" w:eastAsia="zh-CN"/>
        </w:rPr>
        <w:t>国</w:t>
      </w:r>
      <w:r>
        <w:rPr>
          <w:rFonts w:hint="eastAsia" w:hAnsi="黑体" w:cs="黑体"/>
          <w:b w:val="0"/>
          <w:bCs/>
          <w:sz w:val="30"/>
          <w:szCs w:val="30"/>
          <w:lang w:val="en-US" w:eastAsia="zh-CN"/>
        </w:rPr>
        <w:t>库集中支付核算中心</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益阳市赫山</w:t>
      </w:r>
      <w:r>
        <w:rPr>
          <w:rFonts w:hint="eastAsia"/>
          <w:sz w:val="84"/>
          <w:szCs w:val="84"/>
          <w:lang w:val="en-US" w:eastAsia="zh-CN"/>
        </w:rPr>
        <w:t>区国库集中支付核算</w:t>
      </w:r>
      <w:r>
        <w:rPr>
          <w:rFonts w:hint="eastAsia"/>
          <w:sz w:val="84"/>
          <w:szCs w:val="84"/>
          <w:lang w:eastAsia="zh-CN"/>
        </w:rPr>
        <w:t>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仿宋_GB2312" w:eastAsia="仿宋_GB2312"/>
          <w:sz w:val="32"/>
          <w:szCs w:val="32"/>
        </w:rPr>
        <w:t>本单位的主要职责是：贯彻执行国家有关法律、法规和方针政策，实施区本级国库集中支付工作；参与拟定区级财政国库集中支付管理制度和国库集中支付信息系统管理制度，协助管理国库集中支付信息系统建设和运行；根据财政批复的单位用款计划具体办理财政直接支付和授权支付的审核和拨付；负责管理经市财政局批准的零余额账户及特设专户；汇总并及时向财政国库部门提供财政集中支付信息；协助个人所得税等税收的代扣代缴及政府与财政部门安排的相关款项代扣工作；建立预警支付制度；配合做好推进全区国库集中支付工作，指导全区国库集中支付机构业务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仿宋_GB2312" w:eastAsia="仿宋_GB2312"/>
          <w:sz w:val="32"/>
          <w:szCs w:val="32"/>
        </w:rPr>
        <w:t>本单位性质为参照公务员管理的事业单位，机构编制管理部门核定编制人数15人，内设会计股，出纳股，综合股三个股室。</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kern w:val="0"/>
          <w:sz w:val="32"/>
          <w:szCs w:val="32"/>
        </w:rPr>
      </w:pPr>
      <w:r>
        <w:rPr>
          <w:rFonts w:hint="eastAsia" w:ascii="仿宋_GB2312" w:eastAsia="仿宋_GB2312"/>
          <w:sz w:val="32"/>
          <w:szCs w:val="32"/>
        </w:rPr>
        <w:t>本单位为赫山区财政局下属独立核算二级机构，只有本级，没有其他二级预算单位。因此，纳入202</w:t>
      </w:r>
      <w:r>
        <w:rPr>
          <w:rFonts w:hint="eastAsia" w:ascii="仿宋_GB2312" w:eastAsia="仿宋_GB2312"/>
          <w:sz w:val="32"/>
          <w:szCs w:val="32"/>
          <w:lang w:val="en-US" w:eastAsia="zh-CN"/>
        </w:rPr>
        <w:t>2</w:t>
      </w:r>
      <w:r>
        <w:rPr>
          <w:rFonts w:hint="eastAsia" w:ascii="仿宋_GB2312" w:eastAsia="仿宋_GB2312"/>
          <w:sz w:val="32"/>
          <w:szCs w:val="32"/>
        </w:rPr>
        <w:t>年部门</w:t>
      </w:r>
      <w:r>
        <w:rPr>
          <w:rFonts w:hint="eastAsia" w:ascii="仿宋_GB2312" w:eastAsia="仿宋_GB2312"/>
          <w:sz w:val="32"/>
          <w:szCs w:val="32"/>
          <w:lang w:eastAsia="zh-CN"/>
        </w:rPr>
        <w:t>决</w:t>
      </w:r>
      <w:r>
        <w:rPr>
          <w:rFonts w:hint="eastAsia" w:ascii="仿宋_GB2312" w:eastAsia="仿宋_GB2312"/>
          <w:sz w:val="32"/>
          <w:szCs w:val="32"/>
        </w:rPr>
        <w:t>算编制范围的只有部门本级。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p>
    <w:p>
      <w:pPr>
        <w:jc w:val="center"/>
        <w:rPr>
          <w:rFonts w:hint="eastAsia" w:eastAsiaTheme="minorEastAsia"/>
          <w:sz w:val="72"/>
          <w:szCs w:val="72"/>
          <w:lang w:eastAsia="zh-CN"/>
        </w:rPr>
      </w:pPr>
    </w:p>
    <w:p>
      <w:pPr>
        <w:jc w:val="center"/>
        <w:rPr>
          <w:rFonts w:hint="eastAsia" w:eastAsiaTheme="minorEastAsia"/>
          <w:sz w:val="72"/>
          <w:szCs w:val="72"/>
          <w:lang w:eastAsia="zh-CN"/>
        </w:rPr>
      </w:pPr>
    </w:p>
    <w:p>
      <w:pPr>
        <w:jc w:val="center"/>
        <w:rPr>
          <w:rFonts w:hint="eastAsia" w:eastAsiaTheme="minorEastAsia"/>
          <w:sz w:val="72"/>
          <w:szCs w:val="72"/>
          <w:lang w:eastAsia="zh-CN"/>
        </w:rPr>
      </w:pPr>
    </w:p>
    <w:p>
      <w:pPr>
        <w:jc w:val="center"/>
        <w:rPr>
          <w:sz w:val="72"/>
          <w:szCs w:val="72"/>
        </w:rPr>
      </w:pPr>
    </w:p>
    <w:p>
      <w:pPr>
        <w:jc w:val="center"/>
        <w:rPr>
          <w:sz w:val="72"/>
          <w:szCs w:val="72"/>
        </w:rPr>
      </w:pPr>
    </w:p>
    <w:p>
      <w:pPr>
        <w:jc w:val="center"/>
        <w:rPr>
          <w:sz w:val="72"/>
          <w:szCs w:val="72"/>
        </w:rPr>
      </w:pPr>
    </w:p>
    <w:tbl>
      <w:tblPr>
        <w:tblStyle w:val="5"/>
        <w:tblW w:w="11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44"/>
        <w:gridCol w:w="657"/>
        <w:gridCol w:w="878"/>
        <w:gridCol w:w="3524"/>
        <w:gridCol w:w="657"/>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080" w:type="dxa"/>
            <w:gridSpan w:val="6"/>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sz w:val="72"/>
          <w:szCs w:val="72"/>
        </w:rPr>
      </w:pPr>
    </w:p>
    <w:p>
      <w:pPr>
        <w:jc w:val="center"/>
        <w:rPr>
          <w:sz w:val="72"/>
          <w:szCs w:val="72"/>
        </w:rPr>
        <w:sectPr>
          <w:pgSz w:w="11906" w:h="16838"/>
          <w:pgMar w:top="720" w:right="720" w:bottom="720" w:left="720" w:header="851" w:footer="992" w:gutter="0"/>
          <w:cols w:space="425" w:num="1"/>
          <w:docGrid w:type="lines" w:linePitch="312" w:charSpace="0"/>
        </w:sectPr>
      </w:pPr>
    </w:p>
    <w:tbl>
      <w:tblPr>
        <w:tblStyle w:val="5"/>
        <w:tblW w:w="152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6"/>
        <w:gridCol w:w="366"/>
        <w:gridCol w:w="366"/>
        <w:gridCol w:w="4265"/>
        <w:gridCol w:w="1358"/>
        <w:gridCol w:w="1358"/>
        <w:gridCol w:w="1358"/>
        <w:gridCol w:w="1358"/>
        <w:gridCol w:w="1358"/>
        <w:gridCol w:w="1358"/>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366"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366"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366"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4265"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358"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358"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358"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358"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358"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358"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1742" w:type="dxa"/>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58"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58"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58"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58"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58"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58"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74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09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42"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098"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42"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098"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42"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5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4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0" w:type="auto"/>
            <w:gridSpan w:val="11"/>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sz w:val="72"/>
          <w:szCs w:val="72"/>
        </w:rPr>
      </w:pPr>
    </w:p>
    <w:tbl>
      <w:tblPr>
        <w:tblStyle w:val="5"/>
        <w:tblW w:w="14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901"/>
        <w:gridCol w:w="1572"/>
        <w:gridCol w:w="1572"/>
        <w:gridCol w:w="1307"/>
        <w:gridCol w:w="1307"/>
        <w:gridCol w:w="1307"/>
        <w:gridCol w:w="2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14900" w:type="dxa"/>
            <w:gridSpan w:val="10"/>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5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5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5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5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5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8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08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08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08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5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5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10"/>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center"/>
        <w:rPr>
          <w:sz w:val="72"/>
          <w:szCs w:val="72"/>
        </w:rPr>
      </w:pPr>
    </w:p>
    <w:p>
      <w:pPr>
        <w:jc w:val="left"/>
        <w:rPr>
          <w:rFonts w:asciiTheme="minorEastAsia" w:hAnsiTheme="minorEastAsia"/>
          <w:sz w:val="32"/>
          <w:szCs w:val="32"/>
        </w:rPr>
      </w:pPr>
    </w:p>
    <w:tbl>
      <w:tblPr>
        <w:tblStyle w:val="5"/>
        <w:tblW w:w="13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47"/>
        <w:gridCol w:w="624"/>
        <w:gridCol w:w="1311"/>
        <w:gridCol w:w="3783"/>
        <w:gridCol w:w="624"/>
        <w:gridCol w:w="943"/>
        <w:gridCol w:w="1360"/>
        <w:gridCol w:w="122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60" w:type="dxa"/>
            <w:gridSpan w:val="9"/>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282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1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820"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5736"/>
        <w:gridCol w:w="2330"/>
        <w:gridCol w:w="2330"/>
        <w:gridCol w:w="3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4620" w:type="dxa"/>
            <w:gridSpan w:val="7"/>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4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0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3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3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87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20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31"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31"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0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31"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31"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7"/>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3463"/>
        <w:gridCol w:w="865"/>
        <w:gridCol w:w="757"/>
        <w:gridCol w:w="2380"/>
        <w:gridCol w:w="757"/>
        <w:gridCol w:w="757"/>
        <w:gridCol w:w="4328"/>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00" w:type="dxa"/>
            <w:gridSpan w:val="9"/>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8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9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0"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8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135.09</w:t>
            </w:r>
          </w:p>
        </w:tc>
        <w:tc>
          <w:tcPr>
            <w:tcW w:w="0" w:type="auto"/>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5"/>
        <w:gridCol w:w="405"/>
        <w:gridCol w:w="405"/>
        <w:gridCol w:w="1999"/>
        <w:gridCol w:w="1761"/>
        <w:gridCol w:w="1761"/>
        <w:gridCol w:w="1761"/>
        <w:gridCol w:w="1761"/>
        <w:gridCol w:w="1761"/>
        <w:gridCol w:w="3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15140" w:type="dxa"/>
            <w:gridSpan w:val="10"/>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6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6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301"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761"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33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6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6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6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761"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338"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61"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338"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7"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61"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10"/>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gridSpan w:val="7"/>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注：我单位无政府性基金预算财政拨款收入支出业务，本表无数据。</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2"/>
        <w:gridCol w:w="422"/>
        <w:gridCol w:w="422"/>
        <w:gridCol w:w="2083"/>
        <w:gridCol w:w="3373"/>
        <w:gridCol w:w="2881"/>
        <w:gridCol w:w="5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4980" w:type="dxa"/>
            <w:gridSpan w:val="7"/>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752"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974"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11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9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04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974"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13"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9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44"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974"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13"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9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44"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7"/>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gridSpan w:val="5"/>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注：我单位无国有资本经营预算拨款支出业务，本表无数据。</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8"/>
        <w:gridCol w:w="1252"/>
        <w:gridCol w:w="1198"/>
        <w:gridCol w:w="1198"/>
        <w:gridCol w:w="1198"/>
        <w:gridCol w:w="1198"/>
        <w:gridCol w:w="1198"/>
        <w:gridCol w:w="1252"/>
        <w:gridCol w:w="1198"/>
        <w:gridCol w:w="1198"/>
        <w:gridCol w:w="1198"/>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9" w:hRule="atLeast"/>
        </w:trPr>
        <w:tc>
          <w:tcPr>
            <w:tcW w:w="15040" w:type="dxa"/>
            <w:gridSpan w:val="12"/>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0" w:type="auto"/>
            <w:gridSpan w:val="3"/>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部门：益阳市赫山区会计核算中心</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72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798"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1198"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94"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19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9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94"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75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2" w:hRule="atLeast"/>
        </w:trPr>
        <w:tc>
          <w:tcPr>
            <w:tcW w:w="1198"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2"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198"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8"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2"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754"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1198"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5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15040" w:type="dxa"/>
            <w:gridSpan w:val="12"/>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ind w:firstLine="4320" w:firstLineChars="600"/>
        <w:jc w:val="both"/>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w:t>
      </w:r>
      <w:r>
        <w:rPr>
          <w:rFonts w:hint="eastAsia"/>
          <w:sz w:val="70"/>
          <w:szCs w:val="70"/>
          <w:lang w:val="en-US" w:eastAsia="zh-CN"/>
        </w:rPr>
        <w:t>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ind w:firstLine="640" w:firstLineChars="200"/>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lang w:val="en-US" w:eastAsia="zh-CN" w:bidi="ar-SA"/>
        </w:rPr>
        <w:t>202</w:t>
      </w:r>
      <w:r>
        <w:rPr>
          <w:rFonts w:hint="eastAsia" w:cs="黑体" w:asciiTheme="minorEastAsia" w:hAnsiTheme="minorEastAsia"/>
          <w:color w:val="000000"/>
          <w:kern w:val="0"/>
          <w:sz w:val="32"/>
          <w:szCs w:val="32"/>
          <w:lang w:val="en-US" w:eastAsia="zh-CN" w:bidi="ar-SA"/>
        </w:rPr>
        <w:t>2</w:t>
      </w:r>
      <w:r>
        <w:rPr>
          <w:rFonts w:hint="eastAsia" w:cs="黑体" w:asciiTheme="minorEastAsia" w:hAnsiTheme="minorEastAsia" w:eastAsiaTheme="minorEastAsia"/>
          <w:color w:val="000000"/>
          <w:kern w:val="0"/>
          <w:sz w:val="32"/>
          <w:szCs w:val="32"/>
          <w:lang w:val="en-US" w:eastAsia="zh-CN" w:bidi="ar-SA"/>
        </w:rPr>
        <w:t>年度收入</w:t>
      </w:r>
      <w:r>
        <w:rPr>
          <w:rFonts w:hint="eastAsia" w:cs="黑体" w:asciiTheme="minorEastAsia" w:hAnsiTheme="minorEastAsia"/>
          <w:color w:val="000000"/>
          <w:kern w:val="0"/>
          <w:sz w:val="32"/>
          <w:szCs w:val="32"/>
          <w:lang w:val="en-US" w:eastAsia="zh-CN" w:bidi="ar-SA"/>
        </w:rPr>
        <w:t>164.49</w:t>
      </w:r>
      <w:r>
        <w:rPr>
          <w:rFonts w:hint="eastAsia" w:cs="黑体" w:asciiTheme="minorEastAsia" w:hAnsiTheme="minorEastAsia" w:eastAsiaTheme="minorEastAsia"/>
          <w:color w:val="000000"/>
          <w:kern w:val="0"/>
          <w:sz w:val="32"/>
          <w:szCs w:val="32"/>
          <w:lang w:val="en-US" w:eastAsia="zh-CN" w:bidi="ar-SA"/>
        </w:rPr>
        <w:t>万元，年末结转和结余0万元，与202</w:t>
      </w:r>
      <w:r>
        <w:rPr>
          <w:rFonts w:hint="eastAsia" w:cs="黑体" w:asciiTheme="minorEastAsia" w:hAnsiTheme="minorEastAsia"/>
          <w:color w:val="000000"/>
          <w:kern w:val="0"/>
          <w:sz w:val="32"/>
          <w:szCs w:val="32"/>
          <w:lang w:val="en-US" w:eastAsia="zh-CN" w:bidi="ar-SA"/>
        </w:rPr>
        <w:t>1</w:t>
      </w:r>
      <w:r>
        <w:rPr>
          <w:rFonts w:hint="eastAsia" w:cs="黑体" w:asciiTheme="minorEastAsia" w:hAnsiTheme="minorEastAsia" w:eastAsiaTheme="minorEastAsia"/>
          <w:color w:val="000000"/>
          <w:kern w:val="0"/>
          <w:sz w:val="32"/>
          <w:szCs w:val="32"/>
          <w:lang w:val="en-US" w:eastAsia="zh-CN" w:bidi="ar-SA"/>
        </w:rPr>
        <w:t>年度收入</w:t>
      </w:r>
      <w:r>
        <w:rPr>
          <w:rFonts w:hint="eastAsia" w:cs="黑体" w:asciiTheme="minorEastAsia" w:hAnsiTheme="minorEastAsia"/>
          <w:color w:val="000000"/>
          <w:kern w:val="0"/>
          <w:sz w:val="32"/>
          <w:szCs w:val="32"/>
          <w:lang w:val="en-US" w:eastAsia="zh-CN" w:bidi="ar-SA"/>
        </w:rPr>
        <w:t>170.25万元</w:t>
      </w:r>
      <w:r>
        <w:rPr>
          <w:rFonts w:hint="eastAsia" w:cs="黑体" w:asciiTheme="minorEastAsia" w:hAnsiTheme="minorEastAsia" w:eastAsiaTheme="minorEastAsia"/>
          <w:color w:val="000000"/>
          <w:kern w:val="0"/>
          <w:sz w:val="32"/>
          <w:szCs w:val="32"/>
          <w:lang w:val="en-US" w:eastAsia="zh-CN" w:bidi="ar-SA"/>
        </w:rPr>
        <w:t>相比，</w:t>
      </w:r>
      <w:r>
        <w:rPr>
          <w:rFonts w:hint="eastAsia" w:cs="黑体" w:asciiTheme="minorEastAsia" w:hAnsiTheme="minorEastAsia"/>
          <w:color w:val="000000"/>
          <w:kern w:val="0"/>
          <w:sz w:val="32"/>
          <w:szCs w:val="32"/>
          <w:lang w:val="en-US" w:eastAsia="zh-CN" w:bidi="ar-SA"/>
        </w:rPr>
        <w:t>减少5.76</w:t>
      </w:r>
      <w:r>
        <w:rPr>
          <w:rFonts w:hint="eastAsia" w:cs="黑体" w:asciiTheme="minorEastAsia" w:hAnsiTheme="minorEastAsia" w:eastAsiaTheme="minorEastAsia"/>
          <w:color w:val="000000"/>
          <w:kern w:val="0"/>
          <w:sz w:val="32"/>
          <w:szCs w:val="32"/>
          <w:lang w:val="en-US" w:eastAsia="zh-CN" w:bidi="ar-SA"/>
        </w:rPr>
        <w:t>万元，减少</w:t>
      </w:r>
      <w:r>
        <w:rPr>
          <w:rFonts w:hint="eastAsia" w:cs="黑体" w:asciiTheme="minorEastAsia" w:hAnsiTheme="minorEastAsia"/>
          <w:color w:val="000000"/>
          <w:kern w:val="0"/>
          <w:sz w:val="32"/>
          <w:szCs w:val="32"/>
          <w:lang w:val="en-US" w:eastAsia="zh-CN" w:bidi="ar-SA"/>
        </w:rPr>
        <w:t>3.38%</w:t>
      </w:r>
      <w:r>
        <w:rPr>
          <w:rFonts w:hint="eastAsia" w:cs="黑体" w:asciiTheme="minorEastAsia" w:hAnsiTheme="minorEastAsia" w:eastAsiaTheme="minorEastAsia"/>
          <w:color w:val="000000"/>
          <w:kern w:val="0"/>
          <w:sz w:val="32"/>
          <w:szCs w:val="32"/>
          <w:highlight w:val="none"/>
          <w:lang w:val="en-US" w:eastAsia="zh-CN" w:bidi="ar-SA"/>
        </w:rPr>
        <w:t>，</w:t>
      </w:r>
      <w:r>
        <w:rPr>
          <w:rFonts w:hint="eastAsia" w:asciiTheme="minorEastAsia" w:hAnsiTheme="minorEastAsia" w:eastAsiaTheme="minorEastAsia"/>
          <w:sz w:val="32"/>
          <w:szCs w:val="32"/>
          <w:highlight w:val="none"/>
        </w:rPr>
        <w:t>主要是因为</w:t>
      </w:r>
      <w:r>
        <w:rPr>
          <w:rFonts w:hint="eastAsia" w:asciiTheme="minorEastAsia" w:hAnsiTheme="minorEastAsia"/>
          <w:sz w:val="32"/>
          <w:szCs w:val="32"/>
          <w:highlight w:val="none"/>
          <w:lang w:val="en-US" w:eastAsia="zh-CN"/>
        </w:rPr>
        <w:t>2021年有上年结转收入，2022年没有上年结转收入。</w:t>
      </w:r>
    </w:p>
    <w:p>
      <w:pPr>
        <w:pStyle w:val="9"/>
        <w:ind w:firstLine="640" w:firstLineChars="200"/>
        <w:rPr>
          <w:rFonts w:hint="default" w:ascii="宋体" w:hAnsi="宋体" w:cs="宋体" w:eastAsiaTheme="minorEastAsia"/>
          <w:b w:val="0"/>
          <w:bCs w:val="0"/>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2022年度支出164.49万元，年末结转和结余0万元，总计164.49万元，与2021年度支出170.25万元相比，</w:t>
      </w:r>
      <w:r>
        <w:rPr>
          <w:rFonts w:hint="eastAsia" w:cs="黑体" w:asciiTheme="minorEastAsia" w:hAnsiTheme="minorEastAsia"/>
          <w:color w:val="000000"/>
          <w:kern w:val="0"/>
          <w:sz w:val="32"/>
          <w:szCs w:val="32"/>
          <w:highlight w:val="none"/>
          <w:lang w:val="en-US" w:eastAsia="zh-CN" w:bidi="ar-SA"/>
        </w:rPr>
        <w:t>减少5.76</w:t>
      </w:r>
      <w:r>
        <w:rPr>
          <w:rFonts w:hint="eastAsia" w:cs="黑体" w:asciiTheme="minorEastAsia" w:hAnsiTheme="minorEastAsia" w:eastAsiaTheme="minorEastAsia"/>
          <w:color w:val="000000"/>
          <w:kern w:val="0"/>
          <w:sz w:val="32"/>
          <w:szCs w:val="32"/>
          <w:highlight w:val="none"/>
          <w:lang w:val="en-US" w:eastAsia="zh-CN" w:bidi="ar-SA"/>
        </w:rPr>
        <w:t>万元，减少</w:t>
      </w:r>
      <w:r>
        <w:rPr>
          <w:rFonts w:hint="eastAsia" w:cs="黑体" w:asciiTheme="minorEastAsia" w:hAnsiTheme="minorEastAsia"/>
          <w:color w:val="000000"/>
          <w:kern w:val="0"/>
          <w:sz w:val="32"/>
          <w:szCs w:val="32"/>
          <w:highlight w:val="none"/>
          <w:lang w:val="en-US" w:eastAsia="zh-CN" w:bidi="ar-SA"/>
        </w:rPr>
        <w:t>3.38%，</w:t>
      </w:r>
      <w:r>
        <w:rPr>
          <w:rFonts w:hint="eastAsia" w:cs="黑体" w:asciiTheme="minorEastAsia" w:hAnsiTheme="minorEastAsia" w:eastAsiaTheme="minorEastAsia"/>
          <w:color w:val="000000"/>
          <w:kern w:val="0"/>
          <w:sz w:val="32"/>
          <w:szCs w:val="32"/>
          <w:highlight w:val="none"/>
          <w:lang w:val="en-US" w:eastAsia="zh-CN" w:bidi="ar-SA"/>
        </w:rPr>
        <w:t xml:space="preserve">  </w:t>
      </w:r>
      <w:r>
        <w:rPr>
          <w:rFonts w:hint="eastAsia" w:asciiTheme="minorEastAsia" w:hAnsiTheme="minorEastAsia" w:eastAsiaTheme="minorEastAsia"/>
          <w:sz w:val="32"/>
          <w:szCs w:val="32"/>
          <w:highlight w:val="none"/>
        </w:rPr>
        <w:t>主要</w:t>
      </w:r>
      <w:r>
        <w:rPr>
          <w:rFonts w:hint="eastAsia" w:asciiTheme="minorEastAsia" w:hAnsiTheme="minorEastAsia" w:eastAsiaTheme="minorEastAsia"/>
          <w:sz w:val="32"/>
          <w:szCs w:val="32"/>
          <w:highlight w:val="none"/>
          <w:lang w:val="en-US" w:eastAsia="zh-CN"/>
        </w:rPr>
        <w:t>是因为工会经费开支减少。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年度收入合计</w:t>
      </w:r>
      <w:r>
        <w:rPr>
          <w:rFonts w:hint="eastAsia" w:asciiTheme="minorEastAsia" w:hAnsiTheme="minorEastAsia" w:eastAsiaTheme="minorEastAsia"/>
          <w:sz w:val="32"/>
          <w:szCs w:val="32"/>
          <w:lang w:val="en-US" w:eastAsia="zh-CN"/>
        </w:rPr>
        <w:t>164.49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164.39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其他收入0.09万元。</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年度支出合计</w:t>
      </w:r>
      <w:r>
        <w:rPr>
          <w:rFonts w:hint="eastAsia" w:asciiTheme="minorEastAsia" w:hAnsiTheme="minorEastAsia" w:eastAsiaTheme="minorEastAsia"/>
          <w:sz w:val="32"/>
          <w:szCs w:val="32"/>
          <w:lang w:val="en-US" w:eastAsia="zh-CN"/>
        </w:rPr>
        <w:t>164.49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164.49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ind w:firstLine="640" w:firstLineChars="200"/>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lang w:val="en-US" w:eastAsia="zh-CN" w:bidi="ar-SA"/>
        </w:rPr>
        <w:t>202</w:t>
      </w:r>
      <w:r>
        <w:rPr>
          <w:rFonts w:hint="eastAsia" w:cs="黑体" w:asciiTheme="minorEastAsia" w:hAnsiTheme="minorEastAsia"/>
          <w:color w:val="000000"/>
          <w:kern w:val="0"/>
          <w:sz w:val="32"/>
          <w:szCs w:val="32"/>
          <w:lang w:val="en-US" w:eastAsia="zh-CN" w:bidi="ar-SA"/>
        </w:rPr>
        <w:t>2</w:t>
      </w:r>
      <w:r>
        <w:rPr>
          <w:rFonts w:hint="eastAsia" w:cs="黑体" w:asciiTheme="minorEastAsia" w:hAnsiTheme="minorEastAsia" w:eastAsiaTheme="minorEastAsia"/>
          <w:color w:val="000000"/>
          <w:kern w:val="0"/>
          <w:sz w:val="32"/>
          <w:szCs w:val="32"/>
          <w:lang w:val="en-US" w:eastAsia="zh-CN" w:bidi="ar-SA"/>
        </w:rPr>
        <w:t>年度</w:t>
      </w:r>
      <w:r>
        <w:rPr>
          <w:rFonts w:hint="eastAsia" w:cs="黑体" w:asciiTheme="minorEastAsia" w:hAnsiTheme="minorEastAsia"/>
          <w:color w:val="000000"/>
          <w:kern w:val="0"/>
          <w:sz w:val="32"/>
          <w:szCs w:val="32"/>
          <w:lang w:val="en-US" w:eastAsia="zh-CN" w:bidi="ar-SA"/>
        </w:rPr>
        <w:t>财政拨款</w:t>
      </w:r>
      <w:r>
        <w:rPr>
          <w:rFonts w:hint="eastAsia" w:cs="黑体" w:asciiTheme="minorEastAsia" w:hAnsiTheme="minorEastAsia" w:eastAsiaTheme="minorEastAsia"/>
          <w:color w:val="000000"/>
          <w:kern w:val="0"/>
          <w:sz w:val="32"/>
          <w:szCs w:val="32"/>
          <w:lang w:val="en-US" w:eastAsia="zh-CN" w:bidi="ar-SA"/>
        </w:rPr>
        <w:t>收入</w:t>
      </w:r>
      <w:r>
        <w:rPr>
          <w:rFonts w:hint="eastAsia" w:cs="黑体" w:asciiTheme="minorEastAsia" w:hAnsiTheme="minorEastAsia"/>
          <w:color w:val="000000"/>
          <w:kern w:val="0"/>
          <w:sz w:val="32"/>
          <w:szCs w:val="32"/>
          <w:lang w:val="en-US" w:eastAsia="zh-CN" w:bidi="ar-SA"/>
        </w:rPr>
        <w:t>164.39</w:t>
      </w:r>
      <w:r>
        <w:rPr>
          <w:rFonts w:hint="eastAsia" w:cs="黑体" w:asciiTheme="minorEastAsia" w:hAnsiTheme="minorEastAsia" w:eastAsiaTheme="minorEastAsia"/>
          <w:color w:val="000000"/>
          <w:kern w:val="0"/>
          <w:sz w:val="32"/>
          <w:szCs w:val="32"/>
          <w:lang w:val="en-US" w:eastAsia="zh-CN" w:bidi="ar-SA"/>
        </w:rPr>
        <w:t>万元，与202</w:t>
      </w:r>
      <w:r>
        <w:rPr>
          <w:rFonts w:hint="eastAsia" w:cs="黑体" w:asciiTheme="minorEastAsia" w:hAnsiTheme="minorEastAsia"/>
          <w:color w:val="000000"/>
          <w:kern w:val="0"/>
          <w:sz w:val="32"/>
          <w:szCs w:val="32"/>
          <w:lang w:val="en-US" w:eastAsia="zh-CN" w:bidi="ar-SA"/>
        </w:rPr>
        <w:t>1</w:t>
      </w:r>
      <w:r>
        <w:rPr>
          <w:rFonts w:hint="eastAsia" w:cs="黑体" w:asciiTheme="minorEastAsia" w:hAnsiTheme="minorEastAsia" w:eastAsiaTheme="minorEastAsia"/>
          <w:color w:val="000000"/>
          <w:kern w:val="0"/>
          <w:sz w:val="32"/>
          <w:szCs w:val="32"/>
          <w:lang w:val="en-US" w:eastAsia="zh-CN" w:bidi="ar-SA"/>
        </w:rPr>
        <w:t>年度</w:t>
      </w:r>
      <w:r>
        <w:rPr>
          <w:rFonts w:hint="eastAsia" w:cs="黑体" w:asciiTheme="minorEastAsia" w:hAnsiTheme="minorEastAsia"/>
          <w:color w:val="000000"/>
          <w:kern w:val="0"/>
          <w:sz w:val="32"/>
          <w:szCs w:val="32"/>
          <w:lang w:val="en-US" w:eastAsia="zh-CN" w:bidi="ar-SA"/>
        </w:rPr>
        <w:t>财政拨款收入</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color w:val="000000"/>
          <w:kern w:val="0"/>
          <w:sz w:val="32"/>
          <w:szCs w:val="32"/>
          <w:lang w:val="en-US" w:eastAsia="zh-CN" w:bidi="ar-SA"/>
        </w:rPr>
        <w:t>170.25</w:t>
      </w:r>
      <w:r>
        <w:rPr>
          <w:rFonts w:hint="eastAsia" w:cs="黑体" w:asciiTheme="minorEastAsia" w:hAnsiTheme="minorEastAsia" w:eastAsiaTheme="minorEastAsia"/>
          <w:color w:val="000000"/>
          <w:kern w:val="0"/>
          <w:sz w:val="32"/>
          <w:szCs w:val="32"/>
          <w:lang w:val="en-US" w:eastAsia="zh-CN" w:bidi="ar-SA"/>
        </w:rPr>
        <w:t>万元）相比，</w:t>
      </w:r>
      <w:r>
        <w:rPr>
          <w:rFonts w:hint="eastAsia" w:cs="黑体" w:asciiTheme="minorEastAsia" w:hAnsiTheme="minorEastAsia"/>
          <w:color w:val="000000"/>
          <w:kern w:val="0"/>
          <w:sz w:val="32"/>
          <w:szCs w:val="32"/>
          <w:lang w:val="en-US" w:eastAsia="zh-CN" w:bidi="ar-SA"/>
        </w:rPr>
        <w:t>减少5.86</w:t>
      </w:r>
      <w:r>
        <w:rPr>
          <w:rFonts w:hint="eastAsia" w:cs="黑体" w:asciiTheme="minorEastAsia" w:hAnsiTheme="minorEastAsia" w:eastAsiaTheme="minorEastAsia"/>
          <w:color w:val="000000"/>
          <w:kern w:val="0"/>
          <w:sz w:val="32"/>
          <w:szCs w:val="32"/>
          <w:lang w:val="en-US" w:eastAsia="zh-CN" w:bidi="ar-SA"/>
        </w:rPr>
        <w:t>万元，减少</w:t>
      </w:r>
      <w:r>
        <w:rPr>
          <w:rFonts w:hint="eastAsia" w:cs="黑体" w:asciiTheme="minorEastAsia" w:hAnsiTheme="minorEastAsia"/>
          <w:color w:val="000000"/>
          <w:kern w:val="0"/>
          <w:sz w:val="32"/>
          <w:szCs w:val="32"/>
          <w:lang w:val="en-US" w:eastAsia="zh-CN" w:bidi="ar-SA"/>
        </w:rPr>
        <w:t>3.44%</w:t>
      </w:r>
      <w:r>
        <w:rPr>
          <w:rFonts w:hint="eastAsia" w:cs="黑体" w:asciiTheme="minorEastAsia" w:hAnsiTheme="minorEastAsia" w:eastAsiaTheme="minorEastAsia"/>
          <w:color w:val="000000"/>
          <w:kern w:val="0"/>
          <w:sz w:val="32"/>
          <w:szCs w:val="32"/>
          <w:lang w:val="en-US" w:eastAsia="zh-CN" w:bidi="ar-SA"/>
        </w:rPr>
        <w:t>，</w:t>
      </w:r>
      <w:r>
        <w:rPr>
          <w:rFonts w:hint="eastAsia" w:asciiTheme="minorEastAsia" w:hAnsiTheme="minorEastAsia" w:eastAsiaTheme="minorEastAsia"/>
          <w:sz w:val="32"/>
          <w:szCs w:val="32"/>
          <w:highlight w:val="none"/>
        </w:rPr>
        <w:t>主要是因为</w:t>
      </w:r>
      <w:r>
        <w:rPr>
          <w:rFonts w:hint="eastAsia" w:asciiTheme="minorEastAsia" w:hAnsiTheme="minorEastAsia"/>
          <w:sz w:val="32"/>
          <w:szCs w:val="32"/>
          <w:highlight w:val="none"/>
          <w:lang w:val="en-US" w:eastAsia="zh-CN"/>
        </w:rPr>
        <w:t>2021年有上年结转收入，2022年没有上年结转收入。</w:t>
      </w:r>
    </w:p>
    <w:p>
      <w:pPr>
        <w:pStyle w:val="9"/>
        <w:ind w:firstLine="640" w:firstLineChars="200"/>
        <w:rPr>
          <w:rFonts w:hint="default" w:ascii="宋体" w:hAnsi="宋体" w:cs="宋体" w:eastAsiaTheme="minorEastAsia"/>
          <w:b w:val="0"/>
          <w:bCs w:val="0"/>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lang w:val="en-US" w:eastAsia="zh-CN" w:bidi="ar-SA"/>
        </w:rPr>
        <w:t>2022年度财政拨款支出164.39万元，与2021年度财政拨款支出（170.25万元）相比，</w:t>
      </w:r>
      <w:r>
        <w:rPr>
          <w:rFonts w:hint="eastAsia" w:cs="黑体" w:asciiTheme="minorEastAsia" w:hAnsiTheme="minorEastAsia"/>
          <w:color w:val="000000"/>
          <w:kern w:val="0"/>
          <w:sz w:val="32"/>
          <w:szCs w:val="32"/>
          <w:lang w:val="en-US" w:eastAsia="zh-CN" w:bidi="ar-SA"/>
        </w:rPr>
        <w:t>减少5.86</w:t>
      </w:r>
      <w:r>
        <w:rPr>
          <w:rFonts w:hint="eastAsia" w:cs="黑体" w:asciiTheme="minorEastAsia" w:hAnsiTheme="minorEastAsia" w:eastAsiaTheme="minorEastAsia"/>
          <w:color w:val="000000"/>
          <w:kern w:val="0"/>
          <w:sz w:val="32"/>
          <w:szCs w:val="32"/>
          <w:lang w:val="en-US" w:eastAsia="zh-CN" w:bidi="ar-SA"/>
        </w:rPr>
        <w:t>万元，减少</w:t>
      </w:r>
      <w:r>
        <w:rPr>
          <w:rFonts w:hint="eastAsia" w:cs="黑体" w:asciiTheme="minorEastAsia" w:hAnsiTheme="minorEastAsia"/>
          <w:color w:val="000000"/>
          <w:kern w:val="0"/>
          <w:sz w:val="32"/>
          <w:szCs w:val="32"/>
          <w:lang w:val="en-US" w:eastAsia="zh-CN" w:bidi="ar-SA"/>
        </w:rPr>
        <w:t>3.44%，</w:t>
      </w:r>
      <w:r>
        <w:rPr>
          <w:rFonts w:hint="eastAsia" w:asciiTheme="minorEastAsia" w:hAnsiTheme="minorEastAsia" w:eastAsiaTheme="minorEastAsia"/>
          <w:sz w:val="32"/>
          <w:szCs w:val="32"/>
          <w:highlight w:val="none"/>
        </w:rPr>
        <w:t>主要</w:t>
      </w:r>
      <w:r>
        <w:rPr>
          <w:rFonts w:hint="eastAsia" w:asciiTheme="minorEastAsia" w:hAnsiTheme="minorEastAsia" w:eastAsiaTheme="minorEastAsia"/>
          <w:sz w:val="32"/>
          <w:szCs w:val="32"/>
          <w:highlight w:val="none"/>
          <w:lang w:val="en-US" w:eastAsia="zh-CN"/>
        </w:rPr>
        <w:t>是因为工会经费开支减少。</w:t>
      </w:r>
    </w:p>
    <w:p>
      <w:pPr>
        <w:pStyle w:val="9"/>
        <w:rPr>
          <w:rFonts w:hAnsi="黑体"/>
          <w:b/>
          <w:sz w:val="32"/>
          <w:szCs w:val="32"/>
          <w:highlight w:val="none"/>
        </w:rPr>
      </w:pPr>
      <w:r>
        <w:rPr>
          <w:rFonts w:hint="eastAsia" w:hAnsi="黑体"/>
          <w:b/>
          <w:sz w:val="32"/>
          <w:szCs w:val="32"/>
          <w:highlight w:val="none"/>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default" w:ascii="宋体" w:hAnsi="宋体" w:cs="宋体" w:eastAsiaTheme="minorEastAsia"/>
          <w:b w:val="0"/>
          <w:bCs w:val="0"/>
          <w:color w:val="000000"/>
          <w:kern w:val="0"/>
          <w:sz w:val="32"/>
          <w:szCs w:val="32"/>
          <w:highlight w:val="none"/>
          <w:lang w:val="en-US" w:eastAsia="zh-CN" w:bidi="ar-SA"/>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164.39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99.94</w:t>
      </w:r>
      <w:r>
        <w:rPr>
          <w:rFonts w:hint="eastAsia" w:asciiTheme="minorEastAsia" w:hAnsiTheme="minorEastAsia" w:eastAsiaTheme="minorEastAsia"/>
          <w:sz w:val="32"/>
          <w:szCs w:val="32"/>
        </w:rPr>
        <w:t>%，与上年相比，</w:t>
      </w:r>
      <w:r>
        <w:rPr>
          <w:rFonts w:hint="eastAsia" w:cs="黑体" w:asciiTheme="minorEastAsia" w:hAnsiTheme="minorEastAsia"/>
          <w:color w:val="000000"/>
          <w:kern w:val="0"/>
          <w:sz w:val="32"/>
          <w:szCs w:val="32"/>
          <w:lang w:val="en-US" w:eastAsia="zh-CN" w:bidi="ar-SA"/>
        </w:rPr>
        <w:t>减少5.86</w:t>
      </w:r>
      <w:r>
        <w:rPr>
          <w:rFonts w:hint="eastAsia" w:cs="黑体" w:asciiTheme="minorEastAsia" w:hAnsiTheme="minorEastAsia" w:eastAsiaTheme="minorEastAsia"/>
          <w:color w:val="000000"/>
          <w:kern w:val="0"/>
          <w:sz w:val="32"/>
          <w:szCs w:val="32"/>
          <w:lang w:val="en-US" w:eastAsia="zh-CN" w:bidi="ar-SA"/>
        </w:rPr>
        <w:t>万元，减少</w:t>
      </w:r>
      <w:r>
        <w:rPr>
          <w:rFonts w:hint="eastAsia" w:cs="黑体" w:asciiTheme="minorEastAsia" w:hAnsiTheme="minorEastAsia"/>
          <w:color w:val="000000"/>
          <w:kern w:val="0"/>
          <w:sz w:val="32"/>
          <w:szCs w:val="32"/>
          <w:lang w:val="en-US" w:eastAsia="zh-CN" w:bidi="ar-SA"/>
        </w:rPr>
        <w:t>3.44%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主要</w:t>
      </w:r>
      <w:r>
        <w:rPr>
          <w:rFonts w:hint="eastAsia" w:asciiTheme="minorEastAsia" w:hAnsiTheme="minorEastAsia" w:eastAsiaTheme="minorEastAsia"/>
          <w:sz w:val="32"/>
          <w:szCs w:val="32"/>
          <w:highlight w:val="none"/>
          <w:lang w:val="en-US" w:eastAsia="zh-CN"/>
        </w:rPr>
        <w:t>是因为工会经费开支减少。</w:t>
      </w:r>
    </w:p>
    <w:p>
      <w:pPr>
        <w:pStyle w:val="9"/>
        <w:rPr>
          <w:rFonts w:asciiTheme="minorEastAsia" w:hAnsiTheme="minorEastAsia" w:eastAsiaTheme="minorEastAsia"/>
          <w:sz w:val="32"/>
          <w:szCs w:val="32"/>
          <w:highlight w:val="red"/>
        </w:rPr>
      </w:pP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164.39</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137.9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83.89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17.68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10.75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0.56万元，占0.34%；住房保障（类）支出8.26万元，占5.02%。</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134.43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164.39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122.29</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1、一般公共服务支出（类）财政事务（款）。</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110.97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124.27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 xml:space="preserve">调整预算增加26.93。          </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（类）行政事业单位养老支出</w:t>
      </w:r>
      <w:r>
        <w:rPr>
          <w:rFonts w:hint="eastAsia" w:asciiTheme="minorEastAsia" w:hAnsiTheme="minorEastAsia" w:eastAsiaTheme="minorEastAsia"/>
          <w:sz w:val="32"/>
          <w:szCs w:val="32"/>
          <w:lang w:eastAsia="zh-CN"/>
        </w:rPr>
        <w:t>（款）机关事业单位基本养老保险缴费支出（项）。</w:t>
      </w:r>
    </w:p>
    <w:p>
      <w:pPr>
        <w:pStyle w:val="9"/>
        <w:ind w:firstLine="800" w:firstLineChars="250"/>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109.34</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highlight w:val="none"/>
          <w:lang w:eastAsia="zh-CN"/>
          <w14:textFill>
            <w14:solidFill>
              <w14:schemeClr w14:val="tx1"/>
            </w14:solidFill>
          </w14:textFill>
        </w:rPr>
        <w:t>调整预算</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1.51万元。</w:t>
      </w:r>
    </w:p>
    <w:p>
      <w:pPr>
        <w:pStyle w:val="9"/>
        <w:ind w:firstLine="800" w:firstLineChars="250"/>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4、卫生健康支出（类）行政事业单位医疗（款） 行政单位医疗（项）。</w:t>
      </w:r>
    </w:p>
    <w:p>
      <w:pPr>
        <w:pStyle w:val="9"/>
        <w:numPr>
          <w:ilvl w:val="0"/>
          <w:numId w:val="0"/>
        </w:numPr>
        <w:ind w:firstLine="640" w:firstLineChars="200"/>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highlight w:val="none"/>
          <w14:textFill>
            <w14:solidFill>
              <w14:schemeClr w14:val="tx1"/>
            </w14:solidFill>
          </w14:textFill>
        </w:rPr>
        <w:t>年初预算为</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highlight w:val="none"/>
          <w14:textFill>
            <w14:solidFill>
              <w14:schemeClr w14:val="tx1"/>
            </w14:solidFill>
          </w14:textFill>
        </w:rPr>
        <w:t>万元，支出决算为</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0.56</w:t>
      </w:r>
      <w:r>
        <w:rPr>
          <w:rFonts w:hint="eastAsia" w:asciiTheme="minorEastAsia" w:hAnsiTheme="minorEastAsia" w:eastAsiaTheme="minorEastAsia"/>
          <w:color w:val="000000" w:themeColor="text1"/>
          <w:sz w:val="32"/>
          <w:szCs w:val="32"/>
          <w:highlight w:val="none"/>
          <w14:textFill>
            <w14:solidFill>
              <w14:schemeClr w14:val="tx1"/>
            </w14:solidFill>
          </w14:textFill>
        </w:rPr>
        <w:t>万元，决算数</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大于</w:t>
      </w:r>
      <w:r>
        <w:rPr>
          <w:rFonts w:hint="eastAsia" w:asciiTheme="minorEastAsia" w:hAnsiTheme="minorEastAsia" w:eastAsiaTheme="minorEastAsia"/>
          <w:color w:val="000000" w:themeColor="text1"/>
          <w:sz w:val="32"/>
          <w:szCs w:val="32"/>
          <w:highlight w:val="none"/>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highlight w:val="none"/>
          <w:lang w:eastAsia="zh-CN"/>
          <w14:textFill>
            <w14:solidFill>
              <w14:schemeClr w14:val="tx1"/>
            </w14:solidFill>
          </w14:textFill>
        </w:rPr>
        <w:t>调整预算</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增加0.56万元。</w:t>
      </w:r>
    </w:p>
    <w:p>
      <w:pPr>
        <w:pStyle w:val="9"/>
        <w:numPr>
          <w:ilvl w:val="0"/>
          <w:numId w:val="0"/>
        </w:numPr>
        <w:ind w:firstLine="640" w:firstLineChars="200"/>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5、住房保障支出（类）住房改革支出（款） 住房公积金（项）。</w:t>
      </w:r>
    </w:p>
    <w:p>
      <w:pPr>
        <w:pStyle w:val="9"/>
        <w:numPr>
          <w:ilvl w:val="0"/>
          <w:numId w:val="0"/>
        </w:numPr>
        <w:ind w:firstLine="640" w:firstLineChars="200"/>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highlight w:val="none"/>
          <w14:textFill>
            <w14:solidFill>
              <w14:schemeClr w14:val="tx1"/>
            </w14:solidFill>
          </w14:textFill>
        </w:rPr>
        <w:t>年初预算为</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7.29</w:t>
      </w:r>
      <w:r>
        <w:rPr>
          <w:rFonts w:hint="eastAsia" w:asciiTheme="minorEastAsia" w:hAnsiTheme="minorEastAsia" w:eastAsiaTheme="minorEastAsia"/>
          <w:color w:val="000000" w:themeColor="text1"/>
          <w:sz w:val="32"/>
          <w:szCs w:val="32"/>
          <w:highlight w:val="none"/>
          <w14:textFill>
            <w14:solidFill>
              <w14:schemeClr w14:val="tx1"/>
            </w14:solidFill>
          </w14:textFill>
        </w:rPr>
        <w:t>万元，支出决算为</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8.26</w:t>
      </w:r>
      <w:r>
        <w:rPr>
          <w:rFonts w:hint="eastAsia" w:asciiTheme="minorEastAsia" w:hAnsiTheme="minorEastAsia" w:eastAsiaTheme="minorEastAsia"/>
          <w:color w:val="000000" w:themeColor="text1"/>
          <w:sz w:val="32"/>
          <w:szCs w:val="32"/>
          <w:highlight w:val="none"/>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113.31</w:t>
      </w:r>
      <w:r>
        <w:rPr>
          <w:rFonts w:hint="eastAsia" w:asciiTheme="minorEastAsia" w:hAnsiTheme="minorEastAsia" w:eastAsiaTheme="minorEastAsia"/>
          <w:color w:val="000000" w:themeColor="text1"/>
          <w:sz w:val="32"/>
          <w:szCs w:val="32"/>
          <w:highlight w:val="none"/>
          <w14:textFill>
            <w14:solidFill>
              <w14:schemeClr w14:val="tx1"/>
            </w14:solidFill>
          </w14:textFill>
        </w:rPr>
        <w:t>%，决算数</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大于</w:t>
      </w:r>
      <w:r>
        <w:rPr>
          <w:rFonts w:hint="eastAsia" w:asciiTheme="minorEastAsia" w:hAnsiTheme="minorEastAsia" w:eastAsiaTheme="minorEastAsia"/>
          <w:color w:val="000000" w:themeColor="text1"/>
          <w:sz w:val="32"/>
          <w:szCs w:val="32"/>
          <w:highlight w:val="none"/>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highlight w:val="none"/>
          <w:lang w:eastAsia="zh-CN"/>
          <w14:textFill>
            <w14:solidFill>
              <w14:schemeClr w14:val="tx1"/>
            </w14:solidFill>
          </w14:textFill>
        </w:rPr>
        <w:t>调整预算</w:t>
      </w:r>
      <w:r>
        <w:rPr>
          <w:rFonts w:hint="eastAsia" w:asciiTheme="minorEastAsia" w:hAnsiTheme="minorEastAsia" w:eastAsiaTheme="minorEastAsia"/>
          <w:color w:val="000000" w:themeColor="text1"/>
          <w:sz w:val="32"/>
          <w:szCs w:val="32"/>
          <w:highlight w:val="none"/>
          <w:lang w:val="en-US" w:eastAsia="zh-CN"/>
          <w14:textFill>
            <w14:solidFill>
              <w14:schemeClr w14:val="tx1"/>
            </w14:solidFill>
          </w14:textFill>
        </w:rPr>
        <w:t>增加0.97万元。</w:t>
      </w:r>
    </w:p>
    <w:p>
      <w:pPr>
        <w:pStyle w:val="9"/>
        <w:numPr>
          <w:ilvl w:val="0"/>
          <w:numId w:val="0"/>
        </w:numPr>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164.39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135.09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82.18</w:t>
      </w:r>
      <w:r>
        <w:rPr>
          <w:rFonts w:hint="eastAsia" w:asciiTheme="minorEastAsia" w:hAnsiTheme="minorEastAsia" w:eastAsiaTheme="minorEastAsia"/>
          <w:sz w:val="32"/>
          <w:szCs w:val="32"/>
        </w:rPr>
        <w:t>%,主要包括基本工资、津贴补贴、奖金、绩效工资</w:t>
      </w:r>
      <w:r>
        <w:rPr>
          <w:rFonts w:hint="eastAsia" w:asciiTheme="minorEastAsia" w:hAnsiTheme="minorEastAsia" w:eastAsiaTheme="minorEastAsia"/>
          <w:sz w:val="32"/>
          <w:szCs w:val="32"/>
          <w:lang w:eastAsia="zh-CN"/>
        </w:rPr>
        <w:t>、机关事业单位基本养老保险缴费、住房公积金、生活补助等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29.3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17.82</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工会经费、其他交通费和其他商品和服务支出等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年度“三公”经费财政拨款支出预算为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无因公出国（境）费支出预算与决算。</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及运行维护费支出预算与决算</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9"/>
        <w:numPr>
          <w:ilvl w:val="0"/>
          <w:numId w:val="3"/>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numPr>
          <w:ilvl w:val="0"/>
          <w:numId w:val="3"/>
        </w:numPr>
        <w:ind w:firstLine="640" w:firstLineChars="20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numPr>
          <w:ilvl w:val="0"/>
          <w:numId w:val="3"/>
        </w:numPr>
        <w:ind w:firstLine="640" w:firstLineChars="20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政府性基金预算</w:t>
      </w:r>
      <w:r>
        <w:rPr>
          <w:rFonts w:hint="eastAsia" w:asciiTheme="minorEastAsia" w:hAnsiTheme="minorEastAsia" w:eastAsiaTheme="minorEastAsia"/>
          <w:sz w:val="32"/>
          <w:szCs w:val="32"/>
          <w:lang w:eastAsia="zh-CN"/>
        </w:rPr>
        <w:t>财政拨款安排的收支。</w:t>
      </w:r>
    </w:p>
    <w:p>
      <w:pPr>
        <w:pStyle w:val="9"/>
        <w:rPr>
          <w:rFonts w:hAnsi="黑体"/>
          <w:b/>
          <w:sz w:val="32"/>
          <w:szCs w:val="32"/>
        </w:rPr>
      </w:pPr>
      <w:r>
        <w:rPr>
          <w:rFonts w:hint="eastAsia" w:hAnsi="黑体"/>
          <w:b/>
          <w:sz w:val="32"/>
          <w:szCs w:val="32"/>
          <w:lang w:val="en-US" w:eastAsia="zh-CN"/>
        </w:rPr>
        <w:t>九</w:t>
      </w:r>
      <w:r>
        <w:rPr>
          <w:rFonts w:hint="eastAsia" w:hAnsi="黑体"/>
          <w:b/>
          <w:sz w:val="32"/>
          <w:szCs w:val="32"/>
        </w:rPr>
        <w:t>、机关运行经费支出说明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年度机关运行经费支出</w:t>
      </w:r>
      <w:r>
        <w:rPr>
          <w:rFonts w:hint="eastAsia" w:asciiTheme="minorEastAsia" w:hAnsiTheme="minorEastAsia" w:eastAsiaTheme="minorEastAsia"/>
          <w:sz w:val="32"/>
          <w:szCs w:val="32"/>
          <w:lang w:val="en-US" w:eastAsia="zh-CN"/>
        </w:rPr>
        <w:t>29.3</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15.09</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33.99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严格财经纪律，节约了开支</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年本</w:t>
      </w:r>
      <w:r>
        <w:rPr>
          <w:rFonts w:hint="eastAsia" w:asciiTheme="minorEastAsia" w:hAnsiTheme="minorEastAsia" w:eastAsiaTheme="minorEastAsia"/>
          <w:sz w:val="32"/>
          <w:szCs w:val="32"/>
          <w:lang w:eastAsia="zh-CN"/>
        </w:rPr>
        <w:t>单位无会议费、培训费支出。</w:t>
      </w:r>
    </w:p>
    <w:p>
      <w:pPr>
        <w:pStyle w:val="9"/>
        <w:rPr>
          <w:rFonts w:hAnsi="黑体"/>
          <w:b/>
          <w:sz w:val="32"/>
          <w:szCs w:val="32"/>
        </w:rPr>
      </w:pPr>
      <w:r>
        <w:rPr>
          <w:rFonts w:hint="eastAsia" w:hAnsi="黑体"/>
          <w:b/>
          <w:sz w:val="32"/>
          <w:szCs w:val="32"/>
        </w:rPr>
        <w:t>十</w:t>
      </w:r>
      <w:r>
        <w:rPr>
          <w:rFonts w:hint="eastAsia" w:hAnsi="黑体"/>
          <w:b/>
          <w:sz w:val="32"/>
          <w:szCs w:val="32"/>
          <w:lang w:val="en-US" w:eastAsia="zh-CN"/>
        </w:rPr>
        <w:t>一</w:t>
      </w:r>
      <w:r>
        <w:rPr>
          <w:rFonts w:hint="eastAsia" w:hAnsi="黑体"/>
          <w:b/>
          <w:sz w:val="32"/>
          <w:szCs w:val="32"/>
        </w:rPr>
        <w:t>、政府采购支出说明</w:t>
      </w:r>
    </w:p>
    <w:p>
      <w:pPr>
        <w:pStyle w:val="9"/>
        <w:pageBreakBefore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本部门</w:t>
      </w:r>
      <w:r>
        <w:rPr>
          <w:rFonts w:hint="eastAsia" w:ascii="宋体" w:hAnsi="宋体" w:eastAsia="宋体" w:cs="宋体"/>
          <w:sz w:val="32"/>
          <w:szCs w:val="32"/>
          <w:highlight w:val="none"/>
          <w:lang w:eastAsia="zh-CN"/>
        </w:rPr>
        <w:t>2022年</w:t>
      </w:r>
      <w:r>
        <w:rPr>
          <w:rFonts w:hint="eastAsia" w:ascii="宋体" w:hAnsi="宋体" w:eastAsia="宋体" w:cs="宋体"/>
          <w:sz w:val="32"/>
          <w:szCs w:val="32"/>
          <w:highlight w:val="none"/>
        </w:rPr>
        <w:t>度政府采购支出总额</w:t>
      </w:r>
      <w:r>
        <w:rPr>
          <w:rFonts w:hint="eastAsia" w:ascii="宋体" w:hAnsi="宋体" w:eastAsia="宋体" w:cs="宋体"/>
          <w:sz w:val="32"/>
          <w:szCs w:val="32"/>
          <w:highlight w:val="none"/>
          <w:lang w:val="en-US" w:eastAsia="zh-CN"/>
        </w:rPr>
        <w:t>0.29万</w:t>
      </w:r>
      <w:r>
        <w:rPr>
          <w:rFonts w:hint="eastAsia" w:ascii="宋体" w:hAnsi="宋体" w:eastAsia="宋体" w:cs="宋体"/>
          <w:sz w:val="32"/>
          <w:szCs w:val="32"/>
          <w:highlight w:val="none"/>
        </w:rPr>
        <w:t>元，其中：政府采购货物支出</w:t>
      </w:r>
      <w:r>
        <w:rPr>
          <w:rFonts w:hint="eastAsia" w:ascii="宋体" w:hAnsi="宋体" w:eastAsia="宋体" w:cs="宋体"/>
          <w:sz w:val="32"/>
          <w:szCs w:val="32"/>
          <w:highlight w:val="none"/>
          <w:lang w:val="en-US" w:eastAsia="zh-CN"/>
        </w:rPr>
        <w:t>0.29</w:t>
      </w:r>
      <w:r>
        <w:rPr>
          <w:rFonts w:hint="eastAsia" w:ascii="宋体" w:hAnsi="宋体" w:eastAsia="宋体" w:cs="宋体"/>
          <w:sz w:val="32"/>
          <w:szCs w:val="32"/>
          <w:highlight w:val="none"/>
        </w:rPr>
        <w:t>万元、政府采购工程支出</w:t>
      </w:r>
      <w:r>
        <w:rPr>
          <w:rFonts w:hint="eastAsia" w:ascii="宋体" w:hAnsi="宋体" w:eastAsia="宋体" w:cs="宋体"/>
          <w:sz w:val="32"/>
          <w:szCs w:val="32"/>
          <w:highlight w:val="none"/>
          <w:lang w:val="en-US" w:eastAsia="zh-CN"/>
        </w:rPr>
        <w:t>0</w:t>
      </w:r>
      <w:r>
        <w:rPr>
          <w:rFonts w:hint="eastAsia" w:ascii="宋体" w:hAnsi="宋体" w:eastAsia="宋体" w:cs="宋体"/>
          <w:sz w:val="32"/>
          <w:szCs w:val="32"/>
          <w:highlight w:val="none"/>
        </w:rPr>
        <w:t>万元、政府采购服务支出</w:t>
      </w:r>
      <w:r>
        <w:rPr>
          <w:rFonts w:hint="eastAsia" w:ascii="宋体" w:hAnsi="宋体" w:eastAsia="宋体" w:cs="宋体"/>
          <w:sz w:val="32"/>
          <w:szCs w:val="32"/>
          <w:highlight w:val="none"/>
          <w:lang w:val="en-US" w:eastAsia="zh-CN"/>
        </w:rPr>
        <w:t>0</w:t>
      </w:r>
      <w:r>
        <w:rPr>
          <w:rFonts w:hint="eastAsia" w:ascii="宋体" w:hAnsi="宋体" w:eastAsia="宋体" w:cs="宋体"/>
          <w:sz w:val="32"/>
          <w:szCs w:val="32"/>
          <w:highlight w:val="none"/>
        </w:rPr>
        <w:t>万元。</w:t>
      </w:r>
    </w:p>
    <w:p>
      <w:pPr>
        <w:pStyle w:val="9"/>
        <w:rPr>
          <w:rFonts w:hAnsi="黑体"/>
          <w:b/>
          <w:sz w:val="32"/>
          <w:szCs w:val="32"/>
        </w:rPr>
      </w:pPr>
      <w:r>
        <w:rPr>
          <w:rFonts w:hint="eastAsia" w:hAnsi="黑体"/>
          <w:b/>
          <w:sz w:val="32"/>
          <w:szCs w:val="32"/>
        </w:rPr>
        <w:t>十</w:t>
      </w:r>
      <w:r>
        <w:rPr>
          <w:rFonts w:hint="eastAsia" w:hAnsi="黑体"/>
          <w:b/>
          <w:sz w:val="32"/>
          <w:szCs w:val="32"/>
          <w:lang w:val="en-US" w:eastAsia="zh-CN"/>
        </w:rPr>
        <w:t>二</w:t>
      </w:r>
      <w:r>
        <w:rPr>
          <w:rFonts w:hint="eastAsia" w:hAnsi="黑体"/>
          <w:b/>
          <w:sz w:val="32"/>
          <w:szCs w:val="32"/>
        </w:rPr>
        <w:t>、国有资产占用情况说明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w:t>
      </w:r>
      <w:bookmarkStart w:id="0" w:name="_GoBack"/>
      <w:bookmarkEnd w:id="0"/>
      <w:r>
        <w:rPr>
          <w:rFonts w:hint="eastAsia" w:asciiTheme="minorEastAsia" w:hAnsiTheme="minorEastAsia" w:eastAsiaTheme="minorEastAsia"/>
          <w:sz w:val="32"/>
          <w:szCs w:val="32"/>
        </w:rPr>
        <w:t>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w:t>
      </w:r>
      <w:r>
        <w:rPr>
          <w:rFonts w:hint="eastAsia" w:hAnsi="黑体"/>
          <w:b/>
          <w:sz w:val="32"/>
          <w:szCs w:val="32"/>
          <w:lang w:val="en-US" w:eastAsia="zh-CN"/>
        </w:rPr>
        <w:t>三</w:t>
      </w:r>
      <w:r>
        <w:rPr>
          <w:rFonts w:hint="eastAsia" w:hAnsi="黑体"/>
          <w:b/>
          <w:sz w:val="32"/>
          <w:szCs w:val="32"/>
        </w:rPr>
        <w:t>、202</w:t>
      </w:r>
      <w:r>
        <w:rPr>
          <w:rFonts w:hint="eastAsia" w:hAnsi="黑体"/>
          <w:b/>
          <w:sz w:val="32"/>
          <w:szCs w:val="32"/>
          <w:lang w:val="en-US" w:eastAsia="zh-CN"/>
        </w:rPr>
        <w:t>2</w:t>
      </w:r>
      <w:r>
        <w:rPr>
          <w:rFonts w:hint="eastAsia" w:hAnsi="黑体"/>
          <w:b/>
          <w:sz w:val="32"/>
          <w:szCs w:val="32"/>
        </w:rPr>
        <w:t>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w:t>
      </w:r>
      <w:r>
        <w:rPr>
          <w:rFonts w:hint="eastAsia" w:cs="黑体" w:asciiTheme="minorEastAsia" w:hAnsiTheme="minorEastAsia"/>
          <w:color w:val="000000"/>
          <w:kern w:val="0"/>
          <w:sz w:val="32"/>
          <w:szCs w:val="32"/>
          <w:lang w:val="en-US" w:eastAsia="zh-CN"/>
        </w:rPr>
        <w:t>2</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万元。组织对</w:t>
      </w:r>
      <w:r>
        <w:rPr>
          <w:rFonts w:cs="黑体" w:asciiTheme="minorEastAsia" w:hAnsiTheme="minorEastAsia"/>
          <w:color w:val="000000"/>
          <w:kern w:val="0"/>
          <w:sz w:val="32"/>
          <w:szCs w:val="32"/>
        </w:rPr>
        <w:t>202</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年度政府性基金预算项目支出开展绩效自评，共涉及资金</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万元。组织对</w:t>
      </w:r>
      <w:r>
        <w:rPr>
          <w:rFonts w:cs="黑体" w:asciiTheme="minorEastAsia" w:hAnsiTheme="minorEastAsia"/>
          <w:color w:val="000000"/>
          <w:kern w:val="0"/>
          <w:sz w:val="32"/>
          <w:szCs w:val="32"/>
        </w:rPr>
        <w:t>202</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年度国有资本经营预算项目支出开展绩效自评，共涉及资金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本年无项目部门评价。</w:t>
      </w:r>
    </w:p>
    <w:p>
      <w:pPr>
        <w:autoSpaceDE w:val="0"/>
        <w:autoSpaceDN w:val="0"/>
        <w:adjustRightInd w:val="0"/>
        <w:ind w:firstLine="640" w:firstLineChars="200"/>
        <w:jc w:val="left"/>
        <w:rPr>
          <w:rFonts w:hint="eastAsia" w:ascii="等线" w:hAnsi="Times New Roman" w:eastAsia="等线" w:cs="Times New Roman"/>
          <w:color w:val="333333"/>
          <w:kern w:val="0"/>
          <w:sz w:val="30"/>
          <w:szCs w:val="30"/>
          <w:lang w:val="en-US" w:eastAsia="zh-CN" w:bidi="ar"/>
        </w:rPr>
      </w:pPr>
      <w:r>
        <w:rPr>
          <w:rFonts w:hint="eastAsia" w:cs="黑体" w:asciiTheme="minorEastAsia" w:hAnsiTheme="minorEastAsia"/>
          <w:color w:val="000000"/>
          <w:kern w:val="0"/>
          <w:sz w:val="32"/>
          <w:szCs w:val="32"/>
        </w:rPr>
        <w:t>组织开展整体支出绩效评价，涉及一般公共预算支出</w:t>
      </w:r>
      <w:r>
        <w:rPr>
          <w:rFonts w:hint="eastAsia" w:cs="黑体" w:asciiTheme="minorEastAsia" w:hAnsiTheme="minorEastAsia"/>
          <w:color w:val="000000"/>
          <w:kern w:val="0"/>
          <w:sz w:val="32"/>
          <w:szCs w:val="32"/>
          <w:lang w:val="en-US" w:eastAsia="zh-CN"/>
        </w:rPr>
        <w:t>164.49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ascii="等线" w:hAnsi="Times New Roman" w:eastAsia="等线" w:cs="Times New Roman"/>
          <w:color w:val="333333"/>
          <w:kern w:val="0"/>
          <w:sz w:val="30"/>
          <w:szCs w:val="30"/>
          <w:lang w:val="en-US" w:eastAsia="zh-CN" w:bidi="ar"/>
        </w:rPr>
        <w:t>逐步完善、规范会计集中核算和国库集中支付工作流程，严格执行先审后核再支付的工作步骤，严格执行内部操作规程，中心主任、副主任、核算会计、资金管理出纳、银行业务联络员、档案管理员专职传岗，各司其职，分工协作，责权清晰，确保了会计集中核算和国库集中支付的平稳运行；加强银行账户管理；及时办理业务工作，并保持资金支付零差错。</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本单位本年无项目绩效自评。</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本年本单位无</w:t>
      </w:r>
      <w:r>
        <w:rPr>
          <w:rFonts w:hint="eastAsia" w:cs="黑体" w:asciiTheme="minorEastAsia" w:hAnsiTheme="minorEastAsia"/>
          <w:color w:val="000000"/>
          <w:kern w:val="0"/>
          <w:sz w:val="32"/>
          <w:szCs w:val="32"/>
        </w:rPr>
        <w:t>部门评价项目。</w:t>
      </w:r>
    </w:p>
    <w:p>
      <w:pPr>
        <w:pStyle w:val="9"/>
        <w:jc w:val="center"/>
        <w:rPr>
          <w:sz w:val="72"/>
          <w:szCs w:val="72"/>
        </w:rPr>
      </w:pPr>
    </w:p>
    <w:p>
      <w:pPr>
        <w:pStyle w:val="9"/>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财政拨款收入：指本级财政当年拨付的资金。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上年结转和结余：指以前年度尚未完成、结转到本年按有关规定继续使用的资金。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基本支出：指保障机构正常运转、完成支日常工作任务而发生的人员支出和公用支出。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项目支出：指在基本支出之外为完成特定行政任务和事业发展目标所发生的支出。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“三公”经费：指用财政拨款安排的因公出国（境）费、公务用车购置及运行费和公务接待费。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工资福利支出：反映单位开支的在职职工和编制外长期聘用人员的各类劳动报酬，以及为上述人员缴纳的各项社会保险费等。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奖金：反映机关工作人员年终一次性奖金。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伙食补助费：反映单位发给职工的伙食补助费，如误餐补助等。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职业年金缴费：反映机关事业单位实际缴纳的职业年金支出。由单位代扣的工作人员职业年金缴费，不在此科目反映。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职工基本医疗保险缴费：反映单位为职工缴纳的基本医疗保险费。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商品和服务支出：反映单位购买商品和服务的支出（不包括用于购置固定资产的支出、战略性和应急储备支出）。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办公费：反映单位购买按财务会计制度规定不符合固定资产确认标准的日常办公用品、书报杂志等支出。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印刷费：反映单位的印刷费支出。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咨询费：反映单位咨询方面的支出。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水费：反映单位支付的水费、污水处理费等支出。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电费：反映单位的电费支出。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邮电费：反映单位开支的信函、包裹、货物等物品的邮寄费及电话费、电报费、传真费、网络通讯费等。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物业管理费：反映单位开支的办公用房以及未实行职工住宅物业服务改革的在职职工和离退休人员宿舍等的物业管理费，包括综合治理、绿化、卫生等方面的支出。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差旅费：反映单位工作人员出差发生的城市间交通费、住宿费、伙食补贴费和市内交通费。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租赁费：反映租赁办公用房、宿舍、专用通讯网以及其他设备等方面的费用。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会议费：反映会议中按规定开支的住宿费、伙食费、会议室租金、交通费、文件印刷费、医药费等。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培训费：反映除因公出国（境）培训费以外的各类培训支出。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公务接待费：反映单位按规定开支的各类公务接待（含外宾接待）费用。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劳务费：反映支付给单位和个人的劳务费用，如临时聘用人员、钟点工工资，稿费、翻译费，评审费等。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委托业务费：反映因委托外单位办理业务而支付的委托业务费。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工会经费：反映单位按规定提取的工会经费。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福利费：反映单位按规定提取的福利费。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其他商品和服务支出：反映上述科目未包括的日常公用支出。如行政赔偿费和诉讼费、国内组织的会员费、来访费、广告宣传、其他劳务费及离休人员特需费、公用经费等。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对个人和家庭的补助：反映政府用于对个人和家庭的补助支出。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离休费：反映行政事业单位和军队移交政府安置的离休人员的离休费、护理费和其他补贴。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退休费：反映行政事业单位和军队移交政府安置的退休人员的退休费和其他补贴。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奖励金：反映政府各部门的奖励支出，如对个体私营经济的奖励、计划生育目标责任奖励、独生子女父母奖励等。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办公设备购置：反映用于购置并按财务会计制度规定纳入固定资产核算范围的办公家具和办公设备的支出，以及按规定提取的修购基金。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9"/>
        <w:jc w:val="center"/>
        <w:rPr>
          <w:sz w:val="72"/>
          <w:szCs w:val="72"/>
        </w:rPr>
      </w:pPr>
    </w:p>
    <w:p>
      <w:pPr>
        <w:pStyle w:val="9"/>
        <w:jc w:val="center"/>
        <w:rPr>
          <w:sz w:val="72"/>
          <w:szCs w:val="72"/>
        </w:rPr>
      </w:pPr>
    </w:p>
    <w:p>
      <w:pPr>
        <w:pStyle w:val="9"/>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keepNext w:val="0"/>
        <w:keepLines w:val="0"/>
        <w:widowControl/>
        <w:suppressLineNumbers w:val="0"/>
        <w:shd w:val="clear" w:fill="FFFFFF"/>
        <w:spacing w:before="0" w:beforeAutospacing="0" w:after="0" w:afterAutospacing="0" w:line="450" w:lineRule="atLeast"/>
        <w:ind w:left="0" w:right="0"/>
        <w:jc w:val="center"/>
        <w:rPr>
          <w:rFonts w:ascii="Calibri" w:hAnsi="Calibri" w:eastAsia="寰蒋闆呴粦" w:cs="Calibri"/>
          <w:color w:val="333333"/>
          <w:kern w:val="0"/>
          <w:sz w:val="24"/>
          <w:szCs w:val="24"/>
          <w:shd w:val="clear" w:fill="FFFFFF"/>
          <w:lang w:val="en-US"/>
        </w:rPr>
      </w:pPr>
      <w:r>
        <w:rPr>
          <w:rFonts w:hint="eastAsia" w:ascii="黑体" w:hAnsi="宋体" w:eastAsia="黑体" w:cs="Calibri"/>
          <w:b/>
          <w:bCs/>
          <w:color w:val="333333"/>
          <w:kern w:val="0"/>
          <w:sz w:val="48"/>
          <w:szCs w:val="48"/>
          <w:shd w:val="clear" w:fill="FFFFFF"/>
          <w:lang w:val="en-US" w:eastAsia="zh-CN" w:bidi="ar"/>
        </w:rPr>
        <w:t>2022年度益阳市赫山区国库集中支付核算中心</w:t>
      </w:r>
    </w:p>
    <w:p>
      <w:pPr>
        <w:keepNext w:val="0"/>
        <w:keepLines w:val="0"/>
        <w:widowControl/>
        <w:suppressLineNumbers w:val="0"/>
        <w:shd w:val="clear" w:fill="FFFFFF"/>
        <w:spacing w:before="0" w:beforeAutospacing="0" w:after="0" w:afterAutospacing="0" w:line="500" w:lineRule="atLeast"/>
        <w:ind w:left="0" w:right="0" w:firstLine="964"/>
        <w:jc w:val="center"/>
        <w:rPr>
          <w:rFonts w:hint="default" w:ascii="Times New Roman" w:hAnsi="Times New Roman" w:eastAsia="寰蒋闆呴粦" w:cs="Times New Roman"/>
          <w:color w:val="333333"/>
          <w:kern w:val="0"/>
          <w:szCs w:val="21"/>
          <w:shd w:val="clear" w:fill="FFFFFF"/>
          <w:lang w:val="en-US"/>
        </w:rPr>
      </w:pPr>
      <w:r>
        <w:rPr>
          <w:rFonts w:hint="eastAsia" w:ascii="黑体" w:hAnsi="宋体" w:eastAsia="黑体" w:cs="Times New Roman"/>
          <w:b/>
          <w:bCs/>
          <w:color w:val="333333"/>
          <w:kern w:val="0"/>
          <w:sz w:val="48"/>
          <w:szCs w:val="48"/>
          <w:shd w:val="clear" w:fill="FFFFFF"/>
          <w:lang w:val="en-US" w:eastAsia="zh-CN" w:bidi="ar"/>
        </w:rPr>
        <w:t>部门整体支出绩效评价报告</w:t>
      </w:r>
    </w:p>
    <w:p>
      <w:pPr>
        <w:keepNext w:val="0"/>
        <w:keepLines w:val="0"/>
        <w:widowControl/>
        <w:suppressLineNumbers w:val="0"/>
        <w:shd w:val="clear" w:fill="FFFFFF"/>
        <w:spacing w:before="0" w:beforeAutospacing="0" w:after="0" w:afterAutospacing="0" w:line="560" w:lineRule="atLeast"/>
        <w:ind w:left="0" w:right="0"/>
        <w:jc w:val="center"/>
        <w:rPr>
          <w:rFonts w:hint="default" w:ascii="Times New Roman" w:hAnsi="Times New Roman" w:eastAsia="寰蒋闆呴粦" w:cs="Times New Roman"/>
          <w:color w:val="333333"/>
          <w:kern w:val="0"/>
          <w:szCs w:val="21"/>
          <w:shd w:val="clear" w:fill="FFFFFF"/>
          <w:lang w:val="en-US"/>
        </w:rPr>
      </w:pPr>
      <w:r>
        <w:rPr>
          <w:rFonts w:hint="eastAsia" w:ascii="宋体" w:hAnsi="宋体" w:eastAsia="宋体" w:cs="宋体"/>
          <w:color w:val="333333"/>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60" w:lineRule="atLeast"/>
        <w:ind w:left="640" w:right="0"/>
        <w:jc w:val="both"/>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一、基本情况</w:t>
      </w:r>
    </w:p>
    <w:p>
      <w:pPr>
        <w:keepNext w:val="0"/>
        <w:keepLines w:val="0"/>
        <w:widowControl/>
        <w:suppressLineNumbers w:val="0"/>
        <w:shd w:val="clear" w:fill="FFFFFF"/>
        <w:spacing w:before="0" w:beforeAutospacing="0" w:after="0" w:afterAutospacing="0" w:line="560" w:lineRule="atLeast"/>
        <w:ind w:left="0" w:right="0" w:firstLine="750"/>
        <w:jc w:val="left"/>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本单位的职责：配合财政各部门建立并完善国库单一账户体系；监督单位预算指标与用款计划的执行；负责审核全区预算单位财政支付申请，办理财政国库集中支付业务。</w:t>
      </w:r>
    </w:p>
    <w:p>
      <w:pPr>
        <w:keepNext w:val="0"/>
        <w:keepLines w:val="0"/>
        <w:widowControl/>
        <w:suppressLineNumbers w:val="0"/>
        <w:shd w:val="clear" w:fill="FFFFFF"/>
        <w:spacing w:before="0" w:beforeAutospacing="0" w:after="0" w:afterAutospacing="0" w:line="560" w:lineRule="atLeast"/>
        <w:ind w:left="0" w:right="0" w:firstLine="600"/>
        <w:jc w:val="left"/>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机构设置及人员情况：独立核算单位1个，无二级机构，本单位经区编委核定的编制人数为15人。年末实有人数10人。</w:t>
      </w:r>
    </w:p>
    <w:p>
      <w:pPr>
        <w:keepNext w:val="0"/>
        <w:keepLines w:val="0"/>
        <w:widowControl/>
        <w:suppressLineNumbers w:val="0"/>
        <w:shd w:val="clear" w:fill="FFFFFF"/>
        <w:spacing w:before="0" w:beforeAutospacing="0" w:after="0" w:afterAutospacing="0" w:line="560" w:lineRule="atLeast"/>
        <w:ind w:left="640" w:right="0"/>
        <w:jc w:val="both"/>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二、一般公共预算支出情况</w:t>
      </w:r>
    </w:p>
    <w:p>
      <w:pPr>
        <w:keepNext w:val="0"/>
        <w:keepLines w:val="0"/>
        <w:widowControl/>
        <w:suppressLineNumbers w:val="0"/>
        <w:shd w:val="clear" w:fill="FFFFFF"/>
        <w:spacing w:before="0" w:beforeAutospacing="0" w:after="0" w:afterAutospacing="0" w:line="560" w:lineRule="atLeast"/>
        <w:ind w:left="640" w:right="0" w:firstLine="300"/>
        <w:jc w:val="both"/>
        <w:rPr>
          <w:rFonts w:hint="default" w:ascii="等线" w:hAnsi="等线" w:eastAsia="寰蒋闆呴粦" w:cs="宋体"/>
          <w:color w:val="333333"/>
          <w:kern w:val="0"/>
          <w:szCs w:val="21"/>
          <w:shd w:val="clear" w:fill="FFFFFF"/>
          <w:lang w:val="en-US"/>
        </w:rPr>
      </w:pPr>
      <w:r>
        <w:rPr>
          <w:rFonts w:hint="eastAsia" w:ascii="等线" w:hAnsi="等线" w:eastAsia="等线" w:cs="宋体"/>
          <w:color w:val="333333"/>
          <w:kern w:val="0"/>
          <w:sz w:val="30"/>
          <w:szCs w:val="30"/>
          <w:shd w:val="clear" w:fill="FFFFFF"/>
          <w:lang w:val="en-US" w:eastAsia="zh-CN" w:bidi="ar"/>
        </w:rPr>
        <w:t>（一）基本支出情况：</w:t>
      </w:r>
    </w:p>
    <w:p>
      <w:pPr>
        <w:keepNext w:val="0"/>
        <w:keepLines w:val="0"/>
        <w:widowControl/>
        <w:suppressLineNumbers w:val="0"/>
        <w:shd w:val="clear" w:fill="FFFFFF"/>
        <w:spacing w:before="0" w:beforeAutospacing="0" w:after="0" w:afterAutospacing="0" w:line="560" w:lineRule="atLeast"/>
        <w:ind w:left="640" w:right="0" w:firstLine="300"/>
        <w:jc w:val="both"/>
        <w:rPr>
          <w:rFonts w:hint="default" w:ascii="等线" w:hAnsi="等线" w:eastAsia="寰蒋闆呴粦" w:cs="宋体"/>
          <w:color w:val="333333"/>
          <w:kern w:val="0"/>
          <w:szCs w:val="21"/>
          <w:shd w:val="clear" w:fill="FFFFFF"/>
          <w:lang w:val="en-US"/>
        </w:rPr>
      </w:pPr>
      <w:r>
        <w:rPr>
          <w:rFonts w:hint="default" w:ascii="等线" w:hAnsi="等线" w:eastAsia="等线" w:cs="宋体"/>
          <w:color w:val="333333"/>
          <w:kern w:val="0"/>
          <w:sz w:val="30"/>
          <w:szCs w:val="30"/>
          <w:shd w:val="clear" w:fill="FFFFFF"/>
          <w:lang w:val="en-US" w:eastAsia="zh-CN" w:bidi="ar"/>
        </w:rPr>
        <w:t> </w:t>
      </w:r>
      <w:r>
        <w:rPr>
          <w:rFonts w:hint="eastAsia" w:ascii="等线" w:hAnsi="等线" w:eastAsia="等线" w:cs="宋体"/>
          <w:color w:val="333333"/>
          <w:kern w:val="0"/>
          <w:sz w:val="30"/>
          <w:szCs w:val="30"/>
          <w:shd w:val="clear" w:fill="FFFFFF"/>
          <w:lang w:val="en-US" w:eastAsia="zh-CN" w:bidi="ar"/>
        </w:rPr>
        <w:t>2022年一般公共预算支出164.39万元，其中按支出性质和经济分类：一般公共服务支出137.9万元，社会保障和就业支出17.68万元，卫生健康支出0.56万元，住房保障支出8.26万元。</w:t>
      </w:r>
    </w:p>
    <w:p>
      <w:pPr>
        <w:keepNext w:val="0"/>
        <w:keepLines w:val="0"/>
        <w:widowControl/>
        <w:suppressLineNumbers w:val="0"/>
        <w:shd w:val="clear" w:fill="FFFFFF"/>
        <w:spacing w:before="0" w:beforeAutospacing="0" w:after="0" w:afterAutospacing="0" w:line="560" w:lineRule="atLeast"/>
        <w:ind w:left="640" w:right="0" w:firstLine="300"/>
        <w:jc w:val="both"/>
        <w:rPr>
          <w:rFonts w:hint="default" w:ascii="等线" w:hAnsi="等线" w:eastAsia="寰蒋闆呴粦" w:cs="宋体"/>
          <w:color w:val="333333"/>
          <w:kern w:val="0"/>
          <w:szCs w:val="21"/>
          <w:shd w:val="clear" w:fill="FFFFFF"/>
          <w:lang w:val="en-US"/>
        </w:rPr>
      </w:pPr>
      <w:r>
        <w:rPr>
          <w:rFonts w:hint="eastAsia" w:ascii="等线" w:hAnsi="等线" w:eastAsia="等线" w:cs="宋体"/>
          <w:color w:val="333333"/>
          <w:kern w:val="0"/>
          <w:sz w:val="30"/>
          <w:szCs w:val="30"/>
          <w:shd w:val="clear" w:fill="FFFFFF"/>
          <w:lang w:val="en-US" w:eastAsia="zh-CN" w:bidi="ar"/>
        </w:rPr>
        <w:t>（二）项目支出情况：</w:t>
      </w:r>
    </w:p>
    <w:p>
      <w:pPr>
        <w:keepNext w:val="0"/>
        <w:keepLines w:val="0"/>
        <w:widowControl/>
        <w:suppressLineNumbers w:val="0"/>
        <w:shd w:val="clear" w:fill="FFFFFF"/>
        <w:spacing w:before="0" w:beforeAutospacing="0" w:after="0" w:afterAutospacing="0" w:line="560" w:lineRule="atLeast"/>
        <w:ind w:left="640" w:right="0" w:firstLine="600"/>
        <w:jc w:val="both"/>
        <w:rPr>
          <w:rFonts w:hint="default" w:ascii="等线" w:hAnsi="等线" w:eastAsia="寰蒋闆呴粦" w:cs="宋体"/>
          <w:color w:val="333333"/>
          <w:kern w:val="0"/>
          <w:szCs w:val="21"/>
          <w:shd w:val="clear" w:fill="FFFFFF"/>
          <w:lang w:val="en-US"/>
        </w:rPr>
      </w:pPr>
      <w:r>
        <w:rPr>
          <w:rFonts w:hint="eastAsia" w:ascii="等线" w:hAnsi="等线" w:eastAsia="等线" w:cs="宋体"/>
          <w:color w:val="333333"/>
          <w:kern w:val="0"/>
          <w:sz w:val="30"/>
          <w:szCs w:val="30"/>
          <w:shd w:val="clear" w:fill="FFFFFF"/>
          <w:lang w:val="en-US" w:eastAsia="zh-CN" w:bidi="ar"/>
        </w:rPr>
        <w:t>本单位无项目支出。</w:t>
      </w:r>
    </w:p>
    <w:p>
      <w:pPr>
        <w:keepNext w:val="0"/>
        <w:keepLines w:val="0"/>
        <w:widowControl/>
        <w:suppressLineNumbers w:val="0"/>
        <w:shd w:val="clear" w:fill="FFFFFF"/>
        <w:spacing w:before="0" w:beforeAutospacing="0" w:after="0" w:afterAutospacing="0" w:line="560" w:lineRule="atLeast"/>
        <w:ind w:left="640" w:right="0"/>
        <w:jc w:val="both"/>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三、政府性基金预算支出情况：</w:t>
      </w:r>
    </w:p>
    <w:p>
      <w:pPr>
        <w:keepNext w:val="0"/>
        <w:keepLines w:val="0"/>
        <w:widowControl/>
        <w:suppressLineNumbers w:val="0"/>
        <w:shd w:val="clear" w:fill="FFFFFF"/>
        <w:spacing w:before="0" w:beforeAutospacing="0" w:after="0" w:afterAutospacing="0" w:line="560" w:lineRule="atLeast"/>
        <w:ind w:left="640" w:right="0" w:firstLine="600"/>
        <w:jc w:val="left"/>
        <w:rPr>
          <w:rFonts w:hint="default" w:ascii="等线" w:hAnsi="等线" w:eastAsia="寰蒋闆呴粦" w:cs="宋体"/>
          <w:color w:val="333333"/>
          <w:kern w:val="0"/>
          <w:szCs w:val="21"/>
          <w:shd w:val="clear" w:fill="FFFFFF"/>
          <w:lang w:val="en-US"/>
        </w:rPr>
      </w:pPr>
      <w:r>
        <w:rPr>
          <w:rFonts w:hint="eastAsia" w:ascii="等线" w:hAnsi="等线" w:eastAsia="等线" w:cs="宋体"/>
          <w:color w:val="333333"/>
          <w:kern w:val="0"/>
          <w:sz w:val="30"/>
          <w:szCs w:val="30"/>
          <w:shd w:val="clear" w:fill="FFFFFF"/>
          <w:lang w:val="en-US" w:eastAsia="zh-CN" w:bidi="ar"/>
        </w:rPr>
        <w:t>本单位无政府性基金预算支出。</w:t>
      </w:r>
    </w:p>
    <w:p>
      <w:pPr>
        <w:keepNext w:val="0"/>
        <w:keepLines w:val="0"/>
        <w:widowControl/>
        <w:suppressLineNumbers w:val="0"/>
        <w:shd w:val="clear" w:fill="FFFFFF"/>
        <w:spacing w:before="0" w:beforeAutospacing="0" w:after="0" w:afterAutospacing="0" w:line="560" w:lineRule="atLeast"/>
        <w:ind w:left="640" w:right="0"/>
        <w:jc w:val="both"/>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四、国有资本经营预算支出情况：</w:t>
      </w:r>
    </w:p>
    <w:p>
      <w:pPr>
        <w:keepNext w:val="0"/>
        <w:keepLines w:val="0"/>
        <w:widowControl/>
        <w:suppressLineNumbers w:val="0"/>
        <w:shd w:val="clear" w:fill="FFFFFF"/>
        <w:spacing w:before="0" w:beforeAutospacing="0" w:after="0" w:afterAutospacing="0" w:line="560" w:lineRule="atLeast"/>
        <w:ind w:left="640" w:right="0" w:firstLine="630"/>
        <w:jc w:val="left"/>
        <w:rPr>
          <w:rFonts w:hint="default" w:ascii="等线" w:hAnsi="等线" w:eastAsia="寰蒋闆呴粦" w:cs="宋体"/>
          <w:color w:val="333333"/>
          <w:kern w:val="0"/>
          <w:szCs w:val="21"/>
          <w:shd w:val="clear" w:fill="FFFFFF"/>
          <w:lang w:val="en-US"/>
        </w:rPr>
      </w:pPr>
      <w:r>
        <w:rPr>
          <w:rFonts w:hint="eastAsia" w:ascii="等线" w:hAnsi="等线" w:eastAsia="等线" w:cs="宋体"/>
          <w:color w:val="333333"/>
          <w:kern w:val="0"/>
          <w:sz w:val="30"/>
          <w:szCs w:val="30"/>
          <w:shd w:val="clear" w:fill="FFFFFF"/>
          <w:lang w:val="en-US" w:eastAsia="zh-CN" w:bidi="ar"/>
        </w:rPr>
        <w:t>本单位无国有资本经营预算支出。</w:t>
      </w:r>
    </w:p>
    <w:p>
      <w:pPr>
        <w:keepNext w:val="0"/>
        <w:keepLines w:val="0"/>
        <w:widowControl/>
        <w:suppressLineNumbers w:val="0"/>
        <w:shd w:val="clear" w:fill="FFFFFF"/>
        <w:spacing w:before="0" w:beforeAutospacing="0" w:after="0" w:afterAutospacing="0" w:line="560" w:lineRule="atLeast"/>
        <w:ind w:left="640" w:right="0"/>
        <w:jc w:val="both"/>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五、社会保险基金预算支出情况：</w:t>
      </w:r>
    </w:p>
    <w:p>
      <w:pPr>
        <w:keepNext w:val="0"/>
        <w:keepLines w:val="0"/>
        <w:widowControl/>
        <w:suppressLineNumbers w:val="0"/>
        <w:shd w:val="clear" w:fill="FFFFFF"/>
        <w:spacing w:before="0" w:beforeAutospacing="0" w:after="0" w:afterAutospacing="0" w:line="560" w:lineRule="atLeast"/>
        <w:ind w:left="640" w:right="0"/>
        <w:jc w:val="left"/>
        <w:rPr>
          <w:rFonts w:hint="default" w:ascii="等线" w:hAnsi="等线" w:eastAsia="寰蒋闆呴粦" w:cs="宋体"/>
          <w:color w:val="333333"/>
          <w:kern w:val="0"/>
          <w:szCs w:val="21"/>
          <w:shd w:val="clear" w:fill="FFFFFF"/>
          <w:lang w:val="en-US"/>
        </w:rPr>
      </w:pPr>
      <w:r>
        <w:rPr>
          <w:rFonts w:hint="default" w:ascii="等线" w:hAnsi="等线" w:eastAsia="等线" w:cs="宋体"/>
          <w:color w:val="333333"/>
          <w:kern w:val="0"/>
          <w:sz w:val="30"/>
          <w:szCs w:val="30"/>
          <w:shd w:val="clear" w:fill="FFFFFF"/>
          <w:lang w:val="en-US" w:eastAsia="zh-CN" w:bidi="ar"/>
        </w:rPr>
        <w:t>     </w:t>
      </w:r>
      <w:r>
        <w:rPr>
          <w:rFonts w:hint="eastAsia" w:ascii="等线" w:hAnsi="等线" w:eastAsia="等线" w:cs="宋体"/>
          <w:color w:val="333333"/>
          <w:kern w:val="0"/>
          <w:sz w:val="30"/>
          <w:szCs w:val="30"/>
          <w:shd w:val="clear" w:fill="FFFFFF"/>
          <w:lang w:val="en-US" w:eastAsia="zh-CN" w:bidi="ar"/>
        </w:rPr>
        <w:t>本单位无社会保险基金预算支出。</w:t>
      </w:r>
    </w:p>
    <w:p>
      <w:pPr>
        <w:keepNext w:val="0"/>
        <w:keepLines w:val="0"/>
        <w:widowControl/>
        <w:suppressLineNumbers w:val="0"/>
        <w:shd w:val="clear" w:fill="FFFFFF"/>
        <w:spacing w:before="0" w:beforeAutospacing="0" w:after="0" w:afterAutospacing="0" w:line="560" w:lineRule="atLeast"/>
        <w:ind w:left="640" w:right="0"/>
        <w:jc w:val="both"/>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六、部门整体支出绩效情况：</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b/>
          <w:bCs/>
          <w:color w:val="333333"/>
          <w:kern w:val="0"/>
          <w:sz w:val="30"/>
          <w:szCs w:val="30"/>
          <w:shd w:val="clear" w:fill="FFFFFF"/>
          <w:lang w:val="en-US" w:eastAsia="zh-CN" w:bidi="ar"/>
        </w:rPr>
        <w:t>（一）部门整体支出目标：</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预决算公开：按照上级的要求，我中心在赫山区门户网站进行了2022年预算公开。</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资产管理：我中心进一步加强资产的管理，明确具体资产管理人，严格报批、销审等手续。</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三公经费：贯彻落实上级有关精神，严格控制“三公经费”支出，取得了良好效果。2022年“三公”经费财政拨款支出决算数为0万元，2022年“三公”经费支出决算数0万元，主要原因是：我单位实行了公车改革，已无公务用车支出，并厉行中央八项规定，无公务接待费用。</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内部管理制度建设：一是按照财政部制定的《内部会计控制规范》，进一步完善本单位内部控制制度，夯实内控基础环境；二是进一步明晰职责强化制约，推进内控机制建设。</w:t>
      </w:r>
    </w:p>
    <w:p>
      <w:pPr>
        <w:keepNext w:val="0"/>
        <w:keepLines w:val="0"/>
        <w:widowControl/>
        <w:suppressLineNumbers w:val="0"/>
        <w:shd w:val="clear" w:fill="FFFFFF"/>
        <w:spacing w:before="150" w:beforeAutospacing="0" w:after="0" w:afterAutospacing="0" w:line="560" w:lineRule="atLeast"/>
        <w:ind w:left="0" w:right="0" w:firstLine="560"/>
        <w:jc w:val="left"/>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b/>
          <w:bCs/>
          <w:color w:val="333333"/>
          <w:kern w:val="0"/>
          <w:sz w:val="30"/>
          <w:szCs w:val="30"/>
          <w:shd w:val="clear" w:fill="FFFFFF"/>
          <w:lang w:val="en-US" w:eastAsia="zh-CN" w:bidi="ar"/>
        </w:rPr>
        <w:t>（二）绩效评价工作情况</w:t>
      </w:r>
    </w:p>
    <w:p>
      <w:pPr>
        <w:keepNext w:val="0"/>
        <w:keepLines w:val="0"/>
        <w:widowControl/>
        <w:suppressLineNumbers w:val="0"/>
        <w:shd w:val="clear" w:fill="FFFFFF"/>
        <w:spacing w:before="150" w:beforeAutospacing="0" w:after="0" w:afterAutospacing="0" w:line="560" w:lineRule="atLeast"/>
        <w:ind w:left="0" w:right="0" w:firstLine="560"/>
        <w:jc w:val="left"/>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1.绩效评价目的</w:t>
      </w:r>
    </w:p>
    <w:p>
      <w:pPr>
        <w:keepNext w:val="0"/>
        <w:keepLines w:val="0"/>
        <w:widowControl/>
        <w:suppressLineNumbers w:val="0"/>
        <w:shd w:val="clear" w:fill="FFFFFF"/>
        <w:spacing w:before="0" w:beforeAutospacing="0" w:after="0" w:afterAutospacing="0" w:line="560" w:lineRule="atLeast"/>
        <w:ind w:left="0" w:right="0" w:firstLine="600"/>
        <w:jc w:val="both"/>
        <w:rPr>
          <w:rFonts w:ascii="Calibri" w:hAnsi="Calibri" w:eastAsia="寰蒋闆呴粦" w:cs="Calibri"/>
          <w:color w:val="333333"/>
          <w:kern w:val="0"/>
          <w:sz w:val="24"/>
          <w:szCs w:val="24"/>
          <w:shd w:val="clear" w:fill="FFFFFF"/>
          <w:lang w:val="en-US"/>
        </w:rPr>
      </w:pPr>
      <w:r>
        <w:rPr>
          <w:rFonts w:hint="eastAsia" w:ascii="等线" w:hAnsi="Calibri" w:eastAsia="等线" w:cs="Calibri"/>
          <w:color w:val="333333"/>
          <w:kern w:val="0"/>
          <w:sz w:val="30"/>
          <w:szCs w:val="30"/>
          <w:shd w:val="clear" w:fill="FFFFFF"/>
          <w:lang w:val="en-US" w:eastAsia="zh-CN" w:bidi="ar"/>
        </w:rPr>
        <w:t>认真执行年初部门预算和财政政策要求。我中心经费安排严格按照年初预算来执行，有效防止超预算；在资金使用上，严格遵守各项财经法规和财务管理制度规定，资金拨付有完整的审批程序和手续，支出符合部门预算批复的用途，无截留、挤占、挪用、虚列支出等情况。</w:t>
      </w:r>
    </w:p>
    <w:p>
      <w:pPr>
        <w:keepNext w:val="0"/>
        <w:keepLines w:val="0"/>
        <w:widowControl/>
        <w:suppressLineNumbers w:val="0"/>
        <w:shd w:val="clear" w:fill="FFFFFF"/>
        <w:spacing w:before="0" w:beforeAutospacing="0" w:after="0" w:afterAutospacing="0" w:line="560" w:lineRule="atLeast"/>
        <w:ind w:left="0" w:right="0" w:firstLine="600"/>
        <w:jc w:val="both"/>
        <w:rPr>
          <w:rFonts w:ascii="Calibri" w:hAnsi="Calibri" w:eastAsia="寰蒋闆呴粦" w:cs="Calibri"/>
          <w:color w:val="333333"/>
          <w:kern w:val="0"/>
          <w:sz w:val="24"/>
          <w:szCs w:val="24"/>
          <w:shd w:val="clear" w:fill="FFFFFF"/>
          <w:lang w:val="en-US"/>
        </w:rPr>
      </w:pPr>
      <w:r>
        <w:rPr>
          <w:rFonts w:hint="eastAsia" w:ascii="等线" w:hAnsi="Calibri" w:eastAsia="等线" w:cs="Calibri"/>
          <w:color w:val="333333"/>
          <w:kern w:val="0"/>
          <w:sz w:val="30"/>
          <w:szCs w:val="30"/>
          <w:shd w:val="clear" w:fill="FFFFFF"/>
          <w:lang w:val="en-US" w:eastAsia="zh-CN" w:bidi="ar"/>
        </w:rPr>
        <w:t>2.绩效评价工作过程</w:t>
      </w:r>
    </w:p>
    <w:p>
      <w:pPr>
        <w:keepNext w:val="0"/>
        <w:keepLines w:val="0"/>
        <w:widowControl/>
        <w:suppressLineNumbers w:val="0"/>
        <w:shd w:val="clear" w:fill="FFFFFF"/>
        <w:spacing w:before="0" w:beforeAutospacing="0" w:after="0" w:afterAutospacing="0" w:line="560" w:lineRule="atLeast"/>
        <w:ind w:left="0" w:right="0" w:firstLine="600"/>
        <w:jc w:val="both"/>
        <w:rPr>
          <w:rFonts w:ascii="Calibri" w:hAnsi="Calibri" w:eastAsia="寰蒋闆呴粦" w:cs="Calibri"/>
          <w:color w:val="333333"/>
          <w:kern w:val="0"/>
          <w:sz w:val="24"/>
          <w:szCs w:val="24"/>
          <w:shd w:val="clear" w:fill="FFFFFF"/>
          <w:lang w:val="en-US"/>
        </w:rPr>
      </w:pPr>
      <w:r>
        <w:rPr>
          <w:rFonts w:hint="eastAsia" w:ascii="等线" w:hAnsi="Calibri" w:eastAsia="等线" w:cs="Calibri"/>
          <w:color w:val="333333"/>
          <w:kern w:val="0"/>
          <w:sz w:val="30"/>
          <w:szCs w:val="30"/>
          <w:shd w:val="clear" w:fill="FFFFFF"/>
          <w:lang w:val="en-US" w:eastAsia="zh-CN" w:bidi="ar"/>
        </w:rPr>
        <w:t>根据绩效评价的要求，我们成立了自评工作领导小组，对照自评方案进行研究和部署，全体干部共同参与，按照自评方案的要求，对照各实施项目的内容逐条自评。在自评过程发现问题，查找原因，及时纠正偏差，为下一步工作夯实基础。</w:t>
      </w:r>
    </w:p>
    <w:p>
      <w:pPr>
        <w:keepNext w:val="0"/>
        <w:keepLines w:val="0"/>
        <w:widowControl/>
        <w:suppressLineNumbers w:val="0"/>
        <w:shd w:val="clear" w:fill="FFFFFF"/>
        <w:spacing w:before="0" w:beforeAutospacing="0" w:after="0" w:afterAutospacing="0" w:line="560" w:lineRule="atLeast"/>
        <w:ind w:left="0" w:right="0" w:firstLine="600"/>
        <w:jc w:val="both"/>
        <w:rPr>
          <w:rFonts w:ascii="Calibri" w:hAnsi="Calibri" w:eastAsia="寰蒋闆呴粦" w:cs="Calibri"/>
          <w:color w:val="333333"/>
          <w:kern w:val="0"/>
          <w:sz w:val="24"/>
          <w:szCs w:val="24"/>
          <w:shd w:val="clear" w:fill="FFFFFF"/>
          <w:lang w:val="en-US"/>
        </w:rPr>
      </w:pPr>
      <w:r>
        <w:rPr>
          <w:rFonts w:hint="eastAsia" w:ascii="等线" w:hAnsi="Calibri" w:eastAsia="等线" w:cs="Calibri"/>
          <w:b/>
          <w:bCs/>
          <w:color w:val="333333"/>
          <w:kern w:val="0"/>
          <w:sz w:val="30"/>
          <w:szCs w:val="30"/>
          <w:shd w:val="clear" w:fill="FFFFFF"/>
          <w:lang w:val="en-US" w:eastAsia="zh-CN" w:bidi="ar"/>
        </w:rPr>
        <w:t>（三）主要绩效及评价结论</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一）逐步完善、规范会计集中核算和国库集中支付工作流程，严格执行先审后核再支付的工作步骤，严格执行内部操作规程，中心主任、副主任、核算会计、资金管理出纳、银行业务联络员、档案管理员专职传岗，各司其职，分工协作，责权清晰，确保了会计集中核算和国库集中支付的平稳运行。</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（二）加强银行账户管理。积极配合财政监督检查股和国库股做好财政账户第三方对账工作，加强中心与银行、单位的账务核对，按时将核对结果报送财政监督检查股，自觉接受财政内部监督。</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（三）及时办理业务工作。2022年，区国库集中支付系统办理支付业务60000笔、支付金额达65亿元，直接支付金额占总支付金额的99%以上，并保持资金支付零差错。</w:t>
      </w:r>
    </w:p>
    <w:p>
      <w:pPr>
        <w:keepNext w:val="0"/>
        <w:keepLines w:val="0"/>
        <w:widowControl/>
        <w:suppressLineNumbers w:val="0"/>
        <w:shd w:val="clear" w:fill="FFFFFF"/>
        <w:spacing w:before="0" w:beforeAutospacing="0" w:after="0" w:afterAutospacing="0" w:line="560" w:lineRule="atLeast"/>
        <w:ind w:left="640" w:right="0"/>
        <w:jc w:val="left"/>
        <w:rPr>
          <w:rFonts w:hint="default" w:ascii="等线" w:hAnsi="等线" w:eastAsia="寰蒋闆呴粦" w:cs="宋体"/>
          <w:color w:val="333333"/>
          <w:kern w:val="0"/>
          <w:szCs w:val="21"/>
          <w:shd w:val="clear" w:fill="FFFFFF"/>
          <w:lang w:val="en-US"/>
        </w:rPr>
      </w:pPr>
      <w:r>
        <w:rPr>
          <w:rFonts w:hint="eastAsia" w:ascii="黑体" w:hAnsi="宋体" w:eastAsia="黑体" w:cs="宋体"/>
          <w:color w:val="333333"/>
          <w:kern w:val="0"/>
          <w:sz w:val="32"/>
          <w:szCs w:val="32"/>
          <w:shd w:val="clear" w:fill="FFFFFF"/>
          <w:lang w:val="en-US" w:eastAsia="zh-CN" w:bidi="ar"/>
        </w:rPr>
        <w:t>七、存在的问题及原因分析</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财政收付业务越来越多，管理风险加大。</w:t>
      </w:r>
    </w:p>
    <w:p>
      <w:pPr>
        <w:keepNext w:val="0"/>
        <w:keepLines w:val="0"/>
        <w:widowControl/>
        <w:suppressLineNumbers w:val="0"/>
        <w:shd w:val="clear" w:fill="FFFFFF"/>
        <w:spacing w:before="0" w:beforeAutospacing="0" w:after="0" w:afterAutospacing="0" w:line="560" w:lineRule="atLeast"/>
        <w:ind w:left="0" w:right="0" w:firstLine="640"/>
        <w:jc w:val="left"/>
        <w:rPr>
          <w:rFonts w:hint="default" w:ascii="Times New Roman" w:hAnsi="Times New Roman" w:eastAsia="寰蒋闆呴粦" w:cs="Times New Roman"/>
          <w:color w:val="333333"/>
          <w:kern w:val="0"/>
          <w:szCs w:val="21"/>
          <w:shd w:val="clear" w:fill="FFFFFF"/>
          <w:lang w:val="en-US"/>
        </w:rPr>
      </w:pPr>
      <w:r>
        <w:rPr>
          <w:rFonts w:hint="eastAsia" w:ascii="黑体" w:hAnsi="宋体" w:eastAsia="黑体" w:cs="Times New Roman"/>
          <w:color w:val="333333"/>
          <w:kern w:val="0"/>
          <w:sz w:val="32"/>
          <w:szCs w:val="32"/>
          <w:shd w:val="clear" w:fill="FFFFFF"/>
          <w:lang w:val="en-US" w:eastAsia="zh-CN" w:bidi="ar"/>
        </w:rPr>
        <w:t>八、下一步改进措施</w:t>
      </w:r>
    </w:p>
    <w:p>
      <w:pPr>
        <w:keepNext w:val="0"/>
        <w:keepLines w:val="0"/>
        <w:widowControl/>
        <w:suppressLineNumbers w:val="0"/>
        <w:shd w:val="clear" w:fill="FFFFFF"/>
        <w:spacing w:before="0" w:beforeAutospacing="0" w:after="0" w:afterAutospacing="0" w:line="560" w:lineRule="atLeast"/>
        <w:ind w:left="0" w:right="0" w:firstLine="600"/>
        <w:jc w:val="both"/>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（一）不断加强业务管理。目前我中心增加了工资发放、社保费用缴纳等工作，需进一步加强管理，严格控制业务差错。</w:t>
      </w:r>
    </w:p>
    <w:p>
      <w:pPr>
        <w:keepNext w:val="0"/>
        <w:keepLines w:val="0"/>
        <w:widowControl/>
        <w:suppressLineNumbers w:val="0"/>
        <w:shd w:val="clear" w:fill="FFFFFF"/>
        <w:spacing w:before="0" w:beforeAutospacing="0" w:after="0" w:afterAutospacing="0" w:line="560" w:lineRule="atLeast"/>
        <w:ind w:left="0" w:right="0" w:firstLine="600"/>
        <w:jc w:val="left"/>
        <w:rPr>
          <w:rFonts w:hint="default" w:ascii="Times New Roman" w:hAnsi="Times New Roman" w:eastAsia="寰蒋闆呴粦" w:cs="Times New Roman"/>
          <w:color w:val="333333"/>
          <w:kern w:val="0"/>
          <w:szCs w:val="21"/>
          <w:shd w:val="clear" w:fill="FFFFFF"/>
          <w:lang w:val="en-US"/>
        </w:rPr>
      </w:pPr>
      <w:r>
        <w:rPr>
          <w:rFonts w:hint="eastAsia" w:ascii="等线" w:hAnsi="Times New Roman" w:eastAsia="等线" w:cs="Times New Roman"/>
          <w:color w:val="333333"/>
          <w:kern w:val="0"/>
          <w:sz w:val="30"/>
          <w:szCs w:val="30"/>
          <w:shd w:val="clear" w:fill="FFFFFF"/>
          <w:lang w:val="en-US" w:eastAsia="zh-CN" w:bidi="ar"/>
        </w:rPr>
        <w:t>（二）科学理财，强化财政职能作用。按照中央和省、市部署，进一步强化财政监督，积极推进财政预算、财政决算公开，不断提高财政透明度</w:t>
      </w:r>
    </w:p>
    <w:p>
      <w:pPr>
        <w:keepNext w:val="0"/>
        <w:keepLines w:val="0"/>
        <w:widowControl/>
        <w:suppressLineNumbers w:val="0"/>
        <w:shd w:val="clear" w:fill="FFFFFF"/>
        <w:spacing w:before="0" w:beforeAutospacing="0" w:after="0" w:afterAutospacing="0" w:line="560" w:lineRule="atLeast"/>
        <w:ind w:left="0" w:right="0" w:firstLine="640"/>
        <w:jc w:val="left"/>
        <w:rPr>
          <w:rFonts w:hint="default" w:ascii="Times New Roman" w:hAnsi="Times New Roman" w:eastAsia="寰蒋闆呴粦" w:cs="Times New Roman"/>
          <w:color w:val="333333"/>
          <w:kern w:val="0"/>
          <w:szCs w:val="21"/>
          <w:shd w:val="clear" w:fill="FFFFFF"/>
          <w:lang w:val="en-US"/>
        </w:rPr>
      </w:pPr>
      <w:r>
        <w:rPr>
          <w:rFonts w:hint="eastAsia" w:ascii="黑体" w:hAnsi="宋体" w:eastAsia="黑体" w:cs="Times New Roman"/>
          <w:color w:val="333333"/>
          <w:kern w:val="0"/>
          <w:sz w:val="32"/>
          <w:szCs w:val="32"/>
          <w:shd w:val="clear" w:fill="FFFFFF"/>
          <w:lang w:val="en-US" w:eastAsia="zh-CN" w:bidi="ar"/>
        </w:rPr>
        <w:t>九、其他需要说明的情况</w:t>
      </w:r>
    </w:p>
    <w:p>
      <w:pPr>
        <w:keepNext w:val="0"/>
        <w:keepLines w:val="0"/>
        <w:widowControl/>
        <w:suppressLineNumbers w:val="0"/>
        <w:shd w:val="clear" w:fill="FFFFFF"/>
        <w:spacing w:before="0" w:beforeAutospacing="0" w:after="0" w:afterAutospacing="0" w:line="560" w:lineRule="atLeast"/>
        <w:ind w:left="0" w:right="0" w:firstLine="645"/>
        <w:jc w:val="left"/>
        <w:rPr>
          <w:rFonts w:hint="eastAsia" w:ascii="等线" w:hAnsi="Times New Roman" w:eastAsia="等线" w:cs="Times New Roman"/>
          <w:color w:val="333333"/>
          <w:kern w:val="0"/>
          <w:sz w:val="30"/>
          <w:szCs w:val="30"/>
          <w:shd w:val="clear" w:fill="FFFFFF"/>
          <w:lang w:val="en-US" w:eastAsia="zh-CN" w:bidi="ar"/>
        </w:rPr>
      </w:pPr>
      <w:r>
        <w:rPr>
          <w:rFonts w:hint="eastAsia" w:ascii="等线" w:hAnsi="Times New Roman" w:eastAsia="等线" w:cs="Times New Roman"/>
          <w:color w:val="333333"/>
          <w:kern w:val="0"/>
          <w:sz w:val="30"/>
          <w:szCs w:val="30"/>
          <w:shd w:val="clear" w:fill="FFFFFF"/>
          <w:lang w:val="en-US" w:eastAsia="zh-CN" w:bidi="ar"/>
        </w:rPr>
        <w:t>无其他需要说明的情况。</w:t>
      </w: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both"/>
        <w:rPr>
          <w:rFonts w:hint="default" w:ascii="方正小标宋简体" w:eastAsia="方正小标宋简体" w:cs="方正小标宋_GBK"/>
          <w:sz w:val="36"/>
          <w:szCs w:val="36"/>
          <w:lang w:val="en-US" w:eastAsia="zh-CN"/>
        </w:rPr>
      </w:pPr>
      <w:r>
        <w:rPr>
          <w:rFonts w:hint="eastAsia" w:ascii="方正小标宋简体" w:eastAsia="方正小标宋简体" w:cs="方正小标宋_GBK"/>
          <w:sz w:val="36"/>
          <w:szCs w:val="36"/>
          <w:lang w:eastAsia="zh-CN"/>
        </w:rPr>
        <w:t>附件：</w:t>
      </w: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2</w:t>
      </w:r>
      <w:r>
        <w:rPr>
          <w:rFonts w:hint="eastAsia" w:ascii="方正小标宋简体" w:eastAsia="方正小标宋简体" w:cs="方正小标宋_GBK"/>
          <w:sz w:val="36"/>
          <w:szCs w:val="36"/>
        </w:rPr>
        <w:t>年度部门整体支出绩效自评指标计分表</w:t>
      </w:r>
    </w:p>
    <w:tbl>
      <w:tblPr>
        <w:tblStyle w:val="5"/>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6"/>
        <w:gridCol w:w="840"/>
        <w:gridCol w:w="1120"/>
        <w:gridCol w:w="840"/>
        <w:gridCol w:w="3529"/>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Borders>
              <w:top w:val="single" w:color="399473" w:sz="4" w:space="0"/>
              <w:left w:val="single" w:color="B9E4D4" w:sz="4" w:space="0"/>
              <w:bottom w:val="single" w:color="399473" w:sz="4" w:space="0"/>
              <w:right w:val="single" w:color="B9E4D4" w:sz="4" w:space="0"/>
            </w:tcBorders>
            <w:shd w:val="clear" w:color="auto" w:fill="71C8A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b/>
                <w:bCs/>
                <w:color w:val="000000"/>
                <w:lang w:eastAsia="zh-CN"/>
              </w:rPr>
            </w:pPr>
            <w:r>
              <w:rPr>
                <w:rFonts w:hint="eastAsia" w:ascii="宋体" w:hAnsi="宋体" w:cs="宋体"/>
                <w:b/>
                <w:bCs/>
                <w:color w:val="000000"/>
              </w:rPr>
              <w:t>一级</w:t>
            </w:r>
          </w:p>
          <w:p>
            <w:pPr>
              <w:keepNext w:val="0"/>
              <w:keepLines w:val="0"/>
              <w:suppressLineNumbers w:val="0"/>
              <w:spacing w:before="0" w:beforeAutospacing="0" w:after="0" w:afterAutospacing="0" w:line="240" w:lineRule="exact"/>
              <w:ind w:left="0" w:right="0"/>
              <w:jc w:val="center"/>
              <w:rPr>
                <w:rFonts w:hint="default" w:ascii="宋体" w:cs="宋体"/>
                <w:b/>
                <w:bCs/>
                <w:color w:val="000000"/>
              </w:rPr>
            </w:pPr>
            <w:r>
              <w:rPr>
                <w:rFonts w:hint="eastAsia" w:ascii="宋体" w:hAnsi="宋体" w:cs="宋体"/>
                <w:b/>
                <w:bCs/>
                <w:color w:val="000000"/>
              </w:rPr>
              <w:t>指标</w:t>
            </w:r>
          </w:p>
        </w:tc>
        <w:tc>
          <w:tcPr>
            <w:tcW w:w="375" w:type="pct"/>
            <w:tcBorders>
              <w:top w:val="single" w:color="399473" w:sz="4" w:space="0"/>
              <w:left w:val="single" w:color="B9E4D4" w:sz="4" w:space="0"/>
              <w:bottom w:val="single" w:color="399473" w:sz="4" w:space="0"/>
              <w:right w:val="single" w:color="B9E4D4" w:sz="4" w:space="0"/>
            </w:tcBorders>
            <w:shd w:val="clear" w:color="auto" w:fill="71C8A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174" w:rightChars="-83"/>
              <w:jc w:val="center"/>
              <w:rPr>
                <w:rFonts w:hint="default" w:ascii="宋体" w:cs="宋体"/>
                <w:b/>
                <w:bCs/>
                <w:color w:val="000000"/>
              </w:rPr>
            </w:pPr>
            <w:r>
              <w:rPr>
                <w:rFonts w:hint="eastAsia" w:ascii="宋体" w:hAnsi="宋体" w:cs="宋体"/>
                <w:b/>
                <w:bCs/>
                <w:color w:val="000000"/>
              </w:rPr>
              <w:t>二级</w:t>
            </w:r>
          </w:p>
          <w:p>
            <w:pPr>
              <w:keepNext w:val="0"/>
              <w:keepLines w:val="0"/>
              <w:suppressLineNumbers w:val="0"/>
              <w:spacing w:before="0" w:beforeAutospacing="0" w:after="0" w:afterAutospacing="0" w:line="240" w:lineRule="exact"/>
              <w:ind w:left="0" w:right="-174" w:rightChars="-83"/>
              <w:jc w:val="center"/>
              <w:rPr>
                <w:rFonts w:hint="default" w:ascii="宋体" w:cs="宋体"/>
                <w:b/>
                <w:bCs/>
                <w:color w:val="000000"/>
              </w:rPr>
            </w:pPr>
            <w:r>
              <w:rPr>
                <w:rFonts w:hint="eastAsia" w:ascii="宋体" w:hAnsi="宋体" w:cs="宋体"/>
                <w:b/>
                <w:bCs/>
                <w:color w:val="000000"/>
              </w:rPr>
              <w:t>指标</w:t>
            </w:r>
          </w:p>
        </w:tc>
        <w:tc>
          <w:tcPr>
            <w:tcW w:w="500" w:type="pct"/>
            <w:tcBorders>
              <w:top w:val="single" w:color="399473" w:sz="4" w:space="0"/>
              <w:left w:val="single" w:color="B9E4D4" w:sz="4" w:space="0"/>
              <w:bottom w:val="single" w:color="399473" w:sz="4" w:space="0"/>
              <w:right w:val="single" w:color="B9E4D4" w:sz="4" w:space="0"/>
            </w:tcBorders>
            <w:shd w:val="clear" w:color="auto" w:fill="71C8A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rPr>
            </w:pPr>
            <w:r>
              <w:rPr>
                <w:rFonts w:hint="eastAsia" w:ascii="宋体" w:hAnsi="宋体" w:cs="宋体"/>
                <w:b/>
                <w:bCs/>
                <w:color w:val="000000"/>
              </w:rPr>
              <w:t>三级</w:t>
            </w:r>
          </w:p>
          <w:p>
            <w:pPr>
              <w:keepNext w:val="0"/>
              <w:keepLines w:val="0"/>
              <w:suppressLineNumbers w:val="0"/>
              <w:spacing w:before="0" w:beforeAutospacing="0" w:after="0" w:afterAutospacing="0" w:line="240" w:lineRule="exact"/>
              <w:ind w:left="0" w:right="0"/>
              <w:jc w:val="center"/>
              <w:rPr>
                <w:rFonts w:hint="default" w:ascii="宋体" w:cs="宋体"/>
                <w:b/>
                <w:bCs/>
                <w:color w:val="000000"/>
              </w:rPr>
            </w:pPr>
            <w:r>
              <w:rPr>
                <w:rFonts w:hint="eastAsia" w:ascii="宋体" w:hAnsi="宋体" w:cs="宋体"/>
                <w:b/>
                <w:bCs/>
                <w:color w:val="000000"/>
              </w:rPr>
              <w:t>指标</w:t>
            </w:r>
          </w:p>
        </w:tc>
        <w:tc>
          <w:tcPr>
            <w:tcW w:w="375" w:type="pct"/>
            <w:tcBorders>
              <w:top w:val="single" w:color="399473" w:sz="4" w:space="0"/>
              <w:left w:val="single" w:color="B9E4D4" w:sz="4" w:space="0"/>
              <w:bottom w:val="single" w:color="399473"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cs="宋体"/>
                <w:b/>
                <w:bCs/>
                <w:color w:val="000000"/>
              </w:rPr>
            </w:pPr>
            <w:r>
              <w:rPr>
                <w:rFonts w:hint="eastAsia" w:ascii="宋体" w:hAnsi="宋体" w:cs="宋体"/>
                <w:b/>
                <w:bCs/>
                <w:color w:val="000000"/>
              </w:rPr>
              <w:t>自评分</w:t>
            </w:r>
          </w:p>
        </w:tc>
        <w:tc>
          <w:tcPr>
            <w:tcW w:w="1576" w:type="pct"/>
            <w:tcBorders>
              <w:top w:val="single" w:color="399473" w:sz="4" w:space="0"/>
              <w:left w:val="single" w:color="B9E4D4" w:sz="4" w:space="0"/>
              <w:bottom w:val="single" w:color="399473" w:sz="4" w:space="0"/>
              <w:right w:val="single" w:color="B9E4D4" w:sz="4" w:space="0"/>
            </w:tcBorders>
            <w:shd w:val="clear" w:color="auto" w:fill="71C8A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cs="宋体"/>
                <w:b/>
                <w:bCs/>
                <w:color w:val="000000"/>
              </w:rPr>
            </w:pPr>
            <w:r>
              <w:rPr>
                <w:rFonts w:hint="eastAsia" w:ascii="宋体" w:hAnsi="宋体" w:cs="宋体"/>
                <w:b/>
                <w:bCs/>
                <w:color w:val="000000"/>
              </w:rPr>
              <w:t>指标解释</w:t>
            </w:r>
          </w:p>
        </w:tc>
        <w:tc>
          <w:tcPr>
            <w:tcW w:w="1867" w:type="pct"/>
            <w:tcBorders>
              <w:top w:val="single" w:color="399473" w:sz="4" w:space="0"/>
              <w:left w:val="single" w:color="B9E4D4" w:sz="4" w:space="0"/>
              <w:bottom w:val="single" w:color="399473" w:sz="4" w:space="0"/>
              <w:right w:val="single" w:color="B9E4D4" w:sz="4" w:space="0"/>
            </w:tcBorders>
            <w:shd w:val="clear" w:color="auto" w:fill="71C8A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cs="宋体"/>
                <w:b/>
                <w:bCs/>
                <w:color w:val="000000"/>
              </w:rPr>
            </w:pPr>
            <w:r>
              <w:rPr>
                <w:rFonts w:hint="eastAsia" w:ascii="宋体" w:hAnsi="宋体" w:cs="宋体"/>
                <w:b/>
                <w:bCs/>
                <w:color w:val="00000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tcBorders>
              <w:top w:val="single" w:color="399473" w:sz="4" w:space="0"/>
              <w:left w:val="single" w:color="B9E4D4" w:sz="4" w:space="0"/>
              <w:bottom w:val="single" w:color="B9E4D4" w:sz="4" w:space="0"/>
              <w:right w:val="single" w:color="B9E4D4" w:sz="4" w:space="0"/>
            </w:tcBorders>
            <w:shd w:val="clear" w:color="auto" w:fill="71C8AA"/>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投</w:t>
            </w:r>
            <w:r>
              <w:rPr>
                <w:rFonts w:hint="default" w:ascii="宋体" w:hAnsi="宋体" w:cs="宋体"/>
                <w:color w:val="000000"/>
              </w:rPr>
              <w:t xml:space="preserve">   </w:t>
            </w:r>
            <w:r>
              <w:rPr>
                <w:rFonts w:hint="eastAsia" w:ascii="宋体" w:hAnsi="宋体" w:cs="宋体"/>
                <w:color w:val="000000"/>
              </w:rPr>
              <w:t>入（</w:t>
            </w:r>
            <w:r>
              <w:rPr>
                <w:rFonts w:hint="default" w:ascii="宋体" w:hAnsi="宋体" w:cs="宋体"/>
                <w:color w:val="000000"/>
              </w:rPr>
              <w:t>20</w:t>
            </w:r>
            <w:r>
              <w:rPr>
                <w:rFonts w:hint="eastAsia" w:ascii="宋体" w:hAnsi="宋体" w:cs="宋体"/>
                <w:color w:val="000000"/>
              </w:rPr>
              <w:t>分）</w:t>
            </w:r>
          </w:p>
        </w:tc>
        <w:tc>
          <w:tcPr>
            <w:tcW w:w="375" w:type="pct"/>
            <w:vMerge w:val="restart"/>
            <w:tcBorders>
              <w:top w:val="single" w:color="399473"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目标</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设定（</w:t>
            </w:r>
            <w:r>
              <w:rPr>
                <w:rFonts w:hint="default" w:ascii="宋体" w:hAnsi="宋体" w:cs="宋体"/>
                <w:color w:val="000000"/>
              </w:rPr>
              <w:t>5</w:t>
            </w:r>
            <w:r>
              <w:rPr>
                <w:rFonts w:hint="eastAsia" w:ascii="宋体" w:hAnsi="宋体" w:cs="宋体"/>
                <w:color w:val="000000"/>
              </w:rPr>
              <w:t>分）</w:t>
            </w:r>
          </w:p>
        </w:tc>
        <w:tc>
          <w:tcPr>
            <w:tcW w:w="500" w:type="pct"/>
            <w:tcBorders>
              <w:top w:val="single" w:color="399473"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绩效目标</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合理性（</w:t>
            </w:r>
            <w:r>
              <w:rPr>
                <w:rFonts w:hint="default" w:ascii="宋体" w:hAnsi="宋体" w:cs="宋体"/>
                <w:color w:val="000000"/>
              </w:rPr>
              <w:t>2</w:t>
            </w:r>
            <w:r>
              <w:rPr>
                <w:rFonts w:hint="eastAsia" w:ascii="宋体" w:hAnsi="宋体" w:cs="宋体"/>
                <w:color w:val="000000"/>
              </w:rPr>
              <w:t>分）</w:t>
            </w:r>
          </w:p>
        </w:tc>
        <w:tc>
          <w:tcPr>
            <w:tcW w:w="375" w:type="pct"/>
            <w:tcBorders>
              <w:top w:val="single" w:color="399473"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2</w:t>
            </w:r>
          </w:p>
        </w:tc>
        <w:tc>
          <w:tcPr>
            <w:tcW w:w="1576" w:type="pct"/>
            <w:tcBorders>
              <w:top w:val="single" w:color="399473"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部门所设立的整体绩效目标依据是否充分，是否符合客观实际，用以反映和考核部门整体绩效目标与部门履职、年度工作任务的相符性情况。</w:t>
            </w:r>
          </w:p>
        </w:tc>
        <w:tc>
          <w:tcPr>
            <w:tcW w:w="1867" w:type="pct"/>
            <w:tcBorders>
              <w:top w:val="single" w:color="399473"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①是否符合国家法律法规、国民经济和社会发展总体规划；</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②是否符合部门“三定”方案确定的职责；</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绩效指标</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明确性（</w:t>
            </w:r>
            <w:r>
              <w:rPr>
                <w:rFonts w:hint="default" w:ascii="宋体" w:hAnsi="宋体" w:cs="宋体"/>
                <w:color w:val="000000"/>
              </w:rPr>
              <w:t>3</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3</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部门依据整体绩效目标所设定的绩效指标是否清晰、细化、可衡量，用以反映和考核部门整体绩效目标的明细化情况。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①是否将部门整体的绩效目标细化分解为具体的工作任务；</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②是否通过清晰、可衡量的指标值予以体现。</w:t>
            </w:r>
            <w:r>
              <w:rPr>
                <w:rFonts w:hint="default" w:ascii="宋体" w:hAnsi="宋体" w:cs="宋体"/>
                <w:color w:val="000000"/>
              </w:rPr>
              <w:t xml:space="preserve">    </w:t>
            </w:r>
            <w:r>
              <w:rPr>
                <w:rFonts w:hint="eastAsia" w:ascii="宋体" w:hAnsi="宋体" w:cs="宋体"/>
                <w:color w:val="000000"/>
              </w:rPr>
              <w:t>③是否与部门年度的任务数或计划数相对应；</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预算</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配置（</w:t>
            </w:r>
            <w:r>
              <w:rPr>
                <w:rFonts w:hint="default" w:ascii="宋体" w:hAnsi="宋体" w:cs="宋体"/>
                <w:color w:val="000000"/>
              </w:rPr>
              <w:t>15</w:t>
            </w:r>
            <w:r>
              <w:rPr>
                <w:rFonts w:hint="eastAsia" w:ascii="宋体" w:hAnsi="宋体" w:cs="宋体"/>
                <w:color w:val="000000"/>
              </w:rPr>
              <w:t>分）</w:t>
            </w: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在职人员</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控制率（</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5</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部门本年度实际在职人员数与编制数的比率，用以反映和考核部门对人员成本的控制程度。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在职人员控制率</w:t>
            </w:r>
            <w:r>
              <w:rPr>
                <w:rFonts w:hint="default" w:ascii="宋体" w:hAnsi="宋体" w:cs="宋体"/>
                <w:color w:val="000000"/>
              </w:rPr>
              <w:t>=</w:t>
            </w:r>
            <w:r>
              <w:rPr>
                <w:rFonts w:hint="eastAsia" w:ascii="宋体" w:hAnsi="宋体" w:cs="宋体"/>
                <w:color w:val="000000"/>
              </w:rPr>
              <w:t>（在职人员数</w:t>
            </w:r>
            <w:r>
              <w:rPr>
                <w:rFonts w:hint="default" w:ascii="宋体" w:hAnsi="宋体" w:cs="宋体"/>
                <w:color w:val="000000"/>
              </w:rPr>
              <w:t>/</w:t>
            </w:r>
            <w:r>
              <w:rPr>
                <w:rFonts w:hint="eastAsia" w:ascii="宋体" w:hAnsi="宋体" w:cs="宋体"/>
                <w:color w:val="000000"/>
              </w:rPr>
              <w:t>编制数）×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在职人员数：部门实际在职人数，以财政部确定的部门决算编制口径为准。</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“三公经费”</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变动率（</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5</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部门本年度“三公经费”预算数与上年度“三公经费”预算数的变动比率，用以反映和考核部门对控制重点行政成本的努力程度。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“三公经费”变动率</w:t>
            </w:r>
            <w:r>
              <w:rPr>
                <w:rFonts w:hint="default" w:ascii="宋体" w:hAnsi="宋体" w:cs="宋体"/>
                <w:color w:val="000000"/>
              </w:rPr>
              <w:t>=[</w:t>
            </w:r>
            <w:r>
              <w:rPr>
                <w:rFonts w:hint="eastAsia" w:ascii="宋体" w:hAnsi="宋体" w:cs="宋体"/>
                <w:color w:val="000000"/>
              </w:rPr>
              <w:t>（本年度“三公经费”总额</w:t>
            </w:r>
            <w:r>
              <w:rPr>
                <w:rFonts w:hint="default" w:ascii="宋体" w:hAnsi="宋体" w:cs="宋体"/>
                <w:color w:val="000000"/>
              </w:rPr>
              <w:t>-</w:t>
            </w:r>
            <w:r>
              <w:rPr>
                <w:rFonts w:hint="eastAsia" w:ascii="宋体" w:hAnsi="宋体" w:cs="宋体"/>
                <w:color w:val="000000"/>
              </w:rPr>
              <w:t>上年度“三公经费”总额）</w:t>
            </w:r>
            <w:r>
              <w:rPr>
                <w:rFonts w:hint="default" w:ascii="宋体" w:hAnsi="宋体" w:cs="宋体"/>
                <w:color w:val="000000"/>
              </w:rPr>
              <w:t>/</w:t>
            </w:r>
            <w:r>
              <w:rPr>
                <w:rFonts w:hint="eastAsia" w:ascii="宋体" w:hAnsi="宋体" w:cs="宋体"/>
                <w:color w:val="000000"/>
              </w:rPr>
              <w:t>上年度“三公经费”总额</w:t>
            </w:r>
            <w:r>
              <w:rPr>
                <w:rFonts w:hint="default" w:ascii="宋体" w:hAnsi="宋体" w:cs="宋体"/>
                <w:color w:val="000000"/>
              </w:rPr>
              <w:t>]</w:t>
            </w:r>
            <w:r>
              <w:rPr>
                <w:rFonts w:hint="eastAsia" w:ascii="宋体" w:hAnsi="宋体" w:cs="宋体"/>
                <w:color w:val="000000"/>
              </w:rPr>
              <w:t>×</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重点支出</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安排率（</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5</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部门本年度预算安排的重点预算支出与部门预算总支出的比率，用以反映和考核部门对履行主要职责或完成重点任务的保障程度。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重点支出安排率</w:t>
            </w:r>
            <w:r>
              <w:rPr>
                <w:rFonts w:hint="default" w:ascii="宋体" w:hAnsi="宋体" w:cs="宋体"/>
                <w:color w:val="000000"/>
              </w:rPr>
              <w:t>=</w:t>
            </w:r>
            <w:r>
              <w:rPr>
                <w:rFonts w:hint="eastAsia" w:ascii="宋体" w:hAnsi="宋体" w:cs="宋体"/>
                <w:color w:val="000000"/>
              </w:rPr>
              <w:t>（重点预算支出</w:t>
            </w:r>
            <w:r>
              <w:rPr>
                <w:rFonts w:hint="default" w:ascii="宋体" w:hAnsi="宋体" w:cs="宋体"/>
                <w:color w:val="000000"/>
              </w:rPr>
              <w:t>/</w:t>
            </w:r>
            <w:r>
              <w:rPr>
                <w:rFonts w:hint="eastAsia" w:ascii="宋体" w:hAnsi="宋体" w:cs="宋体"/>
                <w:color w:val="000000"/>
              </w:rPr>
              <w:t>预算总支出）×</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重点预算支出：部门年度预算安排的，与本部门履职和发展密切相关、具有明显社会和经济影响、党委政府关心或社会比较关注的预算支出支出总额。</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tcBorders>
              <w:top w:val="single" w:color="B9E4D4" w:sz="4" w:space="0"/>
              <w:left w:val="single" w:color="B9E4D4" w:sz="4" w:space="0"/>
              <w:bottom w:val="single" w:color="B9E4D4" w:sz="4" w:space="0"/>
              <w:right w:val="single" w:color="B9E4D4" w:sz="4" w:space="0"/>
            </w:tcBorders>
            <w:shd w:val="clear" w:color="auto" w:fill="71C8AA"/>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过</w:t>
            </w:r>
            <w:r>
              <w:rPr>
                <w:rFonts w:hint="default" w:ascii="宋体" w:hAnsi="宋体" w:cs="宋体"/>
                <w:color w:val="000000"/>
              </w:rPr>
              <w:t xml:space="preserve">   </w:t>
            </w:r>
            <w:r>
              <w:rPr>
                <w:rFonts w:hint="eastAsia" w:ascii="宋体" w:hAnsi="宋体" w:cs="宋体"/>
                <w:color w:val="000000"/>
              </w:rPr>
              <w:t>程（</w:t>
            </w:r>
            <w:r>
              <w:rPr>
                <w:rFonts w:hint="default" w:ascii="宋体" w:hAnsi="宋体" w:cs="宋体"/>
                <w:color w:val="000000"/>
              </w:rPr>
              <w:t>30</w:t>
            </w:r>
            <w:r>
              <w:rPr>
                <w:rFonts w:hint="eastAsia" w:ascii="宋体" w:hAnsi="宋体" w:cs="宋体"/>
                <w:color w:val="000000"/>
              </w:rPr>
              <w:t>分）</w:t>
            </w:r>
          </w:p>
        </w:tc>
        <w:tc>
          <w:tcPr>
            <w:tcW w:w="375"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预算</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执行（</w:t>
            </w:r>
            <w:r>
              <w:rPr>
                <w:rFonts w:hint="default" w:ascii="宋体" w:hAnsi="宋体" w:cs="宋体"/>
                <w:color w:val="000000"/>
              </w:rPr>
              <w:t>20</w:t>
            </w:r>
            <w:r>
              <w:rPr>
                <w:rFonts w:hint="eastAsia" w:ascii="宋体" w:hAnsi="宋体" w:cs="宋体"/>
                <w:color w:val="000000"/>
              </w:rPr>
              <w:t>分）</w:t>
            </w: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预算</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执行率（</w:t>
            </w:r>
            <w:r>
              <w:rPr>
                <w:rFonts w:hint="default" w:ascii="宋体" w:hAnsi="宋体" w:cs="宋体"/>
                <w:color w:val="000000"/>
              </w:rPr>
              <w:t>4</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3</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部门本年度预算完成数与预算数的比率，用以反映和考核部门预算完成程度。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预算执行率</w:t>
            </w:r>
            <w:r>
              <w:rPr>
                <w:rFonts w:hint="default" w:ascii="宋体" w:hAnsi="宋体" w:cs="宋体"/>
                <w:color w:val="000000"/>
              </w:rPr>
              <w:t>=</w:t>
            </w:r>
            <w:r>
              <w:rPr>
                <w:rFonts w:hint="eastAsia" w:ascii="宋体" w:hAnsi="宋体" w:cs="宋体"/>
                <w:color w:val="000000"/>
              </w:rPr>
              <w:t>（预算执行数</w:t>
            </w:r>
            <w:r>
              <w:rPr>
                <w:rFonts w:hint="default" w:ascii="宋体" w:hAnsi="宋体" w:cs="宋体"/>
                <w:color w:val="000000"/>
              </w:rPr>
              <w:t>/</w:t>
            </w:r>
            <w:r>
              <w:rPr>
                <w:rFonts w:hint="eastAsia" w:ascii="宋体" w:hAnsi="宋体" w:cs="宋体"/>
                <w:color w:val="000000"/>
              </w:rPr>
              <w:t>预算数）×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预算执行数：部门本年度实际完成的预算数。</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预算</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调整率（</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部门本年度预算调整数与预算数的比率，用以反映和考核部门预算的调整程度。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预算调整率</w:t>
            </w:r>
            <w:r>
              <w:rPr>
                <w:rFonts w:hint="default" w:ascii="宋体" w:hAnsi="宋体" w:cs="宋体"/>
                <w:color w:val="000000"/>
              </w:rPr>
              <w:t>=</w:t>
            </w:r>
            <w:r>
              <w:rPr>
                <w:rFonts w:hint="eastAsia" w:ascii="宋体" w:hAnsi="宋体" w:cs="宋体"/>
                <w:color w:val="000000"/>
              </w:rPr>
              <w:t>（预算调整数</w:t>
            </w:r>
            <w:r>
              <w:rPr>
                <w:rFonts w:hint="default" w:ascii="宋体" w:hAnsi="宋体" w:cs="宋体"/>
                <w:color w:val="000000"/>
              </w:rPr>
              <w:t>/</w:t>
            </w:r>
            <w:r>
              <w:rPr>
                <w:rFonts w:hint="eastAsia" w:ascii="宋体" w:hAnsi="宋体" w:cs="宋体"/>
                <w:color w:val="000000"/>
              </w:rPr>
              <w:t>预算数）×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支付</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进度率（</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部门实际支付进度与既定支付进度的比率，用以反映和考核部门预算执行的及时性和均衡性程度。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支付进度率</w:t>
            </w:r>
            <w:r>
              <w:rPr>
                <w:rFonts w:hint="default" w:ascii="宋体" w:hAnsi="宋体" w:cs="宋体"/>
                <w:color w:val="000000"/>
              </w:rPr>
              <w:t>=</w:t>
            </w:r>
            <w:r>
              <w:rPr>
                <w:rFonts w:hint="eastAsia" w:ascii="宋体" w:hAnsi="宋体" w:cs="宋体"/>
                <w:color w:val="000000"/>
              </w:rPr>
              <w:t>（实际支付进度</w:t>
            </w:r>
            <w:r>
              <w:rPr>
                <w:rFonts w:hint="default" w:ascii="宋体" w:hAnsi="宋体" w:cs="宋体"/>
                <w:color w:val="000000"/>
              </w:rPr>
              <w:t>/</w:t>
            </w:r>
            <w:r>
              <w:rPr>
                <w:rFonts w:hint="eastAsia" w:ascii="宋体" w:hAnsi="宋体" w:cs="宋体"/>
                <w:color w:val="000000"/>
              </w:rPr>
              <w:t>既定支付进度）×</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实际支付进度：部门在某一时点的支出预算执行总数与年度支出预算数的比率。</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结转</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结余率（</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部门本年度结转结余总额与支出预算数的比率，用以反映和考核部门对本年度结转结余资金的实际控制程度。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结转结余率</w:t>
            </w:r>
            <w:r>
              <w:rPr>
                <w:rFonts w:hint="default" w:ascii="宋体" w:hAnsi="宋体" w:cs="宋体"/>
                <w:color w:val="000000"/>
              </w:rPr>
              <w:t>=</w:t>
            </w:r>
            <w:r>
              <w:rPr>
                <w:rFonts w:hint="eastAsia" w:ascii="宋体" w:hAnsi="宋体" w:cs="宋体"/>
                <w:color w:val="000000"/>
              </w:rPr>
              <w:t>结转结余总额</w:t>
            </w:r>
            <w:r>
              <w:rPr>
                <w:rFonts w:hint="default" w:ascii="宋体" w:hAnsi="宋体" w:cs="宋体"/>
                <w:color w:val="000000"/>
              </w:rPr>
              <w:t>/</w:t>
            </w:r>
            <w:r>
              <w:rPr>
                <w:rFonts w:hint="eastAsia" w:ascii="宋体" w:hAnsi="宋体" w:cs="宋体"/>
                <w:color w:val="000000"/>
              </w:rPr>
              <w:t>支出预算数×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结转结余</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变动率（</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1</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部门本年度结转结余资金总额与上年度结转结余资金总额的变动比率，用以反映和考核部门对控制结转结余资金的努力程度。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结转结余变动率</w:t>
            </w:r>
            <w:r>
              <w:rPr>
                <w:rFonts w:hint="default" w:ascii="宋体" w:hAnsi="宋体" w:cs="宋体"/>
                <w:color w:val="000000"/>
              </w:rPr>
              <w:t>=[</w:t>
            </w:r>
            <w:r>
              <w:rPr>
                <w:rFonts w:hint="eastAsia" w:ascii="宋体" w:hAnsi="宋体" w:cs="宋体"/>
                <w:color w:val="000000"/>
              </w:rPr>
              <w:t>（本年度累计结转结余资金总额</w:t>
            </w:r>
            <w:r>
              <w:rPr>
                <w:rFonts w:hint="default" w:ascii="宋体" w:hAnsi="宋体" w:cs="宋体"/>
                <w:color w:val="000000"/>
              </w:rPr>
              <w:t>-</w:t>
            </w:r>
            <w:r>
              <w:rPr>
                <w:rFonts w:hint="eastAsia" w:ascii="宋体" w:hAnsi="宋体" w:cs="宋体"/>
                <w:color w:val="000000"/>
              </w:rPr>
              <w:t>上年度累计结转结余资金总额）</w:t>
            </w:r>
            <w:r>
              <w:rPr>
                <w:rFonts w:hint="default" w:ascii="宋体" w:hAnsi="宋体" w:cs="宋体"/>
                <w:color w:val="000000"/>
              </w:rPr>
              <w:t>/</w:t>
            </w:r>
            <w:r>
              <w:rPr>
                <w:rFonts w:hint="eastAsia" w:ascii="宋体" w:hAnsi="宋体" w:cs="宋体"/>
                <w:color w:val="000000"/>
              </w:rPr>
              <w:t>上年度累计结转结余资金总额</w:t>
            </w:r>
            <w:r>
              <w:rPr>
                <w:rFonts w:hint="default" w:ascii="宋体" w:hAnsi="宋体" w:cs="宋体"/>
                <w:color w:val="000000"/>
              </w:rPr>
              <w:t>]</w:t>
            </w:r>
            <w:r>
              <w:rPr>
                <w:rFonts w:hint="eastAsia" w:ascii="宋体" w:hAnsi="宋体" w:cs="宋体"/>
                <w:color w:val="000000"/>
              </w:rPr>
              <w:t>×</w:t>
            </w:r>
            <w:r>
              <w:rPr>
                <w:rFonts w:hint="default" w:ascii="宋体" w:hAnsi="宋体" w:cs="宋体"/>
                <w:color w:val="000000"/>
              </w:rPr>
              <w:t>100%</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公用经费</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控制率（</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部门本年度实际支出的公用经费总额与预算安排的公用经费总额的比率，用以反映和考核部门对机构运转成本的实际控制程度。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公用经费控制率</w:t>
            </w:r>
            <w:r>
              <w:rPr>
                <w:rFonts w:hint="default" w:ascii="宋体" w:hAnsi="宋体" w:cs="宋体"/>
                <w:color w:val="000000"/>
              </w:rPr>
              <w:t>=</w:t>
            </w:r>
            <w:r>
              <w:rPr>
                <w:rFonts w:hint="eastAsia" w:ascii="宋体" w:hAnsi="宋体" w:cs="宋体"/>
                <w:color w:val="000000"/>
              </w:rPr>
              <w:t>（实际支出公用经费总额</w:t>
            </w:r>
            <w:r>
              <w:rPr>
                <w:rFonts w:hint="default" w:ascii="宋体" w:hAnsi="宋体" w:cs="宋体"/>
                <w:color w:val="000000"/>
              </w:rPr>
              <w:t>/</w:t>
            </w:r>
            <w:r>
              <w:rPr>
                <w:rFonts w:hint="eastAsia" w:ascii="宋体" w:hAnsi="宋体" w:cs="宋体"/>
                <w:color w:val="000000"/>
              </w:rPr>
              <w:t>预算安排公用经费总额）×</w:t>
            </w:r>
            <w:r>
              <w:rPr>
                <w:rFonts w:hint="default" w:ascii="宋体" w:hAnsi="宋体" w:cs="宋体"/>
                <w:color w:val="000000"/>
              </w:rPr>
              <w:t>100%</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“三公经费”控制率（</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部门本年度“三公经费”实际支出数与预算安排数的比率，用以反映和考核部门对“三公经费”的实际控制程度。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“三公经费”控制率</w:t>
            </w:r>
            <w:r>
              <w:rPr>
                <w:rFonts w:hint="default" w:ascii="宋体" w:hAnsi="宋体" w:cs="宋体"/>
                <w:color w:val="000000"/>
              </w:rPr>
              <w:t>=</w:t>
            </w:r>
            <w:r>
              <w:rPr>
                <w:rFonts w:hint="eastAsia" w:ascii="宋体" w:hAnsi="宋体" w:cs="宋体"/>
                <w:color w:val="000000"/>
              </w:rPr>
              <w:t>（“三公经费”实际支出数</w:t>
            </w:r>
            <w:r>
              <w:rPr>
                <w:rFonts w:hint="default" w:ascii="宋体" w:hAnsi="宋体" w:cs="宋体"/>
                <w:color w:val="000000"/>
              </w:rPr>
              <w:t>/</w:t>
            </w:r>
            <w:r>
              <w:rPr>
                <w:rFonts w:hint="eastAsia" w:ascii="宋体" w:hAnsi="宋体" w:cs="宋体"/>
                <w:color w:val="000000"/>
              </w:rPr>
              <w:t>“三公经费”预算安排数）×</w:t>
            </w:r>
            <w:r>
              <w:rPr>
                <w:rFonts w:hint="default" w:ascii="宋体" w:hAnsi="宋体" w:cs="宋体"/>
                <w:color w:val="000000"/>
              </w:rPr>
              <w:t>100%</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政府采购</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执行率（</w:t>
            </w:r>
            <w:r>
              <w:rPr>
                <w:rFonts w:hint="default" w:ascii="宋体" w:hAnsi="宋体" w:cs="宋体"/>
                <w:color w:val="000000"/>
              </w:rPr>
              <w:t>4</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3</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部门本年度实际政府采购金额与年初政府采购预算的比率，用以反映和考核部门政府采购预算执行情况。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政府采购执行率</w:t>
            </w:r>
            <w:r>
              <w:rPr>
                <w:rFonts w:hint="default" w:ascii="宋体" w:hAnsi="宋体" w:cs="宋体"/>
                <w:color w:val="000000"/>
              </w:rPr>
              <w:t>=</w:t>
            </w:r>
            <w:r>
              <w:rPr>
                <w:rFonts w:hint="eastAsia" w:ascii="宋体" w:hAnsi="宋体" w:cs="宋体"/>
                <w:color w:val="000000"/>
              </w:rPr>
              <w:t>（实际政府采购金额</w:t>
            </w:r>
            <w:r>
              <w:rPr>
                <w:rFonts w:hint="default" w:ascii="宋体" w:hAnsi="宋体" w:cs="宋体"/>
                <w:color w:val="000000"/>
              </w:rPr>
              <w:t>/</w:t>
            </w:r>
            <w:r>
              <w:rPr>
                <w:rFonts w:hint="eastAsia" w:ascii="宋体" w:hAnsi="宋体" w:cs="宋体"/>
                <w:color w:val="000000"/>
              </w:rPr>
              <w:t>政府采购预算数）×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hAnsi="宋体" w:cs="宋体"/>
                <w:color w:val="000000"/>
              </w:rPr>
            </w:pPr>
            <w:r>
              <w:rPr>
                <w:rFonts w:hint="eastAsia" w:ascii="宋体" w:hAnsi="宋体" w:cs="宋体"/>
                <w:color w:val="000000"/>
              </w:rPr>
              <w:t>政府采购预算：采购机关根据事业发展计划和行政任务编制的、并经过规定程序批准的年度政府采购计划。</w:t>
            </w:r>
            <w:r>
              <w:rPr>
                <w:rFonts w:hint="default"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过</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程（</w:t>
            </w:r>
            <w:r>
              <w:rPr>
                <w:rFonts w:hint="default" w:ascii="宋体" w:hAnsi="宋体" w:cs="宋体"/>
                <w:color w:val="000000"/>
              </w:rPr>
              <w:t>30</w:t>
            </w:r>
            <w:r>
              <w:rPr>
                <w:rFonts w:hint="eastAsia" w:ascii="宋体" w:hAnsi="宋体" w:cs="宋体"/>
                <w:color w:val="000000"/>
              </w:rPr>
              <w:t>分）</w:t>
            </w:r>
          </w:p>
        </w:tc>
        <w:tc>
          <w:tcPr>
            <w:tcW w:w="375"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预算</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管理（</w:t>
            </w:r>
            <w:r>
              <w:rPr>
                <w:rFonts w:hint="default" w:ascii="宋体" w:hAnsi="宋体" w:cs="宋体"/>
                <w:color w:val="000000"/>
              </w:rPr>
              <w:t>5</w:t>
            </w:r>
            <w:r>
              <w:rPr>
                <w:rFonts w:hint="eastAsia" w:ascii="宋体" w:hAnsi="宋体" w:cs="宋体"/>
                <w:color w:val="000000"/>
              </w:rPr>
              <w:t>分）</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w:t>
            </w: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管理制度</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健全性（</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部门为加强预算管理、规范财务行为而制定的管理制度是否健全完整，用以反映和考核部门预算管理制度对完成主要职责或促进事业发展的保障情况。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①是否已制定或具有预算资金管理办法、内部财务管理制度、会计核算制度等管理制度；</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②相关管理制度是否合法、合规、完整；</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资金使用</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合规性（</w:t>
            </w:r>
            <w:r>
              <w:rPr>
                <w:rFonts w:hint="default" w:ascii="宋体" w:hAnsi="宋体" w:cs="宋体"/>
                <w:color w:val="000000"/>
              </w:rPr>
              <w:t>1</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1</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部门使用预算资金是否符合相关的预算财务管理制度的规定，用以反映和考核部门预算资金的规范运行情况。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①是否符合国家财经法规和财务管理制度规定以及有关预算支出管理办法的规定；</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②资金的拨付是否有完整的审批程序和手续；</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③预算支出的重大开支是否经过评估论证；</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④是否符合部门预算批复的用途；</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预决算信</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息公开性（</w:t>
            </w:r>
            <w:r>
              <w:rPr>
                <w:rFonts w:hint="default" w:ascii="宋体" w:hAnsi="宋体" w:cs="宋体"/>
                <w:color w:val="000000"/>
              </w:rPr>
              <w:t>1</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1</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部门是否按照政府信息公开有关规定公开相关预决算信息，用以反映和考核部门预决算管理的公开透明情况。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①是否按规定内容公开预决算信息；</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②是否按规定时限公开预决算信息。</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基础信息</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完善性（</w:t>
            </w:r>
            <w:r>
              <w:rPr>
                <w:rFonts w:hint="default" w:ascii="宋体" w:hAnsi="宋体" w:cs="宋体"/>
                <w:color w:val="000000"/>
              </w:rPr>
              <w:t>1</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1</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部门基础信息是否完善，用以反映和考核基础信息对预算管理工作的支撑情况。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①基础数据信息和会计信息资料是否真实；</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②基础数据信息和会计信息资料是否完整；</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资产</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管理（</w:t>
            </w:r>
            <w:r>
              <w:rPr>
                <w:rFonts w:hint="default" w:ascii="宋体" w:hAnsi="宋体" w:cs="宋体"/>
                <w:color w:val="000000"/>
              </w:rPr>
              <w:t>5</w:t>
            </w:r>
            <w:r>
              <w:rPr>
                <w:rFonts w:hint="eastAsia" w:ascii="宋体" w:hAnsi="宋体" w:cs="宋体"/>
                <w:color w:val="000000"/>
              </w:rPr>
              <w:t>分）</w:t>
            </w: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管理制度</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健全性（</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部门为加强资产管理、规范资产管理行为而制定的管理制度是否健全完整，用以反映和考核部门资产管理制度对完成主要职责或促进社会发展的保障情况。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①是否已制定或具有资产管理制度；</w:t>
            </w:r>
            <w:r>
              <w:rPr>
                <w:rFonts w:hint="default" w:ascii="宋体" w:hAnsi="宋体" w:cs="宋体"/>
                <w:color w:val="000000"/>
              </w:rPr>
              <w:t xml:space="preserve">           </w:t>
            </w:r>
            <w:r>
              <w:rPr>
                <w:rFonts w:hint="eastAsia" w:ascii="宋体" w:hAnsi="宋体" w:cs="宋体"/>
                <w:color w:val="000000"/>
              </w:rPr>
              <w:t>②相关资金管理制度是否合法、合规、完整；</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资产管理</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安全性（</w:t>
            </w:r>
            <w:r>
              <w:rPr>
                <w:rFonts w:hint="default" w:ascii="宋体" w:hAnsi="宋体" w:cs="宋体"/>
                <w:color w:val="000000"/>
              </w:rPr>
              <w:t>2</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761"/>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2</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761"/>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部门的资产是否保存完整、使用合规、配置合理、处置规范、收入及时足额上缴，用以反映和考核部门资产安全运行情况。</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评价要点：</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①资产保存是否完整；</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②资产配置是否合理；</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③资产处置是否规范；</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④资产账务管理是否合规，是否帐实相符；</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固定资产</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利用率（</w:t>
            </w:r>
            <w:r>
              <w:rPr>
                <w:rFonts w:hint="default" w:ascii="宋体" w:hAnsi="宋体" w:cs="宋体"/>
                <w:color w:val="000000"/>
              </w:rPr>
              <w:t>1</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1</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部门实际在用固定资产总额与所有固定资产总额的比率，用以反映和考核部门固定资产使用效率程度。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固定资产利用率</w:t>
            </w:r>
            <w:r>
              <w:rPr>
                <w:rFonts w:hint="default" w:ascii="宋体" w:hAnsi="宋体" w:cs="宋体"/>
                <w:color w:val="000000"/>
              </w:rPr>
              <w:t>=</w:t>
            </w:r>
            <w:r>
              <w:rPr>
                <w:rFonts w:hint="eastAsia" w:ascii="宋体" w:hAnsi="宋体" w:cs="宋体"/>
                <w:color w:val="000000"/>
              </w:rPr>
              <w:t>（实际在用固定资产总额</w:t>
            </w:r>
            <w:r>
              <w:rPr>
                <w:rFonts w:hint="default" w:ascii="宋体" w:hAnsi="宋体" w:cs="宋体"/>
                <w:color w:val="000000"/>
              </w:rPr>
              <w:t>/</w:t>
            </w:r>
            <w:r>
              <w:rPr>
                <w:rFonts w:hint="eastAsia" w:ascii="宋体" w:hAnsi="宋体" w:cs="宋体"/>
                <w:color w:val="000000"/>
              </w:rPr>
              <w:t>所有固定资产总额）×</w:t>
            </w:r>
            <w:r>
              <w:rPr>
                <w:rFonts w:hint="default" w:ascii="宋体" w:hAnsi="宋体" w:cs="宋体"/>
                <w:color w:val="000000"/>
              </w:rPr>
              <w:t>100%</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tcBorders>
              <w:top w:val="single" w:color="B9E4D4" w:sz="4" w:space="0"/>
              <w:left w:val="single" w:color="B9E4D4" w:sz="4" w:space="0"/>
              <w:bottom w:val="single" w:color="B9E4D4" w:sz="4" w:space="0"/>
              <w:right w:val="single" w:color="B9E4D4" w:sz="4" w:space="0"/>
            </w:tcBorders>
            <w:shd w:val="clear" w:color="auto" w:fill="71C8AA"/>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产</w:t>
            </w:r>
            <w:r>
              <w:rPr>
                <w:rFonts w:hint="default" w:ascii="宋体" w:hAnsi="宋体" w:cs="宋体"/>
                <w:color w:val="000000"/>
              </w:rPr>
              <w:t xml:space="preserve">   </w:t>
            </w:r>
            <w:r>
              <w:rPr>
                <w:rFonts w:hint="eastAsia" w:ascii="宋体" w:hAnsi="宋体" w:cs="宋体"/>
                <w:color w:val="000000"/>
              </w:rPr>
              <w:t>出（</w:t>
            </w:r>
            <w:r>
              <w:rPr>
                <w:rFonts w:hint="default" w:ascii="宋体" w:hAnsi="宋体" w:cs="宋体"/>
                <w:color w:val="000000"/>
              </w:rPr>
              <w:t>30</w:t>
            </w:r>
            <w:r>
              <w:rPr>
                <w:rFonts w:hint="eastAsia" w:ascii="宋体" w:hAnsi="宋体" w:cs="宋体"/>
                <w:color w:val="000000"/>
              </w:rPr>
              <w:t>分）</w:t>
            </w:r>
          </w:p>
        </w:tc>
        <w:tc>
          <w:tcPr>
            <w:tcW w:w="375"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职责</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履行（</w:t>
            </w:r>
            <w:r>
              <w:rPr>
                <w:rFonts w:hint="default" w:ascii="宋体" w:hAnsi="宋体" w:cs="宋体"/>
                <w:color w:val="000000"/>
              </w:rPr>
              <w:t>30</w:t>
            </w:r>
            <w:r>
              <w:rPr>
                <w:rFonts w:hint="eastAsia" w:ascii="宋体" w:hAnsi="宋体" w:cs="宋体"/>
                <w:color w:val="000000"/>
              </w:rPr>
              <w:t>分）</w:t>
            </w: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实际</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完成率（</w:t>
            </w:r>
            <w:r>
              <w:rPr>
                <w:rFonts w:hint="default" w:ascii="宋体" w:hAnsi="宋体" w:cs="宋体"/>
                <w:color w:val="000000"/>
              </w:rPr>
              <w:t>8</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8</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部门履行职责而实际完成工作数与计划工作数的比率，用以反映和考核部门履职工作任务目标的实现程度。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实际完成率</w:t>
            </w:r>
            <w:r>
              <w:rPr>
                <w:rFonts w:hint="default" w:ascii="宋体" w:hAnsi="宋体" w:cs="宋体"/>
                <w:color w:val="000000"/>
              </w:rPr>
              <w:t>=</w:t>
            </w:r>
            <w:r>
              <w:rPr>
                <w:rFonts w:hint="eastAsia" w:ascii="宋体" w:hAnsi="宋体" w:cs="宋体"/>
                <w:color w:val="000000"/>
              </w:rPr>
              <w:t>（实际完成工作数</w:t>
            </w:r>
            <w:r>
              <w:rPr>
                <w:rFonts w:hint="default" w:ascii="宋体" w:hAnsi="宋体" w:cs="宋体"/>
                <w:color w:val="000000"/>
              </w:rPr>
              <w:t>/</w:t>
            </w:r>
            <w:r>
              <w:rPr>
                <w:rFonts w:hint="eastAsia" w:ascii="宋体" w:hAnsi="宋体" w:cs="宋体"/>
                <w:color w:val="000000"/>
              </w:rPr>
              <w:t>计划工作数）×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实际完成工作数：一定时期（年度或规划期）内部门实际完成工作任务的数量。</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textDirection w:val="tbRlV"/>
            <w:vAlign w:val="center"/>
          </w:tcPr>
          <w:p>
            <w:pPr>
              <w:keepNext w:val="0"/>
              <w:keepLines w:val="0"/>
              <w:suppressLineNumbers w:val="0"/>
              <w:spacing w:before="0" w:beforeAutospacing="0" w:after="0" w:afterAutospacing="0" w:line="240" w:lineRule="exact"/>
              <w:ind w:left="113" w:right="0"/>
              <w:jc w:val="center"/>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完成</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及时率（</w:t>
            </w:r>
            <w:r>
              <w:rPr>
                <w:rFonts w:hint="default" w:ascii="宋体" w:hAnsi="宋体" w:cs="宋体"/>
                <w:color w:val="000000"/>
              </w:rPr>
              <w:t>4</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4</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部门在规定时限内及时完成的实际工作数与计划工作数的比率</w:t>
            </w:r>
            <w:r>
              <w:rPr>
                <w:rFonts w:hint="default" w:ascii="宋体" w:hAnsi="宋体" w:cs="宋体"/>
                <w:color w:val="000000"/>
              </w:rPr>
              <w:t>,</w:t>
            </w:r>
            <w:r>
              <w:rPr>
                <w:rFonts w:hint="eastAsia" w:ascii="宋体" w:hAnsi="宋体" w:cs="宋体"/>
                <w:color w:val="000000"/>
              </w:rPr>
              <w:t>用以反映和考核部门履职时效目标的实现程度。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完成及时率</w:t>
            </w:r>
            <w:r>
              <w:rPr>
                <w:rFonts w:hint="default" w:ascii="宋体" w:hAnsi="宋体" w:cs="宋体"/>
                <w:color w:val="000000"/>
              </w:rPr>
              <w:t>=</w:t>
            </w:r>
            <w:r>
              <w:rPr>
                <w:rFonts w:hint="eastAsia" w:ascii="宋体" w:hAnsi="宋体" w:cs="宋体"/>
                <w:color w:val="000000"/>
              </w:rPr>
              <w:t>（及时完成实际工作数</w:t>
            </w:r>
            <w:r>
              <w:rPr>
                <w:rFonts w:hint="default" w:ascii="宋体" w:hAnsi="宋体" w:cs="宋体"/>
                <w:color w:val="000000"/>
              </w:rPr>
              <w:t>/</w:t>
            </w:r>
            <w:r>
              <w:rPr>
                <w:rFonts w:hint="eastAsia" w:ascii="宋体" w:hAnsi="宋体" w:cs="宋体"/>
                <w:color w:val="000000"/>
              </w:rPr>
              <w:t>计划工作数）×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质量</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达标率（</w:t>
            </w:r>
            <w:r>
              <w:rPr>
                <w:rFonts w:hint="default" w:ascii="宋体" w:hAnsi="宋体" w:cs="宋体"/>
                <w:color w:val="000000"/>
              </w:rPr>
              <w:t>8</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7</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达到质量标准（绩效标准值）的实际工作数与计划工作数的比率</w:t>
            </w:r>
            <w:r>
              <w:rPr>
                <w:rFonts w:hint="default" w:ascii="宋体" w:hAnsi="宋体" w:cs="宋体"/>
                <w:color w:val="000000"/>
              </w:rPr>
              <w:t>,</w:t>
            </w:r>
            <w:r>
              <w:rPr>
                <w:rFonts w:hint="eastAsia" w:ascii="宋体" w:hAnsi="宋体" w:cs="宋体"/>
                <w:color w:val="000000"/>
              </w:rPr>
              <w:t>用以反映和考核部门履职质量目标的实现程度。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质量达标率</w:t>
            </w:r>
            <w:r>
              <w:rPr>
                <w:rFonts w:hint="default" w:ascii="宋体" w:hAnsi="宋体" w:cs="宋体"/>
                <w:color w:val="000000"/>
              </w:rPr>
              <w:t>=</w:t>
            </w:r>
            <w:r>
              <w:rPr>
                <w:rFonts w:hint="eastAsia" w:ascii="宋体" w:hAnsi="宋体" w:cs="宋体"/>
                <w:color w:val="000000"/>
              </w:rPr>
              <w:t>（质量达标实际工作数</w:t>
            </w:r>
            <w:r>
              <w:rPr>
                <w:rFonts w:hint="default" w:ascii="宋体" w:hAnsi="宋体" w:cs="宋体"/>
                <w:color w:val="000000"/>
              </w:rPr>
              <w:t>/</w:t>
            </w:r>
            <w:r>
              <w:rPr>
                <w:rFonts w:hint="eastAsia" w:ascii="宋体" w:hAnsi="宋体" w:cs="宋体"/>
                <w:color w:val="000000"/>
              </w:rPr>
              <w:t>计划工作数）×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重点工作</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办结率（</w:t>
            </w:r>
            <w:r>
              <w:rPr>
                <w:rFonts w:hint="default" w:ascii="宋体" w:hAnsi="宋体" w:cs="宋体"/>
                <w:color w:val="000000"/>
              </w:rPr>
              <w:t>10</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9</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部门年度重点工作实际完成数与交办或下达数的比率，用以反映部门对重点工作的办理落实程度。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eastAsia" w:ascii="宋体" w:hAnsi="宋体" w:cs="宋体" w:eastAsiaTheme="minorEastAsia"/>
                <w:color w:val="000000"/>
                <w:lang w:eastAsia="zh-CN"/>
              </w:rPr>
            </w:pPr>
            <w:r>
              <w:rPr>
                <w:rFonts w:hint="eastAsia" w:ascii="宋体" w:hAnsi="宋体" w:cs="宋体"/>
                <w:color w:val="000000"/>
              </w:rPr>
              <w:t>重点工作办结率</w:t>
            </w:r>
            <w:r>
              <w:rPr>
                <w:rFonts w:hint="default" w:ascii="宋体" w:hAnsi="宋体" w:cs="宋体"/>
                <w:color w:val="000000"/>
              </w:rPr>
              <w:t>=</w:t>
            </w:r>
            <w:r>
              <w:rPr>
                <w:rFonts w:hint="eastAsia" w:ascii="宋体" w:hAnsi="宋体" w:cs="宋体"/>
                <w:color w:val="000000"/>
              </w:rPr>
              <w:t>（重点工作实际完成数</w:t>
            </w:r>
            <w:r>
              <w:rPr>
                <w:rFonts w:hint="default" w:ascii="宋体" w:hAnsi="宋体" w:cs="宋体"/>
                <w:color w:val="000000"/>
              </w:rPr>
              <w:t>/</w:t>
            </w:r>
            <w:r>
              <w:rPr>
                <w:rFonts w:hint="eastAsia" w:ascii="宋体" w:hAnsi="宋体" w:cs="宋体"/>
                <w:color w:val="000000"/>
              </w:rPr>
              <w:t>交办或下达数）×</w:t>
            </w:r>
            <w:r>
              <w:rPr>
                <w:rFonts w:hint="default" w:ascii="宋体" w:hAnsi="宋体" w:cs="宋体"/>
                <w:color w:val="000000"/>
              </w:rPr>
              <w:t>100%</w:t>
            </w:r>
            <w:r>
              <w:rPr>
                <w:rFonts w:hint="eastAsia" w:ascii="宋体" w:hAnsi="宋体" w:cs="宋体"/>
                <w:color w:val="000000"/>
              </w:rPr>
              <w:t>。</w:t>
            </w:r>
          </w:p>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tcBorders>
              <w:top w:val="single" w:color="B9E4D4" w:sz="4" w:space="0"/>
              <w:left w:val="single" w:color="B9E4D4" w:sz="4" w:space="0"/>
              <w:bottom w:val="single" w:color="B9E4D4" w:sz="4" w:space="0"/>
              <w:right w:val="single" w:color="B9E4D4" w:sz="4" w:space="0"/>
            </w:tcBorders>
            <w:shd w:val="clear" w:color="auto" w:fill="71C8AA"/>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效</w:t>
            </w:r>
            <w:r>
              <w:rPr>
                <w:rFonts w:hint="default" w:ascii="宋体" w:hAnsi="宋体" w:cs="宋体"/>
                <w:color w:val="000000"/>
              </w:rPr>
              <w:t xml:space="preserve">   </w:t>
            </w:r>
            <w:r>
              <w:rPr>
                <w:rFonts w:hint="eastAsia" w:ascii="宋体" w:hAnsi="宋体" w:cs="宋体"/>
                <w:color w:val="000000"/>
              </w:rPr>
              <w:t>果（</w:t>
            </w:r>
            <w:r>
              <w:rPr>
                <w:rFonts w:hint="default" w:ascii="宋体" w:hAnsi="宋体" w:cs="宋体"/>
                <w:color w:val="000000"/>
              </w:rPr>
              <w:t>20</w:t>
            </w:r>
            <w:r>
              <w:rPr>
                <w:rFonts w:hint="eastAsia" w:ascii="宋体" w:hAnsi="宋体" w:cs="宋体"/>
                <w:color w:val="000000"/>
              </w:rPr>
              <w:t>分）</w:t>
            </w:r>
          </w:p>
        </w:tc>
        <w:tc>
          <w:tcPr>
            <w:tcW w:w="375"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eastAsiaTheme="minorEastAsia"/>
                <w:color w:val="000000"/>
                <w:lang w:eastAsia="zh-CN"/>
              </w:rPr>
            </w:pPr>
            <w:r>
              <w:rPr>
                <w:rFonts w:hint="eastAsia" w:ascii="宋体" w:hAnsi="宋体" w:cs="宋体"/>
                <w:color w:val="000000"/>
              </w:rPr>
              <w:t>履职</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效益（</w:t>
            </w:r>
            <w:r>
              <w:rPr>
                <w:rFonts w:hint="default" w:ascii="宋体" w:hAnsi="宋体" w:cs="宋体"/>
                <w:color w:val="000000"/>
              </w:rPr>
              <w:t>20</w:t>
            </w:r>
            <w:r>
              <w:rPr>
                <w:rFonts w:hint="eastAsia" w:ascii="宋体" w:hAnsi="宋体" w:cs="宋体"/>
                <w:color w:val="000000"/>
              </w:rPr>
              <w:t>分）</w:t>
            </w: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经济效益（</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4</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部门履行职责对经济发展所带来的直接或间接影响。</w:t>
            </w:r>
          </w:p>
        </w:tc>
        <w:tc>
          <w:tcPr>
            <w:tcW w:w="1867" w:type="pct"/>
            <w:vMerge w:val="restar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社会效益（</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cs="宋体"/>
                <w:color w:val="000000"/>
              </w:rPr>
              <w:t>5</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部门履行职责对社会发展所带来的直接或间接影响。</w:t>
            </w:r>
          </w:p>
        </w:tc>
        <w:tc>
          <w:tcPr>
            <w:tcW w:w="1867"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生态效益（</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4</w:t>
            </w:r>
          </w:p>
        </w:tc>
        <w:tc>
          <w:tcPr>
            <w:tcW w:w="1576" w:type="pct"/>
            <w:tcBorders>
              <w:top w:val="single" w:color="B9E4D4" w:sz="4" w:space="0"/>
              <w:left w:val="single" w:color="B9E4D4" w:sz="4" w:space="0"/>
              <w:bottom w:val="single" w:color="B9E4D4"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部门履行职责对生态环境所带来的直接或间接影响。</w:t>
            </w:r>
          </w:p>
        </w:tc>
        <w:tc>
          <w:tcPr>
            <w:tcW w:w="1867"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tcBorders>
              <w:top w:val="single" w:color="B9E4D4" w:sz="4" w:space="0"/>
              <w:left w:val="single" w:color="B9E4D4" w:sz="4" w:space="0"/>
              <w:bottom w:val="single" w:color="B9E4D4"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375" w:type="pct"/>
            <w:vMerge w:val="continue"/>
            <w:tcBorders>
              <w:top w:val="single" w:color="B9E4D4" w:sz="4" w:space="0"/>
              <w:left w:val="single" w:color="B9E4D4" w:sz="4" w:space="0"/>
              <w:bottom w:val="single" w:color="B9E4D4"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社会公众</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或服务对</w:t>
            </w:r>
          </w:p>
          <w:p>
            <w:pPr>
              <w:keepNext w:val="0"/>
              <w:keepLines w:val="0"/>
              <w:suppressLineNumbers w:val="0"/>
              <w:spacing w:before="0" w:beforeAutospacing="0" w:after="0" w:afterAutospacing="0" w:line="240" w:lineRule="exact"/>
              <w:ind w:left="0" w:right="0"/>
              <w:jc w:val="center"/>
              <w:rPr>
                <w:rFonts w:hint="default" w:ascii="宋体" w:cs="宋体"/>
                <w:color w:val="000000"/>
              </w:rPr>
            </w:pPr>
            <w:r>
              <w:rPr>
                <w:rFonts w:hint="eastAsia" w:ascii="宋体" w:hAnsi="宋体" w:cs="宋体"/>
                <w:color w:val="000000"/>
              </w:rPr>
              <w:t>象满意度（</w:t>
            </w:r>
            <w:r>
              <w:rPr>
                <w:rFonts w:hint="default" w:ascii="宋体" w:hAnsi="宋体" w:cs="宋体"/>
                <w:color w:val="000000"/>
              </w:rPr>
              <w:t>5</w:t>
            </w:r>
            <w:r>
              <w:rPr>
                <w:rFonts w:hint="eastAsia" w:ascii="宋体" w:hAnsi="宋体" w:cs="宋体"/>
                <w:color w:val="000000"/>
              </w:rPr>
              <w:t>分）</w:t>
            </w:r>
          </w:p>
        </w:tc>
        <w:tc>
          <w:tcPr>
            <w:tcW w:w="375" w:type="pct"/>
            <w:tcBorders>
              <w:top w:val="single" w:color="B9E4D4" w:sz="4" w:space="0"/>
              <w:left w:val="single" w:color="B9E4D4" w:sz="4" w:space="0"/>
              <w:bottom w:val="single" w:color="B9E4D4"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eastAsia" w:ascii="宋体" w:cs="宋体" w:eastAsiaTheme="minorEastAsia"/>
                <w:color w:val="000000"/>
                <w:lang w:val="en-US" w:eastAsia="zh-CN"/>
              </w:rPr>
            </w:pPr>
            <w:r>
              <w:rPr>
                <w:rFonts w:hint="eastAsia" w:ascii="宋体" w:cs="宋体"/>
                <w:color w:val="000000"/>
                <w:lang w:val="en-US" w:eastAsia="zh-CN"/>
              </w:rPr>
              <w:t>5</w:t>
            </w:r>
          </w:p>
        </w:tc>
        <w:tc>
          <w:tcPr>
            <w:tcW w:w="1576"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r>
              <w:rPr>
                <w:rFonts w:hint="eastAsia" w:ascii="宋体" w:hAnsi="宋体" w:cs="宋体"/>
                <w:color w:val="000000"/>
              </w:rPr>
              <w:t>社会公众或部门的服务对象对部门履职效果的满意程度。</w:t>
            </w:r>
          </w:p>
        </w:tc>
        <w:tc>
          <w:tcPr>
            <w:tcW w:w="1867" w:type="pct"/>
            <w:tcBorders>
              <w:top w:val="single" w:color="B9E4D4" w:sz="4" w:space="0"/>
              <w:left w:val="single" w:color="B9E4D4" w:sz="4" w:space="0"/>
              <w:bottom w:val="single" w:color="B9E4D4"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r>
              <w:rPr>
                <w:rFonts w:hint="eastAsia" w:ascii="宋体" w:hAnsi="宋体" w:cs="宋体"/>
                <w:color w:val="000000"/>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tcBorders>
              <w:top w:val="single" w:color="B9E4D4" w:sz="4" w:space="0"/>
              <w:left w:val="single" w:color="B9E4D4" w:sz="4" w:space="0"/>
              <w:bottom w:val="single" w:color="399473" w:sz="4" w:space="0"/>
              <w:right w:val="single" w:color="B9E4D4" w:sz="4" w:space="0"/>
            </w:tcBorders>
            <w:shd w:val="clear" w:color="auto" w:fill="71C8A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r>
              <w:rPr>
                <w:rFonts w:hint="eastAsia" w:ascii="宋体" w:hAnsi="宋体" w:cs="宋体"/>
                <w:color w:val="000000"/>
              </w:rPr>
              <w:t>总分</w:t>
            </w:r>
          </w:p>
        </w:tc>
        <w:tc>
          <w:tcPr>
            <w:tcW w:w="375" w:type="pct"/>
            <w:tcBorders>
              <w:top w:val="single" w:color="B9E4D4" w:sz="4" w:space="0"/>
              <w:left w:val="single" w:color="B9E4D4" w:sz="4" w:space="0"/>
              <w:bottom w:val="single" w:color="399473" w:sz="4" w:space="0"/>
              <w:right w:val="single" w:color="B9E4D4" w:sz="4" w:space="0"/>
            </w:tcBorders>
            <w:shd w:val="clear" w:color="auto" w:fill="DDF2EA"/>
            <w:vAlign w:val="center"/>
          </w:tcPr>
          <w:p>
            <w:pPr>
              <w:keepNext w:val="0"/>
              <w:keepLines w:val="0"/>
              <w:suppressLineNumbers w:val="0"/>
              <w:spacing w:before="0" w:beforeAutospacing="0" w:after="0" w:afterAutospacing="0" w:line="240" w:lineRule="exact"/>
              <w:ind w:left="0" w:right="0"/>
              <w:rPr>
                <w:rFonts w:hint="default" w:ascii="宋体" w:cs="宋体"/>
                <w:color w:val="000000"/>
              </w:rPr>
            </w:pPr>
          </w:p>
        </w:tc>
        <w:tc>
          <w:tcPr>
            <w:tcW w:w="500" w:type="pct"/>
            <w:tcBorders>
              <w:top w:val="single" w:color="B9E4D4" w:sz="4" w:space="0"/>
              <w:left w:val="single" w:color="B9E4D4" w:sz="4" w:space="0"/>
              <w:bottom w:val="single" w:color="399473"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rPr>
            </w:pPr>
          </w:p>
        </w:tc>
        <w:tc>
          <w:tcPr>
            <w:tcW w:w="375" w:type="pct"/>
            <w:tcBorders>
              <w:top w:val="single" w:color="B9E4D4" w:sz="4" w:space="0"/>
              <w:left w:val="single" w:color="B9E4D4" w:sz="4" w:space="0"/>
              <w:bottom w:val="single" w:color="399473" w:sz="4" w:space="0"/>
              <w:right w:val="single" w:color="B9E4D4" w:sz="4" w:space="0"/>
            </w:tcBorders>
            <w:shd w:val="clear" w:color="auto" w:fill="DDF2EA"/>
          </w:tcPr>
          <w:p>
            <w:pPr>
              <w:keepNext w:val="0"/>
              <w:keepLines w:val="0"/>
              <w:suppressLineNumbers w:val="0"/>
              <w:tabs>
                <w:tab w:val="left" w:pos="2604"/>
              </w:tabs>
              <w:spacing w:before="0" w:beforeAutospacing="0" w:after="0" w:afterAutospacing="0" w:line="240" w:lineRule="exact"/>
              <w:ind w:left="0" w:right="105" w:rightChars="50"/>
              <w:rPr>
                <w:rFonts w:hint="eastAsia" w:ascii="宋体" w:cs="宋体" w:eastAsiaTheme="minorEastAsia"/>
                <w:color w:val="000000"/>
                <w:lang w:val="en-US" w:eastAsia="zh-CN"/>
              </w:rPr>
            </w:pPr>
            <w:r>
              <w:rPr>
                <w:rFonts w:hint="eastAsia" w:ascii="宋体" w:cs="宋体"/>
                <w:color w:val="000000"/>
              </w:rPr>
              <w:t>9</w:t>
            </w:r>
            <w:r>
              <w:rPr>
                <w:rFonts w:hint="eastAsia" w:ascii="宋体" w:cs="宋体"/>
                <w:color w:val="000000"/>
                <w:lang w:val="en-US" w:eastAsia="zh-CN"/>
              </w:rPr>
              <w:t>4</w:t>
            </w:r>
          </w:p>
        </w:tc>
        <w:tc>
          <w:tcPr>
            <w:tcW w:w="1576" w:type="pct"/>
            <w:tcBorders>
              <w:top w:val="single" w:color="B9E4D4" w:sz="4" w:space="0"/>
              <w:left w:val="single" w:color="B9E4D4" w:sz="4" w:space="0"/>
              <w:bottom w:val="single" w:color="399473" w:sz="4" w:space="0"/>
              <w:right w:val="single" w:color="B9E4D4" w:sz="4" w:space="0"/>
            </w:tcBorders>
            <w:shd w:val="clear" w:color="auto" w:fill="FFFFFF"/>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color w:val="000000"/>
              </w:rPr>
            </w:pPr>
          </w:p>
        </w:tc>
        <w:tc>
          <w:tcPr>
            <w:tcW w:w="1867" w:type="pct"/>
            <w:tcBorders>
              <w:top w:val="single" w:color="B9E4D4" w:sz="4" w:space="0"/>
              <w:left w:val="single" w:color="B9E4D4" w:sz="4" w:space="0"/>
              <w:bottom w:val="single" w:color="399473" w:sz="4" w:space="0"/>
              <w:right w:val="single" w:color="B9E4D4" w:sz="4" w:space="0"/>
            </w:tcBorders>
            <w:shd w:val="clear" w:color="auto" w:fill="DDF2EA"/>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color w:val="000000"/>
              </w:rPr>
            </w:pPr>
          </w:p>
        </w:tc>
      </w:tr>
    </w:tbl>
    <w:p>
      <w:pPr>
        <w:keepNext w:val="0"/>
        <w:keepLines w:val="0"/>
        <w:widowControl/>
        <w:suppressLineNumbers w:val="0"/>
        <w:shd w:val="clear" w:fill="FFFFFF"/>
        <w:spacing w:before="0" w:beforeAutospacing="0" w:after="0" w:afterAutospacing="0" w:line="560" w:lineRule="atLeast"/>
        <w:ind w:left="0" w:right="0" w:firstLine="645"/>
        <w:jc w:val="left"/>
        <w:rPr>
          <w:rFonts w:hint="default" w:ascii="等线" w:hAnsi="Times New Roman" w:eastAsia="等线" w:cs="Times New Roman"/>
          <w:color w:val="333333"/>
          <w:kern w:val="0"/>
          <w:sz w:val="30"/>
          <w:szCs w:val="30"/>
          <w:shd w:val="clear" w:fill="FFFFFF"/>
          <w:lang w:val="en-US" w:eastAsia="zh-CN" w:bidi="ar"/>
        </w:rPr>
      </w:pPr>
    </w:p>
    <w:p>
      <w:pPr>
        <w:keepNext w:val="0"/>
        <w:keepLines w:val="0"/>
        <w:widowControl/>
        <w:suppressLineNumbers w:val="0"/>
        <w:shd w:val="clear" w:fill="FFFFFF"/>
        <w:spacing w:before="0" w:beforeAutospacing="0" w:after="0" w:afterAutospacing="0" w:line="500" w:lineRule="atLeast"/>
        <w:ind w:left="0" w:right="0" w:firstLine="645"/>
        <w:jc w:val="left"/>
        <w:rPr>
          <w:rFonts w:hint="default" w:ascii="Times New Roman" w:hAnsi="Times New Roman" w:eastAsia="寰蒋闆呴粦" w:cs="Times New Roman"/>
          <w:color w:val="333333"/>
          <w:kern w:val="0"/>
          <w:szCs w:val="21"/>
          <w:shd w:val="clear" w:fill="FFFFFF"/>
          <w:lang w:val="en-US"/>
        </w:rPr>
      </w:pPr>
      <w:r>
        <w:rPr>
          <w:rFonts w:hint="default" w:ascii="等线" w:hAnsi="Times New Roman" w:eastAsia="等线" w:cs="Times New Roman"/>
          <w:color w:val="333333"/>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500" w:lineRule="atLeast"/>
        <w:ind w:left="0" w:right="0" w:firstLine="645"/>
        <w:jc w:val="left"/>
        <w:rPr>
          <w:rFonts w:hint="default" w:ascii="Times New Roman" w:hAnsi="Times New Roman" w:eastAsia="寰蒋闆呴粦" w:cs="Times New Roman"/>
          <w:color w:val="333333"/>
          <w:kern w:val="0"/>
          <w:szCs w:val="21"/>
          <w:shd w:val="clear" w:fill="FFFFFF"/>
          <w:lang w:val="en-US"/>
        </w:rPr>
      </w:pPr>
      <w:r>
        <w:rPr>
          <w:rFonts w:hint="default" w:ascii="等线" w:hAnsi="Times New Roman" w:eastAsia="等线" w:cs="Times New Roman"/>
          <w:color w:val="333333"/>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500" w:lineRule="atLeast"/>
        <w:ind w:left="0" w:right="0" w:firstLine="5400"/>
        <w:jc w:val="left"/>
        <w:rPr>
          <w:rFonts w:hint="default" w:ascii="Times New Roman" w:hAnsi="Times New Roman" w:eastAsia="寰蒋闆呴粦" w:cs="Times New Roman"/>
          <w:color w:val="333333"/>
          <w:kern w:val="0"/>
          <w:szCs w:val="21"/>
          <w:shd w:val="clear" w:fill="FFFFFF"/>
          <w:lang w:val="en-US"/>
        </w:rPr>
      </w:pPr>
      <w:r>
        <w:rPr>
          <w:rFonts w:hint="default" w:ascii="等线" w:hAnsi="Times New Roman" w:eastAsia="等线" w:cs="Times New Roman"/>
          <w:color w:val="333333"/>
          <w:kern w:val="0"/>
          <w:sz w:val="30"/>
          <w:szCs w:val="30"/>
          <w:shd w:val="clear" w:fill="FFFFFF"/>
          <w:lang w:val="en-US" w:eastAsia="zh-CN" w:bidi="ar"/>
        </w:rPr>
        <w:t>                   </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寰蒋闆呴粦">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12F54"/>
    <w:multiLevelType w:val="singleLevel"/>
    <w:tmpl w:val="E4F12F54"/>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8434CE"/>
    <w:multiLevelType w:val="singleLevel"/>
    <w:tmpl w:val="698434C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YWM3MTVlYjIyNmZmYjg4M2Y5MDQ4MDhkYWYyYT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A17DD"/>
    <w:rsid w:val="00FB462F"/>
    <w:rsid w:val="00FE16FA"/>
    <w:rsid w:val="00FE328A"/>
    <w:rsid w:val="00FE6269"/>
    <w:rsid w:val="00FF5CD6"/>
    <w:rsid w:val="04553F6E"/>
    <w:rsid w:val="0A414AB4"/>
    <w:rsid w:val="0A721F12"/>
    <w:rsid w:val="0B697AD8"/>
    <w:rsid w:val="0C194A5A"/>
    <w:rsid w:val="0F513F0E"/>
    <w:rsid w:val="12107727"/>
    <w:rsid w:val="125753AD"/>
    <w:rsid w:val="1351674B"/>
    <w:rsid w:val="19C55D17"/>
    <w:rsid w:val="1F417171"/>
    <w:rsid w:val="21AC06A5"/>
    <w:rsid w:val="273F1CAA"/>
    <w:rsid w:val="2C892620"/>
    <w:rsid w:val="2F572518"/>
    <w:rsid w:val="2FC8743B"/>
    <w:rsid w:val="35E509EC"/>
    <w:rsid w:val="388E7474"/>
    <w:rsid w:val="39F727BE"/>
    <w:rsid w:val="3C243C4B"/>
    <w:rsid w:val="3D28784C"/>
    <w:rsid w:val="3E7D521D"/>
    <w:rsid w:val="3F197278"/>
    <w:rsid w:val="3FFF47B3"/>
    <w:rsid w:val="488E3185"/>
    <w:rsid w:val="497214C4"/>
    <w:rsid w:val="4CCE3B5E"/>
    <w:rsid w:val="4DFA3AAD"/>
    <w:rsid w:val="517C1DDB"/>
    <w:rsid w:val="540F68E3"/>
    <w:rsid w:val="58580D56"/>
    <w:rsid w:val="5A85738C"/>
    <w:rsid w:val="5AF90989"/>
    <w:rsid w:val="61035C39"/>
    <w:rsid w:val="635A4F4C"/>
    <w:rsid w:val="691602F4"/>
    <w:rsid w:val="69163542"/>
    <w:rsid w:val="6A2B3F45"/>
    <w:rsid w:val="6EAB3BD4"/>
    <w:rsid w:val="6F677E76"/>
    <w:rsid w:val="724B66A3"/>
    <w:rsid w:val="73BE3A62"/>
    <w:rsid w:val="742E22AA"/>
    <w:rsid w:val="75AF457A"/>
    <w:rsid w:val="76D25CE3"/>
    <w:rsid w:val="77AC6F6D"/>
    <w:rsid w:val="7BFF12C3"/>
    <w:rsid w:val="7F79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7164</Words>
  <Characters>7613</Characters>
  <Lines>69</Lines>
  <Paragraphs>19</Paragraphs>
  <TotalTime>5</TotalTime>
  <ScaleCrop>false</ScaleCrop>
  <LinksUpToDate>false</LinksUpToDate>
  <CharactersWithSpaces>7661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lenovo</cp:lastModifiedBy>
  <cp:lastPrinted>2022-07-27T12:55:00Z</cp:lastPrinted>
  <dcterms:modified xsi:type="dcterms:W3CDTF">2023-09-19T07:43:07Z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BB9B229AE5FB4B2B8D7ACCC439E725DC</vt:lpwstr>
  </property>
</Properties>
</file>