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lang w:eastAsia="zh-CN"/>
        </w:rPr>
        <w:t>益阳市赫山区</w:t>
      </w: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教育系统（汇总）部门决算</w:t>
      </w:r>
    </w:p>
    <w:p>
      <w:pPr>
        <w:pStyle w:val="9"/>
        <w:jc w:val="center"/>
        <w:rPr>
          <w:rFonts w:hint="eastAsia" w:ascii="方正小标宋_GBK" w:hAnsi="方正小标宋_GBK" w:eastAsia="方正小标宋_GBK" w:cs="方正小标宋_GBK"/>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both"/>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赫山区教育系统（汇总）</w:t>
      </w:r>
      <w:r>
        <w:rPr>
          <w:rFonts w:hint="eastAsia" w:hAnsi="黑体" w:cs="黑体"/>
          <w:b w:val="0"/>
          <w:bCs/>
          <w:sz w:val="28"/>
          <w:szCs w:val="28"/>
          <w:lang w:eastAsia="zh-CN"/>
        </w:rPr>
        <w:t>单位</w:t>
      </w:r>
      <w:r>
        <w:rPr>
          <w:rFonts w:hint="eastAsia" w:ascii="黑体" w:hAnsi="黑体" w:eastAsia="黑体" w:cs="黑体"/>
          <w:b w:val="0"/>
          <w:bCs/>
          <w:sz w:val="28"/>
          <w:szCs w:val="28"/>
        </w:rPr>
        <w:t>概况</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9"/>
        <w:spacing w:line="500" w:lineRule="exact"/>
        <w:rPr>
          <w:sz w:val="72"/>
          <w:szCs w:val="72"/>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both"/>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教育系统（汇总）概况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0"/>
        <w:numPr>
          <w:ilvl w:val="0"/>
          <w:numId w:val="0"/>
        </w:numPr>
        <w:ind w:leftChars="0"/>
        <w:jc w:val="left"/>
        <w:rPr>
          <w:rFonts w:hint="eastAsia" w:ascii="Times New Roman" w:hAnsi="Times New Roman" w:eastAsia="仿宋_GB2312" w:cs="仿宋_GB2312"/>
          <w:sz w:val="32"/>
          <w:szCs w:val="32"/>
        </w:rPr>
      </w:pPr>
    </w:p>
    <w:p>
      <w:pPr>
        <w:pStyle w:val="10"/>
        <w:numPr>
          <w:ilvl w:val="0"/>
          <w:numId w:val="0"/>
        </w:numPr>
        <w:ind w:leftChars="0"/>
        <w:jc w:val="left"/>
        <w:rPr>
          <w:rFonts w:hint="eastAsia" w:ascii="Times New Roman" w:hAnsi="Times New Roman" w:eastAsia="仿宋_GB2312" w:cs="仿宋_GB2312"/>
          <w:sz w:val="32"/>
          <w:szCs w:val="32"/>
        </w:rPr>
      </w:pPr>
    </w:p>
    <w:p>
      <w:pPr>
        <w:pStyle w:val="10"/>
        <w:numPr>
          <w:ilvl w:val="0"/>
          <w:numId w:val="1"/>
        </w:numPr>
        <w:ind w:firstLineChars="0"/>
        <w:jc w:val="left"/>
        <w:rPr>
          <w:rFonts w:hint="eastAsia" w:ascii="Times New Roman" w:hAnsi="Times New Roman" w:eastAsia="仿宋_GB2312" w:cs="仿宋_GB2312"/>
          <w:sz w:val="32"/>
          <w:szCs w:val="32"/>
        </w:rPr>
      </w:pPr>
      <w:r>
        <w:rPr>
          <w:rFonts w:hint="eastAsia" w:ascii="黑体" w:hAnsi="黑体" w:eastAsia="黑体" w:cs="黑体"/>
          <w:b w:val="0"/>
          <w:bCs w:val="0"/>
          <w:sz w:val="32"/>
          <w:szCs w:val="32"/>
        </w:rPr>
        <w:t>部门职责</w:t>
      </w:r>
    </w:p>
    <w:p>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（一）贯彻执行教育工作的方针、政策和法律、法规；拟定全区教育工作的政策和地方性法规、规章草案，报审通过后实施并监督实施</w:t>
      </w:r>
      <w:r>
        <w:rPr>
          <w:rFonts w:hint="eastAsia" w:ascii="Times New Roman" w:hAnsi="Times New Roman" w:eastAsia="仿宋_GB2312" w:cs="仿宋_GB2312"/>
          <w:bCs/>
          <w:kern w:val="0"/>
          <w:sz w:val="32"/>
          <w:szCs w:val="32"/>
          <w:lang w:eastAsia="zh-CN"/>
        </w:rPr>
        <w:t>。</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（二）制定全区教育事业发展规划；制定教育事业发展的年度计划和招生计划；拟定教育体制改革的政策和教育事业的发展重点、结构、速度，指导并协调实施。</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（三）</w:t>
      </w:r>
      <w:r>
        <w:rPr>
          <w:rFonts w:hint="eastAsia" w:ascii="Times New Roman" w:hAnsi="Times New Roman" w:eastAsia="仿宋_GB2312" w:cs="仿宋_GB2312"/>
          <w:bCs/>
          <w:kern w:val="0"/>
          <w:sz w:val="32"/>
          <w:szCs w:val="32"/>
        </w:rPr>
        <w:t>管理全区学前教育、基础教育、高中阶段教育、职业技术教育、社区教育；管理辖区内公、民办学校的设置、更名、撤消与调整；管理局属单位；制定全区各类中小学校、教师学习与资源中心及局属事业单位的评价、评估标准；指导协调对口支教工作。</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（四）</w:t>
      </w:r>
      <w:r>
        <w:rPr>
          <w:rFonts w:hint="eastAsia" w:ascii="Times New Roman" w:hAnsi="Times New Roman" w:eastAsia="仿宋_GB2312" w:cs="仿宋_GB2312"/>
          <w:bCs/>
          <w:kern w:val="0"/>
          <w:sz w:val="32"/>
          <w:szCs w:val="32"/>
        </w:rPr>
        <w:t>统筹管理本部门教育经费；牵头负责教育经费的筹措和使用；执行各级各类教育经费的收费标准；拟定筹措教育经费、教育拨款、教育基建投资的方案和措施；负责局属单位基建、校舍、地产管理工作及对局属单位经费收支的审计监督。</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（五）</w:t>
      </w:r>
      <w:r>
        <w:rPr>
          <w:rFonts w:hint="eastAsia" w:ascii="Times New Roman" w:hAnsi="Times New Roman" w:eastAsia="仿宋_GB2312" w:cs="仿宋_GB2312"/>
          <w:bCs/>
          <w:kern w:val="0"/>
          <w:sz w:val="32"/>
          <w:szCs w:val="32"/>
        </w:rPr>
        <w:t>负责系统单位编制、劳动工资和人事工作，负责系统单位的人员招录、聘任工作；管理、指导、培训全区教职工和教育行政部门干部；实施教师继续教育、资格认定和专业技术职务资格评审工作；指导学校内部管理体制改革。</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（六）</w:t>
      </w:r>
      <w:r>
        <w:rPr>
          <w:rFonts w:hint="eastAsia" w:ascii="Times New Roman" w:hAnsi="Times New Roman" w:eastAsia="仿宋_GB2312" w:cs="仿宋_GB2312"/>
          <w:bCs/>
          <w:kern w:val="0"/>
          <w:sz w:val="32"/>
          <w:szCs w:val="32"/>
        </w:rPr>
        <w:t>管理、指导系统单位和学校的党建工作、党风廉政建设和反腐败工作、思想政治工作、德育工作、体育、卫生、艺术及国防教育工作、精神文明建设工作、综合治理工作以及群团组织的相关工作。</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（七）</w:t>
      </w:r>
      <w:r>
        <w:rPr>
          <w:rFonts w:hint="eastAsia" w:ascii="Times New Roman" w:hAnsi="Times New Roman" w:eastAsia="仿宋_GB2312" w:cs="仿宋_GB2312"/>
          <w:bCs/>
          <w:kern w:val="0"/>
          <w:sz w:val="32"/>
          <w:szCs w:val="32"/>
        </w:rPr>
        <w:t>组织和指导全区教育体制改革、教育教学改革、教育教学科研及教育研究成果的推广、转化工作。</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（八）</w:t>
      </w:r>
      <w:r>
        <w:rPr>
          <w:rFonts w:hint="eastAsia" w:ascii="Times New Roman" w:hAnsi="Times New Roman" w:eastAsia="仿宋_GB2312" w:cs="仿宋_GB2312"/>
          <w:bCs/>
          <w:kern w:val="0"/>
          <w:sz w:val="32"/>
          <w:szCs w:val="32"/>
        </w:rPr>
        <w:t>负责对乡、镇的教育工作和所属学校的工作进行教育督导和评估。</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（九）</w:t>
      </w:r>
      <w:r>
        <w:rPr>
          <w:rFonts w:hint="eastAsia" w:ascii="Times New Roman" w:hAnsi="Times New Roman" w:eastAsia="仿宋_GB2312" w:cs="仿宋_GB2312"/>
          <w:bCs/>
          <w:kern w:val="0"/>
          <w:sz w:val="32"/>
          <w:szCs w:val="32"/>
        </w:rPr>
        <w:t>负责全区教育系统基本信息的采集、统计、分析及信息系统的开发和建设工作。</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（十）</w:t>
      </w:r>
      <w:r>
        <w:rPr>
          <w:rFonts w:hint="eastAsia" w:ascii="Times New Roman" w:hAnsi="Times New Roman" w:eastAsia="仿宋_GB2312" w:cs="仿宋_GB2312"/>
          <w:bCs/>
          <w:kern w:val="0"/>
          <w:sz w:val="32"/>
          <w:szCs w:val="32"/>
        </w:rPr>
        <w:t>负责全系统教育技术装备规划，指导并协助教学仪器设备、图书、信息技术和现代远程教育设备等的政府采购和政府监督管理，负责教育技术培训工作。</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（十一）</w:t>
      </w:r>
      <w:r>
        <w:rPr>
          <w:rFonts w:hint="eastAsia" w:ascii="Times New Roman" w:hAnsi="Times New Roman" w:eastAsia="仿宋_GB2312" w:cs="仿宋_GB2312"/>
          <w:bCs/>
          <w:kern w:val="0"/>
          <w:sz w:val="32"/>
          <w:szCs w:val="32"/>
        </w:rPr>
        <w:t>管理、指导并协调全区教育系统的外事工作。</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（十二）</w:t>
      </w:r>
      <w:r>
        <w:rPr>
          <w:rFonts w:hint="eastAsia" w:ascii="Times New Roman" w:hAnsi="Times New Roman" w:eastAsia="仿宋_GB2312" w:cs="仿宋_GB2312"/>
          <w:bCs/>
          <w:kern w:val="0"/>
          <w:sz w:val="32"/>
          <w:szCs w:val="32"/>
        </w:rPr>
        <w:t>承办区委、区政府交办的其它事项。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（一）内设机构设置。益阳市赫山区教育局机关共有内设股室 10 个（办公室、人事股、基础教育股、职业教育与成人教育股、计划财务股、安全法制股、审计股、党建工作办公室、行政审批服务股、纪检监察室）。挂扣股室 8 个（区委教育工作领导小组秘书组秘书室、学前教育股、民办教育管理办公室、教师工作站、基建管理站、招商办、校车安全管理办公室、阳光服务中心）。下设未独立核算的二级机构 6 个（招生考试中心、教育信息化中心、学生资助中心、教育后勤服务中心、教育集中支付中心、教育物资采购和国有资产管理中心）。</w:t>
      </w:r>
    </w:p>
    <w:p>
      <w:pPr>
        <w:keepNext w:val="0"/>
        <w:keepLines w:val="0"/>
        <w:widowControl/>
        <w:suppressLineNumbers w:val="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（二）决算单位构成。区教育局 2021 年部门决算汇总公开单位构成包括（本年新增益阳市赫山区</w:t>
      </w:r>
      <w:r>
        <w:rPr>
          <w:rFonts w:hint="eastAsia" w:ascii="Times New Roman" w:hAnsi="Times New Roman" w:eastAsia="仿宋_GB2312" w:cs="仿宋_GB2312"/>
          <w:bCs/>
          <w:kern w:val="0"/>
          <w:sz w:val="32"/>
          <w:szCs w:val="32"/>
          <w:lang w:eastAsia="zh-CN"/>
        </w:rPr>
        <w:t>凤山</w:t>
      </w:r>
      <w:r>
        <w:rPr>
          <w:rFonts w:hint="eastAsia" w:ascii="Times New Roman" w:hAnsi="Times New Roman" w:eastAsia="仿宋_GB2312" w:cs="仿宋_GB2312"/>
          <w:bCs/>
          <w:kern w:val="0"/>
          <w:sz w:val="32"/>
          <w:szCs w:val="32"/>
        </w:rPr>
        <w:t>小学和</w:t>
      </w:r>
      <w:r>
        <w:rPr>
          <w:rFonts w:hint="eastAsia" w:ascii="Times New Roman" w:hAnsi="Times New Roman" w:eastAsia="仿宋_GB2312" w:cs="仿宋_GB2312"/>
          <w:bCs/>
          <w:kern w:val="0"/>
          <w:sz w:val="32"/>
          <w:szCs w:val="32"/>
          <w:lang w:eastAsia="zh-CN"/>
        </w:rPr>
        <w:t>世通</w:t>
      </w:r>
      <w:r>
        <w:rPr>
          <w:rFonts w:hint="eastAsia" w:ascii="Times New Roman" w:hAnsi="Times New Roman" w:eastAsia="仿宋_GB2312" w:cs="仿宋_GB2312"/>
          <w:bCs/>
          <w:kern w:val="0"/>
          <w:sz w:val="32"/>
          <w:szCs w:val="32"/>
        </w:rPr>
        <w:t>学校两个决算单位</w:t>
      </w:r>
      <w:r>
        <w:rPr>
          <w:rFonts w:hint="eastAsia" w:ascii="Times New Roman" w:hAnsi="Times New Roman" w:eastAsia="仿宋_GB2312" w:cs="仿宋_GB2312"/>
          <w:bCs/>
          <w:kern w:val="0"/>
          <w:sz w:val="32"/>
          <w:szCs w:val="32"/>
          <w:lang w:eastAsia="zh-CN"/>
        </w:rPr>
        <w:t>，减少益阳市赫山区实验学校、</w:t>
      </w:r>
      <w:r>
        <w:rPr>
          <w:rFonts w:ascii="仿宋" w:hAnsi="仿宋" w:eastAsia="仿宋" w:cs="仿宋"/>
          <w:color w:val="000000"/>
          <w:kern w:val="0"/>
          <w:sz w:val="32"/>
          <w:szCs w:val="32"/>
          <w:lang w:val="en-US" w:eastAsia="zh-CN" w:bidi="ar"/>
        </w:rPr>
        <w:t>益阳市卫生职业技术学校</w:t>
      </w:r>
      <w:r>
        <w:rPr>
          <w:rFonts w:hint="eastAsia" w:ascii="Times New Roman" w:hAnsi="Times New Roman" w:eastAsia="仿宋_GB2312" w:cs="仿宋_GB2312"/>
          <w:bCs/>
          <w:kern w:val="0"/>
          <w:sz w:val="32"/>
          <w:szCs w:val="32"/>
        </w:rPr>
        <w:t>）：</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1.益阳市赫山区教育局（本级）</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2.益阳市赫山区教育科学研究培训中心</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3.益阳市赫山区仪器电教站</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4.益阳市赫山区教育局体育卫生保健所</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5.益阳市赫山区</w:t>
      </w:r>
      <w:r>
        <w:rPr>
          <w:rFonts w:hint="eastAsia" w:ascii="Times New Roman" w:hAnsi="Times New Roman" w:eastAsia="仿宋_GB2312" w:cs="仿宋_GB2312"/>
          <w:bCs/>
          <w:kern w:val="0"/>
          <w:sz w:val="32"/>
          <w:szCs w:val="32"/>
          <w:lang w:eastAsia="zh-CN"/>
        </w:rPr>
        <w:t>世通</w:t>
      </w:r>
      <w:r>
        <w:rPr>
          <w:rFonts w:hint="eastAsia" w:ascii="Times New Roman" w:hAnsi="Times New Roman" w:eastAsia="仿宋_GB2312" w:cs="仿宋_GB2312"/>
          <w:bCs/>
          <w:kern w:val="0"/>
          <w:sz w:val="32"/>
          <w:szCs w:val="32"/>
        </w:rPr>
        <w:t>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6.益阳市赫山区朝阳中心学校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7.益阳市赫山区直属机关幼儿园</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8.益阳市赫山区赫山中学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9.益阳市赫山区三里桥小学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10.益阳市赫山第一完全小学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11.益阳市赫山区龙岭学校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12.益阳市赫山区泥江口镇中心学校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13.益阳市赫山区桃花仑小学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14.益阳市赫山区曙光小学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15.益阳师范附属小学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16.益阳市赫山区第二完全小学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17.益阳市赫山区金银山学校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18.益阳市赫山区龙光桥镇中心学校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19.益阳市沧水铺镇中心学校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20.益阳市赫山区兰溪镇中心学校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21.益阳市赫山区黄泥湖学校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22.益阳市</w:t>
      </w:r>
      <w:r>
        <w:rPr>
          <w:rFonts w:hint="eastAsia" w:ascii="Times New Roman" w:hAnsi="Times New Roman" w:eastAsia="仿宋_GB2312" w:cs="仿宋_GB2312"/>
          <w:bCs/>
          <w:kern w:val="0"/>
          <w:sz w:val="32"/>
          <w:szCs w:val="32"/>
          <w:lang w:eastAsia="zh-CN"/>
        </w:rPr>
        <w:t>赫山区凤山小学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23.益阳市赫山区八字哨镇中心学校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24.益阳市赫山区岳家桥镇中心学校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25.益阳市赫山区笔架山乡中心学校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26.益阳市赫山区新市渡镇中心学校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27.益阳市赫山区衡龙桥镇中心学校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28.益阳市综合职业中等专业学校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29.益阳市第十三中学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30.益阳市第十六中学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31.益阳市第十五中学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32.益阳市箴言中学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33.益阳市第十七中学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34.益阳市赫山区秀峰路学校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35.益阳市赫山区欧江岔镇中心学校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36.益阳市赫山区泉交河镇中心学校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37.益阳市赫山区龙洲幼儿园</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38.益阳市赫山区志溪河学校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39.益阳市赫山区谢林港镇中心学校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40.益阳市赫山区龙洲中学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41.益阳市赫山区梓山湖学校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42.益阳市赫山区龙洲小学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43.益阳市赫山区迎宾小学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44.益阳市赫山区梓山苑小学</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45.益阳市赫山区紫竹学校</w:t>
      </w:r>
    </w:p>
    <w:p>
      <w:pPr>
        <w:keepNext w:val="0"/>
        <w:keepLines w:val="0"/>
        <w:pageBreakBefore w:val="0"/>
        <w:widowControl/>
        <w:suppressLineNumbers w:val="0"/>
        <w:kinsoku/>
        <w:wordWrap/>
        <w:overflowPunct/>
        <w:topLinePunct w:val="0"/>
        <w:autoSpaceDE/>
        <w:autoSpaceDN/>
        <w:bidi w:val="0"/>
        <w:adjustRightInd/>
        <w:snapToGrid/>
        <w:ind w:firstLine="2080" w:firstLineChars="65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46.益阳市赫山区丁香小学</w:t>
      </w:r>
    </w:p>
    <w:p>
      <w:pPr>
        <w:keepNext w:val="0"/>
        <w:keepLines w:val="0"/>
        <w:pageBreakBefore w:val="0"/>
        <w:kinsoku/>
        <w:wordWrap/>
        <w:overflowPunct/>
        <w:topLinePunct w:val="0"/>
        <w:autoSpaceDE/>
        <w:autoSpaceDN/>
        <w:bidi w:val="0"/>
        <w:adjustRightInd/>
        <w:snapToGrid/>
        <w:ind w:firstLine="1820" w:firstLineChars="650"/>
        <w:jc w:val="left"/>
        <w:textAlignment w:val="auto"/>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sectPr>
          <w:pgSz w:w="11906" w:h="16838"/>
          <w:pgMar w:top="720" w:right="720" w:bottom="720" w:left="720" w:header="851" w:footer="992" w:gutter="0"/>
          <w:cols w:space="425" w:num="1"/>
          <w:docGrid w:type="lines" w:linePitch="312" w:charSpace="0"/>
        </w:sectPr>
      </w:pPr>
    </w:p>
    <w:tbl>
      <w:tblPr>
        <w:tblStyle w:val="5"/>
        <w:tblW w:w="14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02"/>
        <w:gridCol w:w="826"/>
        <w:gridCol w:w="1656"/>
        <w:gridCol w:w="4426"/>
        <w:gridCol w:w="826"/>
        <w:gridCol w:w="2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4470"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部门：湖南省益阳市赫山区教育局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110,293.19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1,073.95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3,987.47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13,145.31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128,499.92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128,499.92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5"/>
        <w:tblW w:w="15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6"/>
        <w:gridCol w:w="222"/>
        <w:gridCol w:w="222"/>
        <w:gridCol w:w="3566"/>
        <w:gridCol w:w="1572"/>
        <w:gridCol w:w="1344"/>
        <w:gridCol w:w="1050"/>
        <w:gridCol w:w="1192"/>
        <w:gridCol w:w="734"/>
        <w:gridCol w:w="828"/>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5462" w:type="dxa"/>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2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7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4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9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3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2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部门：湖南省益阳市赫山区教育局</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7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4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9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3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22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7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4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9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3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2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66"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9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3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2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66"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9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3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2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66"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9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3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2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22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7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22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128,499.92</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111,367.14</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3,987.47</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13,145.31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127,392.97</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110,260.19</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3,987.47</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935.19</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713.84</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474.04</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474.04</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其他教育管理事务支出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461.15</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239.80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118,761.94</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102,081.35</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3,756.63</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2,697.29</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2,072.78</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624.51</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597.47</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349.28</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5,676.49</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1,729.69</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1,949.14</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109,441.41</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98,081.88</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1,182.98</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2,629.84</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230.84</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2,629.84</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230.84</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城市基础设施配套费安排的支出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2121399</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其他城市基础设施配套费安排的支出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2210106</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公共租赁住房</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3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462"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5"/>
        <w:tblW w:w="147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6"/>
        <w:gridCol w:w="222"/>
        <w:gridCol w:w="222"/>
        <w:gridCol w:w="3602"/>
        <w:gridCol w:w="1644"/>
        <w:gridCol w:w="1472"/>
        <w:gridCol w:w="1266"/>
        <w:gridCol w:w="701"/>
        <w:gridCol w:w="699"/>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4724"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2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0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4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7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0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9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8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2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部门：湖南省益阳市赫山区教育局</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0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4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7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0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9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8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262"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4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7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6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0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9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02"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4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7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0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9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602"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4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7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0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9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602"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4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7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0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9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262"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4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262"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128,499.92</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118,282.07</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10,217.85</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127,392.97</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118,269.07</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9,123.90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935.19</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935.19</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474.04</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474.04</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其他教育管理事务支出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461.15</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461.15</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118,761.94</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114,377.63</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4,384.31</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2,697.29</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2,440.35</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256.94</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597.47</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587.47</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349.28</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328.28</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5,676.49</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5,676.49</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109,441.41</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105,345.03</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4,096.38</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2,629.84</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2,464.59</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165.25</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2,629.84</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2,464.59</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165.25</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491.67</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1,321.33</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491.67</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1,321.33</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城市基础设施配套费安排的支出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2121399</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其他城市基础设施配套费安排的支出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2210106</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公共租赁住房</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36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6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724"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5"/>
        <w:tblW w:w="156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86"/>
        <w:gridCol w:w="1524"/>
        <w:gridCol w:w="3552"/>
        <w:gridCol w:w="586"/>
        <w:gridCol w:w="1316"/>
        <w:gridCol w:w="1608"/>
        <w:gridCol w:w="154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5632"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部门：湖南省益阳市赫山区教育局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324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2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5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7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8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40"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2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5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0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7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8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110,293.19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1,073.95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110,260.19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110,260.19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111,367.14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111,367.14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110,293.19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111,367.14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111,367.14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110,293.19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5"/>
        <w:tblW w:w="145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6"/>
        <w:gridCol w:w="222"/>
        <w:gridCol w:w="222"/>
        <w:gridCol w:w="3614"/>
        <w:gridCol w:w="2352"/>
        <w:gridCol w:w="2664"/>
        <w:gridCol w:w="2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4534"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2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5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6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4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2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部门：湖南省益阳市赫山区教育局</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5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6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4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274"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6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5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6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4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3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35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4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35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4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274"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274"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110,293.19</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101,614.48</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110,260.19</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101,601.48</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713.84</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713.84</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474.04</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474.04</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其他教育管理事务支出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239.80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239.80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102,081.35</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98,162.23</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2,072.78</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1,815.84</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1,729.69</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1,729.69</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98,081.88</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94,450.69</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2,233.75</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2,233.75</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491.67</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491.67</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2210106</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公共租赁住房</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6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2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34"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5"/>
        <w:tblW w:w="15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6"/>
        <w:gridCol w:w="3156"/>
        <w:gridCol w:w="1332"/>
        <w:gridCol w:w="1128"/>
        <w:gridCol w:w="2148"/>
        <w:gridCol w:w="1176"/>
        <w:gridCol w:w="1308"/>
        <w:gridCol w:w="2700"/>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5518"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16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1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3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14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0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7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0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16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部门：湖南省益阳市赫山区教育局</w:t>
            </w:r>
          </w:p>
        </w:tc>
        <w:tc>
          <w:tcPr>
            <w:tcW w:w="31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3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14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0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7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0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654"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864"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5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2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4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30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0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0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15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3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14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80,115.16</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17,406.86</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37,908.14</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1,451.62</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4,289.26</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436.43</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350.56</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79.16</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15,301.03</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270.53</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7,661.75</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681.85</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570.81</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35.89</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7,341.86</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353.83</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409.51</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139.92</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5,966.76</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1,663.42</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72.37</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3,610.93</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193.62</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65.24</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580.60</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714.59</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7,151.89</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310.96</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1,917.03</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24.91</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114.62</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124.35</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1,585.59</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78.93</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338.67</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123.13</w:t>
            </w:r>
          </w:p>
        </w:tc>
        <w:tc>
          <w:tcPr>
            <w:tcW w:w="13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7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258.82</w:t>
            </w: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20.90</w:t>
            </w:r>
          </w:p>
        </w:tc>
        <w:tc>
          <w:tcPr>
            <w:tcW w:w="1308"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700"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6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156"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2,126.95</w:t>
            </w:r>
          </w:p>
        </w:tc>
        <w:tc>
          <w:tcPr>
            <w:tcW w:w="1308"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700"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22"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3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83,726.09</w:t>
            </w:r>
          </w:p>
        </w:tc>
        <w:tc>
          <w:tcPr>
            <w:tcW w:w="8460" w:type="dxa"/>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17,888.39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518"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5"/>
        <w:tblW w:w="151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6"/>
        <w:gridCol w:w="222"/>
        <w:gridCol w:w="222"/>
        <w:gridCol w:w="3956"/>
        <w:gridCol w:w="660"/>
        <w:gridCol w:w="1386"/>
        <w:gridCol w:w="1188"/>
        <w:gridCol w:w="1284"/>
        <w:gridCol w:w="1200"/>
        <w:gridCol w:w="1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5146"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2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8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8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12"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2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部门：湖南省益阳市赫山区教育局</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8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8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12"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8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672"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81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56"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8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8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8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0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1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8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8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8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8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6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1,073.95</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1,073.95</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1,073.95</w:t>
            </w:r>
          </w:p>
        </w:tc>
        <w:tc>
          <w:tcPr>
            <w:tcW w:w="18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1,068.00</w:t>
            </w:r>
          </w:p>
        </w:tc>
        <w:tc>
          <w:tcPr>
            <w:tcW w:w="18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8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8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城市基础设施配套费安排的支出</w:t>
            </w:r>
          </w:p>
        </w:tc>
        <w:tc>
          <w:tcPr>
            <w:tcW w:w="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18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其他城市基础设施配套费安排的支出</w:t>
            </w:r>
          </w:p>
        </w:tc>
        <w:tc>
          <w:tcPr>
            <w:tcW w:w="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w:t>
            </w:r>
          </w:p>
        </w:tc>
        <w:tc>
          <w:tcPr>
            <w:tcW w:w="18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8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8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8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8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95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95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146"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5"/>
        <w:tblW w:w="14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27"/>
        <w:gridCol w:w="237"/>
        <w:gridCol w:w="491"/>
        <w:gridCol w:w="1168"/>
        <w:gridCol w:w="2083"/>
        <w:gridCol w:w="3848"/>
        <w:gridCol w:w="3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4834"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427"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3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8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4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8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427"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部门：湖南省益阳市赫山区教育局</w:t>
            </w:r>
          </w:p>
        </w:tc>
        <w:tc>
          <w:tcPr>
            <w:tcW w:w="23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8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4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8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23"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511"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155"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68"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8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4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5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155"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68"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08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155"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68"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08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23"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8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23"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8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5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15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8"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0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15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8"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0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15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8"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0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15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8"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0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15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8"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0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15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8"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0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834"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keepNext w:val="0"/>
        <w:keepLines w:val="0"/>
        <w:widowControl/>
        <w:suppressLineNumbers w:val="0"/>
        <w:ind w:firstLine="880" w:firstLineChars="4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我单位没有国有资本经营预算财政拨款收入，也没有使用国有资本经营预算财政拨款资金安排的支出，故本表无数据。</w:t>
      </w: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5"/>
        <w:tblW w:w="15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2"/>
        <w:gridCol w:w="1404"/>
        <w:gridCol w:w="1008"/>
        <w:gridCol w:w="1152"/>
        <w:gridCol w:w="1704"/>
        <w:gridCol w:w="960"/>
        <w:gridCol w:w="1152"/>
        <w:gridCol w:w="1260"/>
        <w:gridCol w:w="948"/>
        <w:gridCol w:w="1392"/>
        <w:gridCol w:w="1440"/>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15318"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382"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4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0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4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382"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部门：湖南省益阳市赫山区教育局</w:t>
            </w:r>
          </w:p>
        </w:tc>
        <w:tc>
          <w:tcPr>
            <w:tcW w:w="14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0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4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0"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708"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82"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0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64"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5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8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5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382"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5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7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6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5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9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51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82"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4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9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8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5318"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jc w:val="left"/>
        <w:rPr>
          <w:rFonts w:asciiTheme="minorEastAsia" w:hAnsiTheme="minorEastAsia"/>
          <w:sz w:val="32"/>
          <w:szCs w:val="3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jc w:val="both"/>
        <w:rPr>
          <w:sz w:val="72"/>
          <w:szCs w:val="72"/>
        </w:rPr>
      </w:pPr>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第三部分</w:t>
      </w: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256999.84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17702.98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7.40</w:t>
      </w:r>
      <w:r>
        <w:rPr>
          <w:rFonts w:hint="eastAsia" w:ascii="Times New Roman" w:hAnsi="Times New Roman" w:eastAsia="仿宋_GB2312"/>
          <w:sz w:val="32"/>
          <w:szCs w:val="32"/>
        </w:rPr>
        <w:t>%，主要是因为一般公共预算财政拨款收入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政府性基金预算财政拨款收入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eastAsia="zh-CN"/>
        </w:rPr>
        <w:t>的增加；总体教育支出、城乡社区支出、住房保障支出的增加；人员经费及公用经费的投入增加；学校建设、信息化建设的投入增加；教育设备的采购支出增加。</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128499.92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111367.14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86.67</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3987.47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3.10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13145.31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10.23</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128499.92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118282.07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92.05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10217.85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7.95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9"/>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222734.28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6178.06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2.85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财政拨款收入的增加；财政拨款收入用于</w:t>
      </w:r>
      <w:r>
        <w:rPr>
          <w:rFonts w:hint="eastAsia" w:ascii="Times New Roman" w:hAnsi="Times New Roman" w:eastAsia="仿宋_GB2312"/>
          <w:sz w:val="32"/>
          <w:szCs w:val="32"/>
        </w:rPr>
        <w:t>建设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维修</w:t>
      </w:r>
      <w:r>
        <w:rPr>
          <w:rFonts w:hint="eastAsia" w:ascii="Times New Roman" w:hAnsi="Times New Roman" w:eastAsia="仿宋_GB2312"/>
          <w:sz w:val="32"/>
          <w:szCs w:val="32"/>
          <w:lang w:eastAsia="zh-CN"/>
        </w:rPr>
        <w:t>龙州中学、箴言书院、十七中、芙蓉学校、凤山</w:t>
      </w:r>
      <w:r>
        <w:rPr>
          <w:rFonts w:hint="eastAsia" w:ascii="Times New Roman" w:hAnsi="Times New Roman" w:eastAsia="仿宋_GB2312"/>
          <w:sz w:val="32"/>
          <w:szCs w:val="32"/>
        </w:rPr>
        <w:t>学校</w:t>
      </w:r>
      <w:r>
        <w:rPr>
          <w:rFonts w:hint="eastAsia" w:ascii="Times New Roman" w:hAnsi="Times New Roman" w:eastAsia="仿宋_GB2312"/>
          <w:sz w:val="32"/>
          <w:szCs w:val="32"/>
          <w:lang w:eastAsia="zh-CN"/>
        </w:rPr>
        <w:t>、世通学校、中职学校的经费增加；财政拨款收入用于信息化建设的经费增加；财政拨款收入用于教学设备的采购支出增加</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110293.19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85.83</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2071.08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1.91</w:t>
      </w:r>
      <w:r>
        <w:rPr>
          <w:rFonts w:hint="eastAsia" w:ascii="Times New Roman" w:hAnsi="Times New Roman" w:eastAsia="仿宋_GB2312"/>
          <w:sz w:val="32"/>
          <w:szCs w:val="32"/>
        </w:rPr>
        <w:t>%，主要是因为一般公共预算</w:t>
      </w:r>
      <w:r>
        <w:rPr>
          <w:rFonts w:hint="eastAsia" w:ascii="Times New Roman" w:hAnsi="Times New Roman" w:eastAsia="仿宋_GB2312"/>
          <w:sz w:val="32"/>
          <w:szCs w:val="32"/>
          <w:lang w:eastAsia="zh-CN"/>
        </w:rPr>
        <w:t>财政拨款用于普通教育、职业教育、其他教育方面的支出增加，一般公共预算财政拨款用于</w:t>
      </w:r>
      <w:r>
        <w:rPr>
          <w:rFonts w:hint="eastAsia" w:ascii="Times New Roman" w:hAnsi="Times New Roman" w:eastAsia="仿宋_GB2312"/>
          <w:sz w:val="32"/>
          <w:szCs w:val="32"/>
        </w:rPr>
        <w:t>建设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维修</w:t>
      </w:r>
      <w:r>
        <w:rPr>
          <w:rFonts w:hint="eastAsia" w:ascii="Times New Roman" w:hAnsi="Times New Roman" w:eastAsia="仿宋_GB2312"/>
          <w:sz w:val="32"/>
          <w:szCs w:val="32"/>
          <w:lang w:eastAsia="zh-CN"/>
        </w:rPr>
        <w:t>龙州中学、箴言书院、十七中、芙蓉学校、凤山</w:t>
      </w:r>
      <w:r>
        <w:rPr>
          <w:rFonts w:hint="eastAsia" w:ascii="Times New Roman" w:hAnsi="Times New Roman" w:eastAsia="仿宋_GB2312"/>
          <w:sz w:val="32"/>
          <w:szCs w:val="32"/>
        </w:rPr>
        <w:t>学校</w:t>
      </w:r>
      <w:r>
        <w:rPr>
          <w:rFonts w:hint="eastAsia" w:ascii="Times New Roman" w:hAnsi="Times New Roman" w:eastAsia="仿宋_GB2312"/>
          <w:sz w:val="32"/>
          <w:szCs w:val="32"/>
          <w:lang w:eastAsia="zh-CN"/>
        </w:rPr>
        <w:t>、世通学校、中职学校经费的增加；班班通信息化设备的采购；教学设备的采购。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110293.19</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0.003</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110260.19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99.97</w:t>
      </w:r>
      <w:r>
        <w:rPr>
          <w:rFonts w:hint="eastAsia" w:ascii="Times New Roman" w:hAnsi="Times New Roman" w:eastAsia="仿宋_GB2312"/>
          <w:sz w:val="32"/>
          <w:szCs w:val="32"/>
        </w:rPr>
        <w:t>%;文化旅游体育与传媒</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20万元，占0.018%；</w:t>
      </w:r>
      <w:r>
        <w:rPr>
          <w:rFonts w:hint="eastAsia" w:ascii="Times New Roman" w:hAnsi="Times New Roman" w:eastAsia="仿宋_GB2312"/>
          <w:sz w:val="32"/>
          <w:szCs w:val="32"/>
        </w:rPr>
        <w:t>住房保障</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10万元，占0.009%。</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年度财政拨款支出年初预算数为82192.79万元，支出决算数为</w:t>
      </w:r>
      <w:r>
        <w:rPr>
          <w:rFonts w:hint="eastAsia" w:ascii="Times New Roman" w:hAnsi="Times New Roman" w:eastAsia="仿宋_GB2312"/>
          <w:sz w:val="32"/>
          <w:szCs w:val="32"/>
          <w:lang w:val="en-US" w:eastAsia="zh-CN"/>
        </w:rPr>
        <w:t>110293.19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134.19</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1、一般公共服务（类）财政事务（款）其他财政事务支出（项）。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对梓山苑小学的建设追加投入。</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2、教育支出（类）教育管理事务（款）行政运行（项）。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万元，支出决算为474.04万元，决算数大于年初预算数的主要原因是：部</w:t>
      </w:r>
      <w:r>
        <w:rPr>
          <w:rFonts w:hint="eastAsia" w:ascii="Times New Roman" w:hAnsi="Times New Roman" w:eastAsia="仿宋_GB2312"/>
          <w:sz w:val="32"/>
          <w:szCs w:val="32"/>
          <w:lang w:eastAsia="zh-CN"/>
        </w:rPr>
        <w:t>分</w:t>
      </w:r>
      <w:r>
        <w:rPr>
          <w:rFonts w:hint="eastAsia" w:ascii="Times New Roman" w:hAnsi="Times New Roman" w:eastAsia="仿宋_GB2312"/>
          <w:sz w:val="32"/>
          <w:szCs w:val="32"/>
        </w:rPr>
        <w:t>人员经费</w:t>
      </w:r>
      <w:r>
        <w:rPr>
          <w:rFonts w:hint="eastAsia" w:ascii="Times New Roman" w:hAnsi="Times New Roman" w:eastAsia="仿宋_GB2312"/>
          <w:sz w:val="32"/>
          <w:szCs w:val="32"/>
          <w:lang w:eastAsia="zh-CN"/>
        </w:rPr>
        <w:t>、公用经费</w:t>
      </w:r>
      <w:r>
        <w:rPr>
          <w:rFonts w:hint="eastAsia" w:ascii="Times New Roman" w:hAnsi="Times New Roman" w:eastAsia="仿宋_GB2312"/>
          <w:sz w:val="32"/>
          <w:szCs w:val="32"/>
        </w:rPr>
        <w:t>支出年初预算安排在“社会保障和就业支出（类）行政事业单位养老支出（款）机关事业单位基本养老保险缴费支出（项）”，决算时调整至该项核算。</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、教育支出（类）教育管理事务（款）其他教育管理事务支出（项）。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万元，支出决算为239.8万元，完成年初预算的</w:t>
      </w:r>
      <w:r>
        <w:rPr>
          <w:rFonts w:hint="eastAsia" w:ascii="Times New Roman" w:hAnsi="Times New Roman" w:eastAsia="仿宋_GB2312"/>
          <w:sz w:val="32"/>
          <w:szCs w:val="32"/>
          <w:lang w:val="en-US" w:eastAsia="zh-CN"/>
        </w:rPr>
        <w:t>4796</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部分</w:t>
      </w:r>
      <w:r>
        <w:rPr>
          <w:rFonts w:hint="eastAsia" w:ascii="Times New Roman" w:hAnsi="Times New Roman" w:eastAsia="仿宋_GB2312"/>
          <w:sz w:val="32"/>
          <w:szCs w:val="32"/>
        </w:rPr>
        <w:t>人员经费</w:t>
      </w:r>
      <w:r>
        <w:rPr>
          <w:rFonts w:hint="eastAsia" w:ascii="Times New Roman" w:hAnsi="Times New Roman" w:eastAsia="仿宋_GB2312"/>
          <w:sz w:val="32"/>
          <w:szCs w:val="32"/>
          <w:lang w:eastAsia="zh-CN"/>
        </w:rPr>
        <w:t>、机关事业单位基本养老保险</w:t>
      </w:r>
      <w:r>
        <w:rPr>
          <w:rFonts w:hint="eastAsia" w:ascii="Times New Roman" w:hAnsi="Times New Roman" w:eastAsia="仿宋_GB2312"/>
          <w:sz w:val="32"/>
          <w:szCs w:val="32"/>
        </w:rPr>
        <w:t>支出年初预算安排在“</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行政事业单位养老支出</w:t>
      </w:r>
      <w:r>
        <w:rPr>
          <w:rFonts w:hint="eastAsia" w:ascii="Times New Roman" w:hAnsi="Times New Roman" w:eastAsia="仿宋_GB2312"/>
          <w:sz w:val="32"/>
          <w:szCs w:val="32"/>
        </w:rPr>
        <w:t>（款）机关事业单位基本养老保险缴费支出（项）”，决算时调整至该项核算</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、教育支出（类）普通教育（款）学前教育（项）。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万元，支出决算2072.78为万元，完成年初预算的</w:t>
      </w:r>
      <w:r>
        <w:rPr>
          <w:rFonts w:hint="eastAsia" w:ascii="Times New Roman" w:hAnsi="Times New Roman" w:eastAsia="仿宋_GB2312"/>
          <w:sz w:val="32"/>
          <w:szCs w:val="32"/>
          <w:lang w:val="en-US" w:eastAsia="zh-CN"/>
        </w:rPr>
        <w:t>41455.6</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学前教育公用经费的加大投入；奖励性绩效工资的发放；对赫山区直属机关幼儿园、龙洲幼儿园、兰溪镇中心学校、八字哨中心学校、笔架山中心学校、新市渡中心学校、衡龙桥镇中心学校、欧江岔中心学校、谢林港中心学校、龙光桥中心学校、泥江口中心学校、泉交河中心学校、沧水铺镇中心学校、岳家桥镇中心学校学前教育的追加投入。</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、教育支出（类）普通教育（款）小学教育（项）。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万元，支出决算为105万元，决算数大于年初预算数的主要原因是：</w:t>
      </w:r>
      <w:r>
        <w:rPr>
          <w:rFonts w:hint="eastAsia" w:ascii="Times New Roman" w:hAnsi="Times New Roman" w:eastAsia="仿宋_GB2312"/>
          <w:sz w:val="32"/>
          <w:szCs w:val="32"/>
          <w:lang w:eastAsia="zh-CN"/>
        </w:rPr>
        <w:t>对三里桥学校、桃花仑小学、曙光小学、益阳师范附属小学、龙洲小学、秀峰路学校、丁香小学、赫山一小、赫山二小、迎宾小学、梓山苑小学、紫竹学校的小学教育的追加投入。</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、教育支出（类）普通教育（款）</w:t>
      </w:r>
      <w:r>
        <w:rPr>
          <w:rFonts w:hint="eastAsia" w:ascii="Times New Roman" w:hAnsi="Times New Roman" w:eastAsia="仿宋_GB2312"/>
          <w:sz w:val="32"/>
          <w:szCs w:val="32"/>
          <w:lang w:eastAsia="zh-CN"/>
        </w:rPr>
        <w:t>初中</w:t>
      </w:r>
      <w:r>
        <w:rPr>
          <w:rFonts w:hint="eastAsia" w:ascii="Times New Roman" w:hAnsi="Times New Roman" w:eastAsia="仿宋_GB2312"/>
          <w:sz w:val="32"/>
          <w:szCs w:val="32"/>
        </w:rPr>
        <w:t>教育（项）。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92</w:t>
      </w:r>
      <w:r>
        <w:rPr>
          <w:rFonts w:hint="eastAsia" w:ascii="Times New Roman" w:hAnsi="Times New Roman" w:eastAsia="仿宋_GB2312"/>
          <w:sz w:val="32"/>
          <w:szCs w:val="32"/>
        </w:rPr>
        <w:t>为万元，决算数大于年初预算数的主要原因是：</w:t>
      </w:r>
      <w:r>
        <w:rPr>
          <w:rFonts w:hint="eastAsia" w:ascii="Times New Roman" w:hAnsi="Times New Roman" w:eastAsia="仿宋_GB2312"/>
          <w:sz w:val="32"/>
          <w:szCs w:val="32"/>
          <w:lang w:eastAsia="zh-CN"/>
        </w:rPr>
        <w:t>对梓山湖学校、龙洲中学、朝阳中心学校、赫山中学、世通学校、兰溪镇中心学校、八字哨中心学校、笔架山中心学校、新市渡中心学校、衡龙桥镇中心学校、欧江岔中心学校、谢林港中心学校、龙光桥中心学校、泥江口中心学校、泉交河中心学校、沧水铺镇中心学校、岳家桥镇中心学校初中教育的追加投入。</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、教育支出（类）普通教育（款）</w:t>
      </w:r>
      <w:r>
        <w:rPr>
          <w:rFonts w:hint="eastAsia" w:ascii="Times New Roman" w:hAnsi="Times New Roman" w:eastAsia="仿宋_GB2312"/>
          <w:sz w:val="32"/>
          <w:szCs w:val="32"/>
          <w:lang w:eastAsia="zh-CN"/>
        </w:rPr>
        <w:t>高中</w:t>
      </w:r>
      <w:r>
        <w:rPr>
          <w:rFonts w:hint="eastAsia" w:ascii="Times New Roman" w:hAnsi="Times New Roman" w:eastAsia="仿宋_GB2312"/>
          <w:sz w:val="32"/>
          <w:szCs w:val="32"/>
        </w:rPr>
        <w:t>教育（项）。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万元，支出决算为1729.69万元，决算数大于年初预算数的主要原因是：</w:t>
      </w:r>
      <w:r>
        <w:rPr>
          <w:rFonts w:hint="eastAsia" w:ascii="Times New Roman" w:hAnsi="Times New Roman" w:eastAsia="仿宋_GB2312"/>
          <w:sz w:val="32"/>
          <w:szCs w:val="32"/>
          <w:lang w:eastAsia="zh-CN"/>
        </w:rPr>
        <w:t>对第十三中学、第十五中学、第十六中学、第十七中学、箴言中学的高中教育支出的追加投入。</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、教育支出（类）普通教育（款）其他普通教育支出（项）。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年初预算为67891.8</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万元，支出决算为98081.88万元，完成年初预算的</w:t>
      </w:r>
      <w:r>
        <w:rPr>
          <w:rFonts w:hint="eastAsia" w:ascii="Times New Roman" w:hAnsi="Times New Roman" w:eastAsia="仿宋_GB2312"/>
          <w:sz w:val="32"/>
          <w:szCs w:val="32"/>
          <w:lang w:val="en-US" w:eastAsia="zh-CN"/>
        </w:rPr>
        <w:t>144.47</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增加发放义务阶段学校公用经费；增加发放奖励性绩效工资；拨付人才津贴及乡镇工作补贴；拨付死亡抚恤及丧葬费；拨付边远补贴采购信息化设备班班通；拨付龙州中学、箴言书院、十七中、芙蓉学校、凤山</w:t>
      </w:r>
      <w:r>
        <w:rPr>
          <w:rFonts w:hint="eastAsia" w:ascii="Times New Roman" w:hAnsi="Times New Roman" w:eastAsia="仿宋_GB2312"/>
          <w:sz w:val="32"/>
          <w:szCs w:val="32"/>
        </w:rPr>
        <w:t>学校</w:t>
      </w:r>
      <w:r>
        <w:rPr>
          <w:rFonts w:hint="eastAsia" w:ascii="Times New Roman" w:hAnsi="Times New Roman" w:eastAsia="仿宋_GB2312"/>
          <w:sz w:val="32"/>
          <w:szCs w:val="32"/>
          <w:lang w:eastAsia="zh-CN"/>
        </w:rPr>
        <w:t>、世通学校工程款项。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、教育支出（类）职业教育（款）中等职业教育（项）。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168</w:t>
      </w:r>
      <w:r>
        <w:rPr>
          <w:rFonts w:hint="eastAsia" w:ascii="Times New Roman" w:hAnsi="Times New Roman" w:eastAsia="仿宋_GB2312"/>
          <w:sz w:val="32"/>
          <w:szCs w:val="32"/>
        </w:rPr>
        <w:t>万元，支出决算为2399万元，完成年初预算的</w:t>
      </w:r>
      <w:r>
        <w:rPr>
          <w:rFonts w:hint="eastAsia" w:ascii="Times New Roman" w:hAnsi="Times New Roman" w:eastAsia="仿宋_GB2312"/>
          <w:sz w:val="32"/>
          <w:szCs w:val="32"/>
          <w:lang w:val="en-US" w:eastAsia="zh-CN"/>
        </w:rPr>
        <w:t>1427.98</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职业中专进行项目建设拨付规划费、设计费及工程款；高中阶段学校奖励性绩效的发放。</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、教育支出（类）教育费附加安排的支出（款）其他教育费附加安排的支出（项）。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万元，支出决算为3253万元，决算数大于年初预算数的主要原因是：</w:t>
      </w:r>
      <w:r>
        <w:rPr>
          <w:rFonts w:hint="eastAsia" w:ascii="Times New Roman" w:hAnsi="Times New Roman" w:eastAsia="仿宋_GB2312"/>
          <w:sz w:val="32"/>
          <w:szCs w:val="32"/>
          <w:lang w:eastAsia="zh-CN"/>
        </w:rPr>
        <w:t>对龙洲中学、凤山小学、沧水铺中心学校建设的追加投入。</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、教育支出（类）其他教育支出（款）其他教育支出（项）。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万元，支出决算为1813万元，决算数大于年初预算数的主要原因是：</w:t>
      </w:r>
      <w:r>
        <w:rPr>
          <w:rFonts w:hint="eastAsia" w:ascii="Times New Roman" w:hAnsi="Times New Roman" w:eastAsia="仿宋_GB2312"/>
          <w:sz w:val="32"/>
          <w:szCs w:val="32"/>
          <w:lang w:eastAsia="zh-CN"/>
        </w:rPr>
        <w:t>对区教育局（本级）、三里桥学校、桃花仑小学、曙光小学、梓山湖学校、师范附属小学、龙洲小学、志溪河学校、箴言中学、秀峰路学校、龙洲中学、金银山学校、世通学校、丁香小学、龙岭学校、朝阳中心学校、凤山小学、赫山一小、赫山二小、赫山中学、迎宾小学、梓山苑小学、紫竹学校、兰溪镇中心学校、八字哨中心学校、笔架山中心学校、新市渡中心学校、衡龙桥镇中心学校、欧江岔中心学校、谢林港中心学校、龙光桥中心学校、泥江口中心学校、泉交河中心学校、沧水铺镇中心学校、岳家桥镇中心学校的教育建设的追加投入。</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、文化旅游体育与传媒支出（类）其他文化旅游体育与传媒支出（款） 其他文化旅游体育与传媒支出（项）。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对龙洲中学的教育建设追加投入。</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、住房保障支出（类）保障性安居工程支出（款）公共租赁住房（项）。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为万元，决算数大于年初预算数的主要原因是：</w:t>
      </w:r>
      <w:r>
        <w:rPr>
          <w:rFonts w:hint="eastAsia" w:ascii="Times New Roman" w:hAnsi="Times New Roman" w:eastAsia="仿宋_GB2312"/>
          <w:sz w:val="32"/>
          <w:szCs w:val="32"/>
          <w:lang w:eastAsia="zh-CN"/>
        </w:rPr>
        <w:t>对第十六中学校舍建设的追加投入。</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行政事业单位养老支出</w:t>
      </w:r>
      <w:r>
        <w:rPr>
          <w:rFonts w:hint="eastAsia" w:ascii="Times New Roman" w:hAnsi="Times New Roman" w:eastAsia="仿宋_GB2312"/>
          <w:sz w:val="32"/>
          <w:szCs w:val="32"/>
        </w:rPr>
        <w:t>（款）机关事业单位基本养老保险缴费支出（项）。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7268.40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%，决算数小于年初预算数的主要原因是：人员经费、公用经费</w:t>
      </w:r>
      <w:r>
        <w:rPr>
          <w:rFonts w:hint="eastAsia" w:ascii="Times New Roman" w:hAnsi="Times New Roman" w:eastAsia="仿宋_GB2312"/>
          <w:sz w:val="32"/>
          <w:szCs w:val="32"/>
          <w:lang w:eastAsia="zh-CN"/>
        </w:rPr>
        <w:t>、机关事业单位基本养老保险</w:t>
      </w:r>
      <w:r>
        <w:rPr>
          <w:rFonts w:hint="eastAsia" w:ascii="Times New Roman" w:hAnsi="Times New Roman" w:eastAsia="仿宋_GB2312"/>
          <w:sz w:val="32"/>
          <w:szCs w:val="32"/>
        </w:rPr>
        <w:t>支出年初预算安排在</w:t>
      </w:r>
      <w:r>
        <w:rPr>
          <w:rFonts w:hint="eastAsia" w:ascii="Times New Roman" w:hAnsi="Times New Roman" w:eastAsia="仿宋_GB2312"/>
          <w:sz w:val="32"/>
          <w:szCs w:val="32"/>
          <w:lang w:eastAsia="zh-CN"/>
        </w:rPr>
        <w:t>该项核算，</w:t>
      </w:r>
      <w:r>
        <w:rPr>
          <w:rFonts w:hint="eastAsia" w:ascii="Times New Roman" w:hAnsi="Times New Roman" w:eastAsia="仿宋_GB2312"/>
          <w:sz w:val="32"/>
          <w:szCs w:val="32"/>
        </w:rPr>
        <w:t>决算时调整至教育支出（类）教育管理事务（款）行政运行（项）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教育支出（类）教育管理事务（款）其他教育管理事务支出（项）</w:t>
      </w:r>
      <w:r>
        <w:rPr>
          <w:rFonts w:hint="eastAsia" w:ascii="Times New Roman" w:hAnsi="Times New Roman" w:eastAsia="仿宋_GB2312"/>
          <w:sz w:val="32"/>
          <w:szCs w:val="32"/>
          <w:lang w:eastAsia="zh-CN"/>
        </w:rPr>
        <w:t>核算。</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101614.48</w:t>
      </w:r>
      <w:r>
        <w:rPr>
          <w:rFonts w:hint="eastAsia" w:ascii="Times New Roman" w:hAnsi="Times New Roman" w:eastAsia="仿宋_GB2312"/>
          <w:sz w:val="32"/>
          <w:szCs w:val="32"/>
        </w:rPr>
        <w:t>万元，其中：</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83726.09万元，占基本支出的</w:t>
      </w:r>
      <w:r>
        <w:rPr>
          <w:rFonts w:hint="eastAsia" w:ascii="Times New Roman" w:hAnsi="Times New Roman" w:eastAsia="仿宋_GB2312"/>
          <w:sz w:val="32"/>
          <w:szCs w:val="32"/>
          <w:lang w:val="en-US" w:eastAsia="zh-CN"/>
        </w:rPr>
        <w:t>82.40</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w:t>
      </w:r>
    </w:p>
    <w:p>
      <w:pPr>
        <w:pStyle w:val="9"/>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17888.39万元，占基本支出的</w:t>
      </w:r>
      <w:r>
        <w:rPr>
          <w:rFonts w:hint="eastAsia" w:ascii="Times New Roman" w:hAnsi="Times New Roman" w:eastAsia="仿宋_GB2312"/>
          <w:sz w:val="32"/>
          <w:szCs w:val="32"/>
          <w:lang w:val="en-US" w:eastAsia="zh-CN"/>
        </w:rPr>
        <w:t>17.60</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8.26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6.26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75.79</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年度本系统未开展因公出国（境）活动。。</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8.26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6.26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75.79</w:t>
      </w:r>
      <w:r>
        <w:rPr>
          <w:rFonts w:hint="eastAsia" w:ascii="Times New Roman" w:hAnsi="Times New Roman" w:eastAsia="仿宋_GB2312"/>
          <w:sz w:val="32"/>
          <w:szCs w:val="32"/>
        </w:rPr>
        <w:t>%，决算数小于预算数的主要原因是严格控制公务接待，与上年相比减少</w:t>
      </w:r>
      <w:r>
        <w:rPr>
          <w:rFonts w:hint="eastAsia" w:ascii="Times New Roman" w:hAnsi="Times New Roman" w:eastAsia="仿宋_GB2312"/>
          <w:sz w:val="32"/>
          <w:szCs w:val="32"/>
          <w:lang w:val="en-US" w:eastAsia="zh-CN"/>
        </w:rPr>
        <w:t>11.31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64.37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减少（增长）的主要原因是厉行节约。</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年度本系统未购置公务用车。</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万元，2022年度本系统未</w:t>
      </w:r>
      <w:r>
        <w:rPr>
          <w:rFonts w:hint="eastAsia" w:ascii="Times New Roman" w:hAnsi="Times New Roman" w:eastAsia="仿宋_GB2312"/>
          <w:sz w:val="32"/>
          <w:szCs w:val="32"/>
          <w:lang w:eastAsia="zh-CN"/>
        </w:rPr>
        <w:t>产生公务用车运行维护费</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6.26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6.26</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140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1145</w:t>
      </w:r>
      <w:r>
        <w:rPr>
          <w:rFonts w:hint="eastAsia" w:ascii="Times New Roman" w:hAnsi="Times New Roman" w:eastAsia="仿宋_GB2312"/>
          <w:sz w:val="32"/>
          <w:szCs w:val="32"/>
        </w:rPr>
        <w:t>人次，主要是是检查、考察学习发生的接待支出。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9"/>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1073.95</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1073.95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1073.95</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1、城乡社区支出（类）国有土地使用权出让收入安排的支出（款）农村基础设施建设支出（项）。</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增加了兰溪镇中心学校、新市渡中心学校、衡龙桥镇中心学校、谢林港镇中心学校、沧水铺镇中心学校、岳家桥镇中心学校的农村基础设施建设支出。</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、城乡社区支出（类）城市基础设施配套费安排的支出（款）其他城市基础设施配套费安排的支出（项）。</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1050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增加了桃花仑小学、益阳师范附属小学、秀峰路学校、龙洲幼儿园、龙洲中学、丁香小学、梓山苑小学、紫竹学校的城市基础设施建设支出。</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、其他支出（类）彩票公益金安排的支出（款）用于社会福利的彩票公益金支出（项）。</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增加了泥江口镇中心学校的项目建设支出。</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、其他支出（类）彩票公益金安排的支出（款）用于体育事业的彩票公益金支出（项）。</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3.95</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增加了新市渡中心学校的项目建设支出。</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17888.39</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16345.44</w:t>
      </w:r>
      <w:r>
        <w:rPr>
          <w:rFonts w:hint="eastAsia" w:ascii="Times New Roman" w:hAnsi="Times New Roman" w:eastAsia="仿宋_GB2312"/>
          <w:sz w:val="32"/>
          <w:szCs w:val="32"/>
        </w:rPr>
        <w:t>万元，增长（降低）</w:t>
      </w:r>
      <w:r>
        <w:rPr>
          <w:rFonts w:hint="eastAsia" w:ascii="Times New Roman" w:hAnsi="Times New Roman" w:eastAsia="仿宋_GB2312"/>
          <w:sz w:val="32"/>
          <w:szCs w:val="32"/>
          <w:lang w:val="en-US" w:eastAsia="zh-CN"/>
        </w:rPr>
        <w:t>1059.36</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人员经费的增加、工资津补贴及奖金的提升；对个人和家庭的补助的增加；办公费、印刷费、水费、电费、物业管理费、 维修（护）费、会议费、培训费、专用材料费、工会经费、其他商品和服务支出等费用的增加。</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193.62</w:t>
      </w:r>
      <w:r>
        <w:rPr>
          <w:rFonts w:hint="eastAsia" w:ascii="Times New Roman" w:hAnsi="Times New Roman" w:eastAsia="仿宋_GB2312"/>
          <w:sz w:val="32"/>
          <w:szCs w:val="32"/>
        </w:rPr>
        <w:t>万元，用于召开教育局机关与各学校之间，教育局与上级部门之间，机关内部及学校内部等</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0</w:t>
      </w:r>
      <w:r>
        <w:rPr>
          <w:rFonts w:hint="eastAsia" w:ascii="Times New Roman" w:hAnsi="Times New Roman" w:eastAsia="仿宋_GB2312"/>
          <w:sz w:val="32"/>
          <w:szCs w:val="32"/>
          <w:lang w:eastAsia="zh-CN"/>
        </w:rPr>
        <w:t>万</w:t>
      </w:r>
      <w:r>
        <w:rPr>
          <w:rFonts w:hint="eastAsia" w:ascii="Times New Roman" w:hAnsi="Times New Roman" w:eastAsia="仿宋_GB2312"/>
          <w:sz w:val="32"/>
          <w:szCs w:val="32"/>
        </w:rPr>
        <w:t>人，内容为教育教学及上级政策文件精神传达；开支培训费</w:t>
      </w:r>
      <w:r>
        <w:rPr>
          <w:rFonts w:hint="eastAsia" w:ascii="Times New Roman" w:hAnsi="Times New Roman" w:eastAsia="仿宋_GB2312"/>
          <w:sz w:val="32"/>
          <w:szCs w:val="32"/>
          <w:lang w:val="en-US" w:eastAsia="zh-CN"/>
        </w:rPr>
        <w:t>580.60</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暑期研修和寒假研修、师德师风专题学习</w:t>
      </w:r>
      <w:r>
        <w:rPr>
          <w:rFonts w:hint="eastAsia" w:ascii="Times New Roman" w:hAnsi="Times New Roman" w:eastAsia="仿宋_GB2312"/>
          <w:sz w:val="32"/>
          <w:szCs w:val="32"/>
        </w:rPr>
        <w:t>，</w:t>
      </w:r>
      <w:bookmarkStart w:id="0" w:name="_GoBack"/>
      <w:bookmarkEnd w:id="0"/>
      <w:r>
        <w:rPr>
          <w:rFonts w:hint="eastAsia" w:ascii="Times New Roman" w:hAnsi="Times New Roman" w:eastAsia="仿宋_GB2312"/>
          <w:sz w:val="32"/>
          <w:szCs w:val="32"/>
        </w:rPr>
        <w:t>2022年争取到国家级培训项目65个，参培231 人次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省级培训项目9个，培训11人次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市级培训项目4个，市级培训476人次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设置区级培训项目51个，区级培训32045人次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争取国培项目2个、经费24.4万元；</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举办节庆、晚会、论坛、赛事活动</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年度政府采购支出总额16218462万元，其中：政府采购货物支出</w:t>
      </w:r>
      <w:r>
        <w:rPr>
          <w:rFonts w:hint="eastAsia" w:ascii="Times New Roman" w:hAnsi="Times New Roman" w:eastAsia="仿宋_GB2312"/>
          <w:sz w:val="32"/>
          <w:szCs w:val="32"/>
          <w:lang w:val="en-US" w:eastAsia="zh-CN"/>
        </w:rPr>
        <w:t>13588139</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2625326</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5000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14004505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86.35</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14004505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86.35</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15.86</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pStyle w:val="9"/>
        <w:keepNext w:val="0"/>
        <w:keepLines w:val="0"/>
        <w:pageBreakBefore w:val="0"/>
        <w:widowControl w:val="0"/>
        <w:kinsoku/>
        <w:wordWrap/>
        <w:overflowPunct/>
        <w:topLinePunct w:val="0"/>
        <w:bidi w:val="0"/>
        <w:snapToGrid/>
        <w:spacing w:line="600" w:lineRule="exact"/>
        <w:ind w:firstLine="1280" w:firstLineChars="4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绩效管理评价工作开展情况</w:t>
      </w:r>
    </w:p>
    <w:p>
      <w:pPr>
        <w:pStyle w:val="9"/>
        <w:keepNext w:val="0"/>
        <w:keepLines w:val="0"/>
        <w:pageBreakBefore w:val="0"/>
        <w:widowControl w:val="0"/>
        <w:kinsoku/>
        <w:wordWrap/>
        <w:overflowPunct/>
        <w:topLinePunct w:val="0"/>
        <w:bidi w:val="0"/>
        <w:snapToGrid/>
        <w:spacing w:line="600" w:lineRule="exact"/>
        <w:ind w:firstLine="1280" w:firstLineChars="4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根据预算绩效管理要求，本系统组织对202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年度一般公共预算项目支出全面开展绩效自评，其中，共涉及资金10217.85万元，占一般公共预算项目支出总额的100%。组织对202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年度农村基础设施建设支出、其他城市基础设施配套费安排的支出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用于社会福利的彩票公益金支出、用于体育事业的彩票公益金支出等4个政府性基金预算项目支出开展绩效自评，共涉及资金1073.95万元，占政府性基金预算项目支出总额的100%。组织对202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年度0个国有资本经营预算33项目支出开展绩效自评，共涉及资金0万元。</w:t>
      </w:r>
    </w:p>
    <w:p>
      <w:pPr>
        <w:pStyle w:val="9"/>
        <w:keepNext w:val="0"/>
        <w:keepLines w:val="0"/>
        <w:pageBreakBefore w:val="0"/>
        <w:widowControl w:val="0"/>
        <w:kinsoku/>
        <w:wordWrap/>
        <w:overflowPunct/>
        <w:topLinePunct w:val="0"/>
        <w:bidi w:val="0"/>
        <w:snapToGrid/>
        <w:spacing w:line="600" w:lineRule="exact"/>
        <w:ind w:firstLine="1280" w:firstLineChars="4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组织对“义务教育薄弱环节改善与能力提升”“义务教育校舍维修”、“中职学校改善办学条件”等3个项目开展了部门评价，涉及一般公共预算支出</w:t>
      </w:r>
      <w:r>
        <w:rPr>
          <w:rFonts w:hint="eastAsia" w:ascii="Times New Roman" w:hAnsi="Times New Roman" w:eastAsia="仿宋_GB2312"/>
          <w:sz w:val="32"/>
          <w:szCs w:val="32"/>
          <w:lang w:val="en-US" w:eastAsia="zh-CN"/>
        </w:rPr>
        <w:t>196.25</w:t>
      </w:r>
      <w:r>
        <w:rPr>
          <w:rFonts w:hint="eastAsia" w:ascii="Times New Roman" w:hAnsi="Times New Roman" w:eastAsia="仿宋_GB2312"/>
          <w:sz w:val="32"/>
          <w:szCs w:val="32"/>
        </w:rPr>
        <w:t>万元，政府性基金预算支出0万元，国有资本经营预算支出0万元。从评价情况来看，202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年区义务教育校舍维修改造项目实施正常，按实施进度要求，项目完成质量达到预期目标。</w:t>
      </w:r>
    </w:p>
    <w:p>
      <w:pPr>
        <w:pStyle w:val="9"/>
        <w:keepNext w:val="0"/>
        <w:keepLines w:val="0"/>
        <w:pageBreakBefore w:val="0"/>
        <w:widowControl w:val="0"/>
        <w:kinsoku/>
        <w:wordWrap/>
        <w:overflowPunct/>
        <w:topLinePunct w:val="0"/>
        <w:bidi w:val="0"/>
        <w:snapToGrid/>
        <w:spacing w:line="600" w:lineRule="exact"/>
        <w:ind w:firstLine="1280" w:firstLineChars="4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组织对“益阳市箴言中学”“益阳市第十六中学”等46个单位开展整体支出绩效评价，涉及一般公共预算支出110293.19万元，政府性基金预算支出1073.95万元。从评价情况来看，202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年区各教育单位严格按照预算安排使用资金，充分发挥了资金效益。</w:t>
      </w:r>
    </w:p>
    <w:p>
      <w:pPr>
        <w:pStyle w:val="9"/>
        <w:keepNext w:val="0"/>
        <w:keepLines w:val="0"/>
        <w:pageBreakBefore w:val="0"/>
        <w:widowControl w:val="0"/>
        <w:kinsoku/>
        <w:wordWrap/>
        <w:overflowPunct/>
        <w:topLinePunct w:val="0"/>
        <w:bidi w:val="0"/>
        <w:snapToGrid/>
        <w:spacing w:line="600" w:lineRule="exact"/>
        <w:ind w:firstLine="960" w:firstLineChars="3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部门决算中项目绩效自评结果</w:t>
      </w:r>
    </w:p>
    <w:p>
      <w:pPr>
        <w:pStyle w:val="9"/>
        <w:keepNext w:val="0"/>
        <w:keepLines w:val="0"/>
        <w:pageBreakBefore w:val="0"/>
        <w:widowControl w:val="0"/>
        <w:kinsoku/>
        <w:wordWrap/>
        <w:overflowPunct/>
        <w:topLinePunct w:val="0"/>
        <w:bidi w:val="0"/>
        <w:snapToGrid/>
        <w:spacing w:line="600" w:lineRule="exact"/>
        <w:ind w:firstLine="960" w:firstLineChars="3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本系统项目绩效自评综述：根据年初设定的绩效目标，项目绩效自评得分为99分。项目绩效目标完成情况：一是对纳入202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年薄弱学校环节改善与能力提升和义务教育校舍维修等项目的义务教育学校进行了维修改造，全区义务均衡发展水平显著提高；二是提高了中职学校办学条件。</w:t>
      </w:r>
    </w:p>
    <w:p>
      <w:pPr>
        <w:pStyle w:val="9"/>
        <w:keepNext w:val="0"/>
        <w:keepLines w:val="0"/>
        <w:pageBreakBefore w:val="0"/>
        <w:widowControl w:val="0"/>
        <w:numPr>
          <w:ilvl w:val="0"/>
          <w:numId w:val="2"/>
        </w:numPr>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存在的问题及原因分析</w:t>
      </w:r>
    </w:p>
    <w:p>
      <w:pPr>
        <w:pStyle w:val="9"/>
        <w:keepNext w:val="0"/>
        <w:keepLines w:val="0"/>
        <w:pageBreakBefore w:val="0"/>
        <w:widowControl w:val="0"/>
        <w:kinsoku/>
        <w:wordWrap/>
        <w:overflowPunct/>
        <w:topLinePunct w:val="0"/>
        <w:bidi w:val="0"/>
        <w:snapToGrid/>
        <w:spacing w:line="600" w:lineRule="exact"/>
        <w:ind w:firstLine="960" w:firstLineChars="3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在部门整体支出中，各单位严格按照年初预算安排，严格遵守资金管理制度，强化监督，专款专用，确保各项资金使用效益，杜绝截留、挪用等现象；不断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效益性；加强的内控风险管理，各项经费支出得到有效控制</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960" w:firstLineChars="3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因部分工作是年中或年末根据相关要求开展，未纳入年初预算，另外还有部分不可预见经费的追加，无法纳入预算，导致预算执行存在偏差。</w:t>
      </w:r>
    </w:p>
    <w:p>
      <w:pPr>
        <w:pStyle w:val="9"/>
        <w:jc w:val="both"/>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p>
    <w:p>
      <w:pPr>
        <w:pStyle w:val="9"/>
        <w:jc w:val="both"/>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第四部分</w:t>
      </w:r>
    </w:p>
    <w:p>
      <w:pPr>
        <w:jc w:val="center"/>
        <w:rPr>
          <w:rFonts w:hint="eastAsia" w:ascii="方正小标宋_GBK" w:hAnsi="方正小标宋_GBK" w:eastAsia="方正小标宋_GBK" w:cs="方正小标宋_GBK"/>
          <w:color w:val="000000"/>
          <w:kern w:val="0"/>
          <w:sz w:val="84"/>
          <w:szCs w:val="84"/>
        </w:rPr>
      </w:pPr>
    </w:p>
    <w:p>
      <w:pPr>
        <w:jc w:val="center"/>
        <w:rPr>
          <w:rFonts w:hint="eastAsia" w:ascii="方正小标宋_GBK" w:hAnsi="方正小标宋_GBK" w:eastAsia="方正小标宋_GBK" w:cs="方正小标宋_GBK"/>
          <w:color w:val="000000"/>
          <w:kern w:val="0"/>
          <w:sz w:val="84"/>
          <w:szCs w:val="84"/>
        </w:rPr>
      </w:pPr>
      <w:r>
        <w:rPr>
          <w:rFonts w:hint="eastAsia" w:ascii="方正小标宋_GBK" w:hAnsi="方正小标宋_GBK" w:eastAsia="方正小标宋_GBK" w:cs="方正小标宋_GBK"/>
          <w:color w:val="000000"/>
          <w:kern w:val="0"/>
          <w:sz w:val="84"/>
          <w:szCs w:val="84"/>
        </w:rPr>
        <w:t>名词解释</w:t>
      </w:r>
    </w:p>
    <w:p>
      <w:pPr>
        <w:widowControl/>
        <w:jc w:val="center"/>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一、财政拨款收入：指本级财政当年拨付的资金。</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二、上年结转和结余：指以前年度尚未完成、结转到本年按有关规定继续使用的资金。</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三、年末结转和结余资金：指本年度或以前年度预算安排、因客观条件发生变化无法按原计划实施，需要延迟到以后年度按有关规定继续使用的资金。</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四、基本支出：指保障机构正常运转、完成支日常工作任务而发生的人员支出和公用支出。</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五、项目支出：指在基本支出之外为完成特定行政任务和事业发展目标所发生的支出。</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三公”经费：反映用财政拨款安排的因公出国（境）费、公务用车购置及运行费和公务接待费。其中，因公出国（境）费反映单位工作人员公务出国（境）的住宿费、差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七、政府采购 ：是指国家各级政府为从事日常的政务活动或为了满足公共服务的目的，利用国家财政性资金和政府借款购买货物、工程和服务的行为。</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八、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 公务用车运行维护费以及其他费用。</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九、学前教育：反映各部门举办的学前教育支出。包括政府各部门对社会组织等举办的幼儿园的资助，如捐款、补贴等。</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十、小学教育：反映各部门举办的小学教育支出。包括政府各部门对社会组织等举办的幼儿园的资助，如捐款、补贴等。</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十一、初中教育：反映各部门举办的初中教育支出。包括政府各部门对社会组织等举办的幼儿园的资助，如捐款、补贴等。</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十二、高中教育：反映各部门举办的高中教育支出。包括政府各部门对社会组织等举办的幼儿园的资助，如捐款、补贴等。</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十三、中等职业教育：反映各部门举办的中等职业教育支出。包括政府各部门对社会组织等举办的幼儿园的资助，如捐款、补贴等。</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十四、农村中小学校舍建设：反映教育费附加安排用于农村中小学校舍建设、改建、修缮和维护的支出。</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十五、农村中小学教学设施：反映教育费附加安排用于改善农村中小学教学设施和办学条件的支出。</w:t>
      </w:r>
    </w:p>
    <w:p>
      <w:pPr>
        <w:ind w:firstLine="1280" w:firstLineChars="4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十六、城市中小学校舍建设：反映教育费附加安排用于城市中小学校舍建设、改建、修缮和维护的支出。</w:t>
      </w:r>
    </w:p>
    <w:p>
      <w:pPr>
        <w:ind w:firstLine="1280" w:firstLineChars="4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color w:val="000000"/>
          <w:kern w:val="0"/>
          <w:sz w:val="32"/>
          <w:szCs w:val="32"/>
        </w:rPr>
        <w:t>十七、城市中小学教学设施：反映教育费附加安排用于改善</w:t>
      </w:r>
      <w:r>
        <w:rPr>
          <w:rFonts w:hint="eastAsia" w:cs="黑体" w:asciiTheme="minorEastAsia" w:hAnsiTheme="minorEastAsia" w:eastAsiaTheme="minorEastAsia"/>
          <w:color w:val="000000"/>
          <w:kern w:val="0"/>
          <w:sz w:val="32"/>
          <w:szCs w:val="32"/>
          <w:lang w:val="en-US" w:eastAsia="zh-CN" w:bidi="ar-SA"/>
        </w:rPr>
        <w:t>城市中小学教学设施和办学条件的支出。</w:t>
      </w:r>
    </w:p>
    <w:p>
      <w:pPr>
        <w:pStyle w:val="9"/>
        <w:jc w:val="center"/>
        <w:rPr>
          <w:sz w:val="72"/>
          <w:szCs w:val="72"/>
        </w:rPr>
      </w:pPr>
    </w:p>
    <w:p>
      <w:pPr>
        <w:pStyle w:val="9"/>
        <w:jc w:val="center"/>
        <w:rPr>
          <w:sz w:val="72"/>
          <w:szCs w:val="72"/>
        </w:rPr>
      </w:pPr>
    </w:p>
    <w:p>
      <w:pPr>
        <w:pStyle w:val="9"/>
        <w:tabs>
          <w:tab w:val="left" w:pos="4231"/>
        </w:tabs>
        <w:jc w:val="left"/>
        <w:rPr>
          <w:rFonts w:hint="eastAsia" w:eastAsia="黑体"/>
          <w:sz w:val="72"/>
          <w:szCs w:val="72"/>
          <w:lang w:eastAsia="zh-CN"/>
        </w:rPr>
      </w:pPr>
    </w:p>
    <w:p>
      <w:pPr>
        <w:pStyle w:val="9"/>
        <w:jc w:val="center"/>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4482F39"/>
    <w:multiLevelType w:val="singleLevel"/>
    <w:tmpl w:val="74482F3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MmU4YTVlNTE2ZGY1ZmE1Yjk4YTA1MTViMzc0Zj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8E4F30"/>
    <w:rsid w:val="093A3DAD"/>
    <w:rsid w:val="14090241"/>
    <w:rsid w:val="167008AA"/>
    <w:rsid w:val="19596D8C"/>
    <w:rsid w:val="1D121C44"/>
    <w:rsid w:val="21901BFE"/>
    <w:rsid w:val="22A84E6B"/>
    <w:rsid w:val="232911B2"/>
    <w:rsid w:val="253E5647"/>
    <w:rsid w:val="25BB771C"/>
    <w:rsid w:val="273B6299"/>
    <w:rsid w:val="27C54641"/>
    <w:rsid w:val="27EA77CE"/>
    <w:rsid w:val="29EF72BE"/>
    <w:rsid w:val="2C7F014C"/>
    <w:rsid w:val="322E6825"/>
    <w:rsid w:val="3285584A"/>
    <w:rsid w:val="352F2115"/>
    <w:rsid w:val="35A847CB"/>
    <w:rsid w:val="379E7EEF"/>
    <w:rsid w:val="3D0E313B"/>
    <w:rsid w:val="427D5567"/>
    <w:rsid w:val="4ACB25C2"/>
    <w:rsid w:val="526F3A1A"/>
    <w:rsid w:val="530D1306"/>
    <w:rsid w:val="54AA21CA"/>
    <w:rsid w:val="5777D4F5"/>
    <w:rsid w:val="5B926648"/>
    <w:rsid w:val="5E314C05"/>
    <w:rsid w:val="5FC6BB1E"/>
    <w:rsid w:val="5FEE0992"/>
    <w:rsid w:val="5FF720F1"/>
    <w:rsid w:val="61AC3F8F"/>
    <w:rsid w:val="61B56F70"/>
    <w:rsid w:val="66413491"/>
    <w:rsid w:val="6796514D"/>
    <w:rsid w:val="70676815"/>
    <w:rsid w:val="737D59BA"/>
    <w:rsid w:val="74933140"/>
    <w:rsid w:val="77C37683"/>
    <w:rsid w:val="796C7CAE"/>
    <w:rsid w:val="79FF515B"/>
    <w:rsid w:val="7E9F11B4"/>
    <w:rsid w:val="7EAA3668"/>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38</Pages>
  <Words>13603</Words>
  <Characters>18690</Characters>
  <Lines>63</Lines>
  <Paragraphs>18</Paragraphs>
  <TotalTime>25</TotalTime>
  <ScaleCrop>false</ScaleCrop>
  <LinksUpToDate>false</LinksUpToDate>
  <CharactersWithSpaces>18989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栋栋宏</cp:lastModifiedBy>
  <cp:lastPrinted>2023-08-15T09:28:00Z</cp:lastPrinted>
  <dcterms:modified xsi:type="dcterms:W3CDTF">2023-09-19T00:37:25Z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A5C1E040E3AE4A388068B8AD3E6D3CB0_12</vt:lpwstr>
  </property>
</Properties>
</file>