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00" w:lineRule="exact"/>
        <w:jc w:val="both"/>
        <w:rPr>
          <w:rFonts w:ascii="仿宋" w:hAnsi="仿宋" w:eastAsia="仿宋" w:cs="仿宋"/>
          <w:sz w:val="30"/>
          <w:szCs w:val="30"/>
        </w:rPr>
      </w:pPr>
    </w:p>
    <w:p>
      <w:pPr>
        <w:pStyle w:val="10"/>
        <w:jc w:val="center"/>
        <w:rPr>
          <w:rFonts w:hAnsi="黑体"/>
          <w:sz w:val="72"/>
          <w:szCs w:val="72"/>
        </w:rPr>
      </w:pPr>
      <w:r>
        <w:rPr>
          <w:rFonts w:hint="eastAsia" w:hAnsi="黑体"/>
          <w:sz w:val="72"/>
          <w:szCs w:val="72"/>
        </w:rPr>
        <w:t>202</w:t>
      </w:r>
      <w:r>
        <w:rPr>
          <w:rFonts w:hint="eastAsia" w:hAnsi="黑体"/>
          <w:sz w:val="72"/>
          <w:szCs w:val="72"/>
          <w:lang w:val="en-US" w:eastAsia="zh-CN"/>
        </w:rPr>
        <w:t>2</w:t>
      </w:r>
      <w:r>
        <w:rPr>
          <w:rFonts w:hint="eastAsia" w:hAnsi="黑体"/>
          <w:sz w:val="72"/>
          <w:szCs w:val="72"/>
        </w:rPr>
        <w:t>年度</w:t>
      </w:r>
      <w:r>
        <w:rPr>
          <w:rFonts w:hint="eastAsia" w:hAnsi="黑体"/>
          <w:sz w:val="72"/>
          <w:szCs w:val="72"/>
          <w:lang w:val="zh-CN"/>
        </w:rPr>
        <w:t>益阳市</w:t>
      </w:r>
      <w:r>
        <w:rPr>
          <w:rFonts w:hint="eastAsia" w:hAnsi="黑体"/>
          <w:sz w:val="72"/>
          <w:szCs w:val="72"/>
        </w:rPr>
        <w:t>赫山区</w:t>
      </w:r>
    </w:p>
    <w:p>
      <w:pPr>
        <w:pStyle w:val="10"/>
        <w:jc w:val="center"/>
        <w:rPr>
          <w:rFonts w:ascii="仿宋" w:hAnsi="仿宋" w:eastAsia="仿宋" w:cs="仿宋"/>
          <w:b/>
          <w:sz w:val="30"/>
          <w:szCs w:val="30"/>
        </w:rPr>
      </w:pPr>
      <w:r>
        <w:rPr>
          <w:rFonts w:hint="eastAsia" w:hAnsi="黑体"/>
          <w:sz w:val="72"/>
          <w:szCs w:val="72"/>
          <w:lang w:val="zh-CN"/>
        </w:rPr>
        <w:t>衡龙桥镇人民政府</w:t>
      </w:r>
      <w:r>
        <w:rPr>
          <w:rFonts w:hint="eastAsia" w:hAnsi="黑体"/>
          <w:sz w:val="72"/>
          <w:szCs w:val="72"/>
        </w:rPr>
        <w:t>部门决算</w:t>
      </w:r>
    </w:p>
    <w:p>
      <w:pPr>
        <w:pStyle w:val="10"/>
        <w:spacing w:line="600" w:lineRule="exact"/>
        <w:ind w:firstLine="602" w:firstLineChars="200"/>
        <w:jc w:val="center"/>
        <w:rPr>
          <w:rFonts w:ascii="仿宋" w:hAnsi="仿宋" w:eastAsia="仿宋" w:cs="仿宋"/>
          <w:b/>
          <w:sz w:val="30"/>
          <w:szCs w:val="30"/>
        </w:rPr>
      </w:pPr>
    </w:p>
    <w:p>
      <w:pPr>
        <w:pStyle w:val="10"/>
        <w:spacing w:line="600" w:lineRule="exact"/>
        <w:ind w:firstLine="720" w:firstLineChars="200"/>
        <w:jc w:val="center"/>
        <w:rPr>
          <w:rFonts w:hAnsi="黑体"/>
          <w:bCs/>
          <w:sz w:val="36"/>
          <w:szCs w:val="36"/>
        </w:rPr>
      </w:pPr>
      <w:r>
        <w:rPr>
          <w:rFonts w:hint="eastAsia" w:hAnsi="黑体"/>
          <w:bCs/>
          <w:sz w:val="36"/>
          <w:szCs w:val="36"/>
        </w:rPr>
        <w:t>目 录</w:t>
      </w:r>
    </w:p>
    <w:p>
      <w:pPr>
        <w:pStyle w:val="10"/>
        <w:spacing w:line="600" w:lineRule="exact"/>
        <w:ind w:firstLine="600" w:firstLineChars="200"/>
        <w:rPr>
          <w:rFonts w:hAnsi="黑体"/>
          <w:bCs/>
          <w:sz w:val="30"/>
          <w:szCs w:val="30"/>
        </w:rPr>
      </w:pPr>
      <w:r>
        <w:rPr>
          <w:rFonts w:hint="eastAsia" w:hAnsi="黑体"/>
          <w:bCs/>
          <w:sz w:val="30"/>
          <w:szCs w:val="30"/>
        </w:rPr>
        <w:t xml:space="preserve">第一部分 </w:t>
      </w:r>
      <w:r>
        <w:rPr>
          <w:rFonts w:hint="eastAsia" w:hAnsi="黑体"/>
          <w:bCs/>
          <w:sz w:val="30"/>
          <w:szCs w:val="30"/>
          <w:lang w:val="zh-CN"/>
        </w:rPr>
        <w:t>衡龙桥镇人民政府</w:t>
      </w:r>
      <w:r>
        <w:rPr>
          <w:rFonts w:hint="eastAsia" w:hAnsi="黑体"/>
          <w:bCs/>
          <w:sz w:val="30"/>
          <w:szCs w:val="30"/>
        </w:rPr>
        <w:t>概况</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一、部门职责</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二、机构设置</w:t>
      </w:r>
    </w:p>
    <w:p>
      <w:pPr>
        <w:pStyle w:val="10"/>
        <w:spacing w:line="600" w:lineRule="exact"/>
        <w:ind w:firstLine="600" w:firstLineChars="200"/>
        <w:rPr>
          <w:rFonts w:hAnsi="黑体"/>
          <w:bCs/>
          <w:sz w:val="30"/>
          <w:szCs w:val="30"/>
        </w:rPr>
      </w:pPr>
      <w:r>
        <w:rPr>
          <w:rFonts w:hint="eastAsia" w:hAnsi="黑体"/>
          <w:bCs/>
          <w:sz w:val="30"/>
          <w:szCs w:val="30"/>
        </w:rPr>
        <w:t>第二部分 部门决算表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一、收入支出决算总表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二、收入决算表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三、支出决算表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四、财政拨款收入支出决算总表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五、一般公共预算财政拨款支出决算表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六、一般公共预算财政拨款基本支出决算明细表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七、一般公共预算财政拨款“三公”经费支出决算表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八、政府性基金预算财政拨款收入支出决算表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九、国有资本经营预算财政拨款支出决算表</w:t>
      </w:r>
    </w:p>
    <w:p>
      <w:pPr>
        <w:pStyle w:val="10"/>
        <w:spacing w:line="600" w:lineRule="exact"/>
        <w:ind w:firstLine="600" w:firstLineChars="200"/>
        <w:rPr>
          <w:rFonts w:hAnsi="黑体"/>
          <w:bCs/>
          <w:sz w:val="30"/>
          <w:szCs w:val="30"/>
        </w:rPr>
      </w:pPr>
      <w:r>
        <w:rPr>
          <w:rFonts w:hint="eastAsia" w:hAnsi="黑体"/>
          <w:bCs/>
          <w:sz w:val="30"/>
          <w:szCs w:val="30"/>
        </w:rPr>
        <w:t>第三部分 部门决算情况说明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一、收入支出决算总体情况说明</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二、收入决算情况说明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三、支出决算情况说明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四、财政拨款收入支出决算总体情况说明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五、一般公共预算财政拨款支出决算情况说明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六、一般公共预算财政拨款基本支出决算情况说明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七、一般公共预算财政拨款“三公”经费支出决算情况说明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八、政府性基金预算收入支出决算情况</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九、</w:t>
      </w:r>
      <w:r>
        <w:rPr>
          <w:rFonts w:hint="eastAsia" w:ascii="仿宋" w:hAnsi="仿宋" w:eastAsia="仿宋" w:cs="仿宋"/>
          <w:sz w:val="30"/>
          <w:szCs w:val="30"/>
        </w:rPr>
        <w:t>国有资本经营预算财政拨款收入支出决算表</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十、机关运行经费支出说明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十一、一般性支出情况说明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十二、政府采购支出说明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十三、国有资产占用情况说明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十四、202</w:t>
      </w:r>
      <w:r>
        <w:rPr>
          <w:rFonts w:hint="eastAsia" w:ascii="仿宋" w:hAnsi="仿宋" w:eastAsia="仿宋" w:cs="仿宋"/>
          <w:sz w:val="30"/>
          <w:szCs w:val="30"/>
          <w:lang w:val="en-US" w:eastAsia="zh-CN"/>
        </w:rPr>
        <w:t>2</w:t>
      </w:r>
      <w:r>
        <w:rPr>
          <w:rFonts w:hint="eastAsia" w:ascii="仿宋" w:hAnsi="仿宋" w:eastAsia="仿宋" w:cs="仿宋"/>
          <w:sz w:val="30"/>
          <w:szCs w:val="30"/>
        </w:rPr>
        <w:t>年度预算绩效情况说明</w:t>
      </w:r>
    </w:p>
    <w:p>
      <w:pPr>
        <w:pStyle w:val="10"/>
        <w:spacing w:line="600" w:lineRule="exact"/>
        <w:ind w:firstLine="600" w:firstLineChars="200"/>
        <w:rPr>
          <w:rFonts w:hAnsi="黑体"/>
          <w:bCs/>
          <w:sz w:val="30"/>
          <w:szCs w:val="30"/>
        </w:rPr>
      </w:pPr>
      <w:r>
        <w:rPr>
          <w:rFonts w:hint="eastAsia" w:hAnsi="黑体"/>
          <w:bCs/>
          <w:sz w:val="30"/>
          <w:szCs w:val="30"/>
        </w:rPr>
        <w:t>第四部分 名词解释</w:t>
      </w:r>
    </w:p>
    <w:p>
      <w:pPr>
        <w:spacing w:line="600" w:lineRule="exact"/>
        <w:ind w:firstLine="600" w:firstLineChars="200"/>
        <w:jc w:val="center"/>
        <w:rPr>
          <w:rFonts w:ascii="仿宋" w:hAnsi="仿宋" w:eastAsia="仿宋" w:cs="仿宋"/>
          <w:sz w:val="30"/>
          <w:szCs w:val="30"/>
        </w:rPr>
      </w:pPr>
    </w:p>
    <w:p>
      <w:pPr>
        <w:spacing w:line="600" w:lineRule="exact"/>
        <w:ind w:firstLine="600" w:firstLineChars="200"/>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jc w:val="both"/>
        <w:rPr>
          <w:rFonts w:ascii="仿宋" w:hAnsi="仿宋" w:eastAsia="仿宋" w:cs="仿宋"/>
          <w:sz w:val="30"/>
          <w:szCs w:val="30"/>
        </w:rPr>
      </w:pPr>
    </w:p>
    <w:p>
      <w:pPr>
        <w:pStyle w:val="10"/>
        <w:spacing w:line="600" w:lineRule="exact"/>
        <w:jc w:val="both"/>
        <w:rPr>
          <w:rFonts w:ascii="仿宋" w:hAnsi="仿宋" w:eastAsia="仿宋" w:cs="仿宋"/>
          <w:sz w:val="30"/>
          <w:szCs w:val="30"/>
        </w:rPr>
      </w:pPr>
    </w:p>
    <w:p>
      <w:pPr>
        <w:pStyle w:val="10"/>
        <w:jc w:val="center"/>
        <w:rPr>
          <w:rFonts w:hAnsi="黑体"/>
          <w:sz w:val="72"/>
          <w:szCs w:val="72"/>
        </w:rPr>
      </w:pPr>
      <w:r>
        <w:rPr>
          <w:rFonts w:hint="eastAsia" w:hAnsi="黑体"/>
          <w:sz w:val="72"/>
          <w:szCs w:val="72"/>
        </w:rPr>
        <w:t>第一部分</w:t>
      </w:r>
    </w:p>
    <w:p>
      <w:pPr>
        <w:pStyle w:val="10"/>
        <w:jc w:val="center"/>
        <w:rPr>
          <w:rFonts w:ascii="仿宋" w:hAnsi="仿宋" w:eastAsia="仿宋" w:cs="仿宋"/>
          <w:sz w:val="30"/>
          <w:szCs w:val="30"/>
        </w:rPr>
      </w:pPr>
      <w:r>
        <w:rPr>
          <w:rFonts w:hint="eastAsia" w:hAnsi="黑体"/>
          <w:sz w:val="72"/>
          <w:szCs w:val="72"/>
          <w:lang w:val="zh-CN"/>
        </w:rPr>
        <w:t>衡龙桥镇人民政府</w:t>
      </w:r>
      <w:r>
        <w:rPr>
          <w:rFonts w:hint="eastAsia" w:hAnsi="黑体"/>
          <w:sz w:val="72"/>
          <w:szCs w:val="72"/>
        </w:rPr>
        <w:t>概况</w:t>
      </w:r>
    </w:p>
    <w:p>
      <w:pPr>
        <w:pStyle w:val="11"/>
        <w:spacing w:line="600" w:lineRule="exact"/>
        <w:ind w:firstLine="600"/>
        <w:jc w:val="left"/>
        <w:rPr>
          <w:rFonts w:ascii="黑体" w:hAnsi="黑体" w:eastAsia="黑体" w:cs="黑体"/>
          <w:sz w:val="30"/>
          <w:szCs w:val="30"/>
        </w:rPr>
      </w:pPr>
      <w:r>
        <w:rPr>
          <w:rFonts w:hint="eastAsia" w:ascii="黑体" w:hAnsi="黑体" w:eastAsia="黑体" w:cs="黑体"/>
          <w:sz w:val="30"/>
          <w:szCs w:val="30"/>
        </w:rPr>
        <w:t>一、部门职责</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（一）执行本级人民代表大会决议和上级国家行政机关的决定和命令，发布决定和命令;落实国家政策，严格依法行政。</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二）执行本乡镇区域内的经济和社会发展计划、预算，管理本乡镇区域内的经济、教育、科学、文化、体育事业和财政、民政、公安、司法行政、计划生育等行政工作;发展乡村经济、文化和社会事业，提供公共服务。</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（三）.保护社会主义全民所有制的财产和劳动群众集体所有制的财产，保护公民私人所有的合法财产，维护社会稳定，保障公民的人身权利、民主权利和其他权利。</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（四）保护各种经济组织的合法权益。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（五）保障宪法和法律赋予妇女的男女平等、同工同酬和婚姻自由等各项权利。</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（六）办理上级人民政府交办的其他事项。</w:t>
      </w:r>
    </w:p>
    <w:p>
      <w:pPr>
        <w:widowControl/>
        <w:spacing w:line="600" w:lineRule="exact"/>
        <w:ind w:firstLine="600" w:firstLineChars="200"/>
        <w:rPr>
          <w:rFonts w:ascii="黑体" w:hAnsi="黑体" w:eastAsia="黑体" w:cs="黑体"/>
          <w:bCs/>
          <w:kern w:val="0"/>
          <w:sz w:val="30"/>
          <w:szCs w:val="30"/>
        </w:rPr>
      </w:pPr>
      <w:r>
        <w:rPr>
          <w:rFonts w:hint="eastAsia" w:ascii="黑体" w:hAnsi="黑体" w:eastAsia="黑体" w:cs="黑体"/>
          <w:bCs/>
          <w:kern w:val="0"/>
          <w:sz w:val="30"/>
          <w:szCs w:val="30"/>
        </w:rPr>
        <w:t>二、机构设置及决算单位构成</w:t>
      </w:r>
    </w:p>
    <w:p>
      <w:pPr>
        <w:widowControl/>
        <w:spacing w:line="60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（一）机构设置情况</w:t>
      </w:r>
    </w:p>
    <w:p>
      <w:pPr>
        <w:spacing w:line="600" w:lineRule="exact"/>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单位内设机构12个，分别为：党政办公室、党建办公室、经济发展办公室、社会事务办公室、自然资源和生态环境办公室、社会治安和应急管理办公室、财政财务管理办公室、社会事务综合服务中心、农业综合服务中心、党群和政务服务中心、退役军人服务站、综合行政执法大队。</w:t>
      </w:r>
    </w:p>
    <w:p>
      <w:pPr>
        <w:spacing w:line="600" w:lineRule="exact"/>
        <w:ind w:firstLine="602" w:firstLineChars="200"/>
        <w:jc w:val="left"/>
        <w:rPr>
          <w:rFonts w:ascii="仿宋" w:hAnsi="仿宋" w:eastAsia="仿宋" w:cs="仿宋"/>
          <w:b/>
          <w:kern w:val="0"/>
          <w:sz w:val="30"/>
          <w:szCs w:val="30"/>
        </w:rPr>
      </w:pPr>
      <w:r>
        <w:rPr>
          <w:rFonts w:hint="eastAsia" w:ascii="仿宋" w:hAnsi="仿宋" w:eastAsia="仿宋" w:cs="仿宋"/>
          <w:b/>
          <w:kern w:val="0"/>
          <w:sz w:val="30"/>
          <w:szCs w:val="30"/>
        </w:rPr>
        <w:t>（二）决算单位构成</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bCs/>
          <w:kern w:val="0"/>
          <w:sz w:val="30"/>
          <w:szCs w:val="30"/>
        </w:rPr>
        <w:t>衡龙桥镇只有本级，没有其他二级决算单位，因此，纳入202</w:t>
      </w:r>
      <w:r>
        <w:rPr>
          <w:rFonts w:hint="eastAsia" w:ascii="仿宋" w:hAnsi="仿宋" w:eastAsia="仿宋" w:cs="仿宋"/>
          <w:bCs/>
          <w:kern w:val="0"/>
          <w:sz w:val="30"/>
          <w:szCs w:val="30"/>
          <w:lang w:val="en-US" w:eastAsia="zh-CN"/>
        </w:rPr>
        <w:t>2</w:t>
      </w:r>
      <w:r>
        <w:rPr>
          <w:rFonts w:hint="eastAsia" w:ascii="仿宋" w:hAnsi="仿宋" w:eastAsia="仿宋" w:cs="仿宋"/>
          <w:bCs/>
          <w:kern w:val="0"/>
          <w:sz w:val="30"/>
          <w:szCs w:val="30"/>
        </w:rPr>
        <w:t>年部门决算编制范围只有衡龙桥镇本级。</w:t>
      </w:r>
    </w:p>
    <w:p>
      <w:pPr>
        <w:spacing w:line="600" w:lineRule="exact"/>
        <w:jc w:val="both"/>
        <w:rPr>
          <w:rFonts w:ascii="仿宋" w:hAnsi="仿宋" w:eastAsia="仿宋" w:cs="仿宋"/>
          <w:sz w:val="30"/>
          <w:szCs w:val="30"/>
        </w:rPr>
      </w:pPr>
    </w:p>
    <w:p>
      <w:pPr>
        <w:spacing w:line="600" w:lineRule="exact"/>
        <w:ind w:firstLine="600" w:firstLineChars="200"/>
        <w:jc w:val="center"/>
        <w:rPr>
          <w:rFonts w:ascii="仿宋" w:hAnsi="仿宋" w:eastAsia="仿宋" w:cs="仿宋"/>
          <w:sz w:val="30"/>
          <w:szCs w:val="30"/>
        </w:rPr>
      </w:pPr>
    </w:p>
    <w:p>
      <w:pPr>
        <w:spacing w:line="600" w:lineRule="exact"/>
        <w:jc w:val="both"/>
        <w:rPr>
          <w:rFonts w:ascii="仿宋" w:hAnsi="仿宋" w:eastAsia="仿宋" w:cs="仿宋"/>
          <w:sz w:val="30"/>
          <w:szCs w:val="30"/>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numPr>
          <w:ilvl w:val="0"/>
          <w:numId w:val="1"/>
        </w:numPr>
        <w:jc w:val="center"/>
        <w:rPr>
          <w:rFonts w:hint="eastAsia" w:ascii="黑体" w:hAnsi="黑体" w:eastAsia="黑体" w:cs="黑体"/>
          <w:sz w:val="72"/>
          <w:szCs w:val="72"/>
        </w:rPr>
      </w:pPr>
      <w:r>
        <w:rPr>
          <w:rFonts w:hint="eastAsia" w:ascii="黑体" w:hAnsi="黑体" w:eastAsia="黑体" w:cs="黑体"/>
          <w:sz w:val="72"/>
          <w:szCs w:val="72"/>
        </w:rPr>
        <w:t>部门决算表</w:t>
      </w:r>
    </w:p>
    <w:p>
      <w:pPr>
        <w:numPr>
          <w:ilvl w:val="0"/>
          <w:numId w:val="0"/>
        </w:numPr>
        <w:jc w:val="both"/>
        <w:rPr>
          <w:rFonts w:ascii="仿宋" w:hAnsi="仿宋" w:eastAsia="仿宋" w:cs="仿宋"/>
          <w:sz w:val="30"/>
          <w:szCs w:val="30"/>
        </w:rPr>
      </w:pPr>
    </w:p>
    <w:p>
      <w:pPr>
        <w:numPr>
          <w:ilvl w:val="0"/>
          <w:numId w:val="0"/>
        </w:numPr>
        <w:jc w:val="both"/>
        <w:rPr>
          <w:rFonts w:ascii="仿宋" w:hAnsi="仿宋" w:eastAsia="仿宋" w:cs="仿宋"/>
          <w:sz w:val="30"/>
          <w:szCs w:val="30"/>
        </w:rPr>
      </w:pPr>
    </w:p>
    <w:p>
      <w:pPr>
        <w:numPr>
          <w:ilvl w:val="0"/>
          <w:numId w:val="0"/>
        </w:numPr>
        <w:jc w:val="both"/>
      </w:pPr>
      <w:r>
        <w:drawing>
          <wp:inline distT="0" distB="0" distL="114300" distR="114300">
            <wp:extent cx="5607685" cy="442531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7685" cy="4425315"/>
                    </a:xfrm>
                    <a:prstGeom prst="rect">
                      <a:avLst/>
                    </a:prstGeom>
                    <a:noFill/>
                    <a:ln>
                      <a:noFill/>
                    </a:ln>
                  </pic:spPr>
                </pic:pic>
              </a:graphicData>
            </a:graphic>
          </wp:inline>
        </w:drawing>
      </w:r>
    </w:p>
    <w:p>
      <w:pPr>
        <w:numPr>
          <w:ilvl w:val="0"/>
          <w:numId w:val="0"/>
        </w:numPr>
        <w:jc w:val="both"/>
      </w:pPr>
    </w:p>
    <w:p>
      <w:pPr>
        <w:numPr>
          <w:ilvl w:val="0"/>
          <w:numId w:val="0"/>
        </w:numPr>
        <w:jc w:val="both"/>
      </w:pPr>
    </w:p>
    <w:p>
      <w:pPr>
        <w:numPr>
          <w:ilvl w:val="0"/>
          <w:numId w:val="0"/>
        </w:numPr>
        <w:jc w:val="both"/>
      </w:pPr>
    </w:p>
    <w:p>
      <w:pPr>
        <w:numPr>
          <w:ilvl w:val="0"/>
          <w:numId w:val="0"/>
        </w:numPr>
        <w:jc w:val="both"/>
        <w:sectPr>
          <w:pgSz w:w="11906" w:h="16838"/>
          <w:pgMar w:top="1134" w:right="1531" w:bottom="1134" w:left="1531" w:header="851" w:footer="992" w:gutter="0"/>
          <w:cols w:space="0" w:num="1"/>
          <w:docGrid w:type="lines" w:linePitch="312" w:charSpace="0"/>
        </w:sectPr>
      </w:pPr>
    </w:p>
    <w:p>
      <w:pPr>
        <w:pStyle w:val="10"/>
        <w:jc w:val="both"/>
      </w:pPr>
      <w:r>
        <w:drawing>
          <wp:inline distT="0" distB="0" distL="114300" distR="114300">
            <wp:extent cx="5612130" cy="7397750"/>
            <wp:effectExtent l="0" t="0" r="762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2130" cy="7397750"/>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5615305" cy="8249285"/>
            <wp:effectExtent l="0" t="0" r="444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15305" cy="8249285"/>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5609590" cy="4058920"/>
            <wp:effectExtent l="0" t="0" r="1016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609590" cy="4058920"/>
                    </a:xfrm>
                    <a:prstGeom prst="rect">
                      <a:avLst/>
                    </a:prstGeom>
                    <a:noFill/>
                    <a:ln>
                      <a:noFill/>
                    </a:ln>
                  </pic:spPr>
                </pic:pic>
              </a:graphicData>
            </a:graphic>
          </wp:inline>
        </w:drawing>
      </w:r>
    </w:p>
    <w:p>
      <w:pPr>
        <w:pStyle w:val="10"/>
        <w:jc w:val="both"/>
      </w:pPr>
    </w:p>
    <w:p>
      <w:pPr>
        <w:pStyle w:val="10"/>
        <w:jc w:val="both"/>
        <w:rPr>
          <w:rFonts w:hint="eastAsia"/>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r>
        <w:drawing>
          <wp:inline distT="0" distB="0" distL="114300" distR="114300">
            <wp:extent cx="5436870" cy="9903460"/>
            <wp:effectExtent l="0" t="0" r="1143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36870" cy="9903460"/>
                    </a:xfrm>
                    <a:prstGeom prst="rect">
                      <a:avLst/>
                    </a:prstGeom>
                    <a:noFill/>
                    <a:ln>
                      <a:noFill/>
                    </a:ln>
                  </pic:spPr>
                </pic:pic>
              </a:graphicData>
            </a:graphic>
          </wp:inline>
        </w:drawing>
      </w:r>
    </w:p>
    <w:p>
      <w:pPr>
        <w:pStyle w:val="10"/>
        <w:jc w:val="both"/>
      </w:pPr>
      <w:r>
        <w:drawing>
          <wp:inline distT="0" distB="0" distL="114300" distR="114300">
            <wp:extent cx="5607685" cy="3772535"/>
            <wp:effectExtent l="0" t="0" r="1206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607685" cy="3772535"/>
                    </a:xfrm>
                    <a:prstGeom prst="rect">
                      <a:avLst/>
                    </a:prstGeom>
                    <a:noFill/>
                    <a:ln>
                      <a:noFill/>
                    </a:ln>
                  </pic:spPr>
                </pic:pic>
              </a:graphicData>
            </a:graphic>
          </wp:inline>
        </w:drawing>
      </w:r>
    </w:p>
    <w:p>
      <w:pPr>
        <w:pStyle w:val="10"/>
        <w:jc w:val="both"/>
      </w:pPr>
    </w:p>
    <w:p>
      <w:pPr>
        <w:pStyle w:val="10"/>
        <w:jc w:val="both"/>
      </w:pPr>
    </w:p>
    <w:p>
      <w:pPr>
        <w:pStyle w:val="10"/>
        <w:jc w:val="both"/>
      </w:pPr>
    </w:p>
    <w:p>
      <w:pPr>
        <w:pStyle w:val="10"/>
        <w:jc w:val="both"/>
      </w:pPr>
    </w:p>
    <w:p>
      <w:pPr>
        <w:pStyle w:val="10"/>
        <w:jc w:val="both"/>
      </w:pPr>
    </w:p>
    <w:p>
      <w:pPr>
        <w:pStyle w:val="10"/>
        <w:jc w:val="both"/>
      </w:pPr>
    </w:p>
    <w:p>
      <w:pPr>
        <w:pStyle w:val="10"/>
        <w:jc w:val="both"/>
      </w:pPr>
      <w:r>
        <w:drawing>
          <wp:inline distT="0" distB="0" distL="114300" distR="114300">
            <wp:extent cx="5615940" cy="2137410"/>
            <wp:effectExtent l="0" t="0" r="3810" b="152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15940" cy="2137410"/>
                    </a:xfrm>
                    <a:prstGeom prst="rect">
                      <a:avLst/>
                    </a:prstGeom>
                    <a:noFill/>
                    <a:ln>
                      <a:noFill/>
                    </a:ln>
                  </pic:spPr>
                </pic:pic>
              </a:graphicData>
            </a:graphic>
          </wp:inline>
        </w:drawing>
      </w:r>
    </w:p>
    <w:p>
      <w:pPr>
        <w:pStyle w:val="10"/>
        <w:jc w:val="both"/>
      </w:pPr>
    </w:p>
    <w:p>
      <w:pPr>
        <w:pStyle w:val="10"/>
        <w:jc w:val="both"/>
      </w:pPr>
    </w:p>
    <w:p>
      <w:pPr>
        <w:pStyle w:val="10"/>
        <w:jc w:val="both"/>
      </w:pPr>
      <w:r>
        <w:drawing>
          <wp:inline distT="0" distB="0" distL="114300" distR="114300">
            <wp:extent cx="5612130" cy="2540000"/>
            <wp:effectExtent l="0" t="0" r="762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612130" cy="2540000"/>
                    </a:xfrm>
                    <a:prstGeom prst="rect">
                      <a:avLst/>
                    </a:prstGeom>
                    <a:noFill/>
                    <a:ln>
                      <a:noFill/>
                    </a:ln>
                  </pic:spPr>
                </pic:pic>
              </a:graphicData>
            </a:graphic>
          </wp:inline>
        </w:drawing>
      </w:r>
    </w:p>
    <w:p>
      <w:pPr>
        <w:pStyle w:val="10"/>
        <w:jc w:val="both"/>
        <w:rPr>
          <w:rFonts w:hint="eastAsia" w:eastAsia="黑体"/>
          <w:lang w:eastAsia="zh-CN"/>
        </w:rPr>
      </w:pPr>
      <w:r>
        <w:rPr>
          <w:rFonts w:hint="eastAsia"/>
          <w:lang w:eastAsia="zh-CN"/>
        </w:rPr>
        <w:t>本年本单位无国有资本经营预算财政拨款支出，本表无数据。</w:t>
      </w:r>
    </w:p>
    <w:p>
      <w:pPr>
        <w:pStyle w:val="10"/>
        <w:jc w:val="both"/>
        <w:rPr>
          <w:rFonts w:hint="eastAsia" w:hAnsi="黑体" w:eastAsia="黑体"/>
          <w:sz w:val="72"/>
          <w:szCs w:val="72"/>
          <w:lang w:eastAsia="zh-CN"/>
        </w:rPr>
      </w:pPr>
    </w:p>
    <w:p>
      <w:pPr>
        <w:pStyle w:val="10"/>
        <w:jc w:val="both"/>
        <w:rPr>
          <w:rFonts w:hint="eastAsia" w:hAnsi="黑体"/>
          <w:sz w:val="72"/>
          <w:szCs w:val="72"/>
        </w:rPr>
      </w:pPr>
    </w:p>
    <w:p>
      <w:pPr>
        <w:pStyle w:val="10"/>
        <w:jc w:val="both"/>
        <w:rPr>
          <w:rFonts w:hint="eastAsia" w:hAnsi="黑体"/>
          <w:sz w:val="72"/>
          <w:szCs w:val="72"/>
        </w:rPr>
      </w:pPr>
      <w:bookmarkStart w:id="0" w:name="_GoBack"/>
      <w:bookmarkEnd w:id="0"/>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r>
        <w:drawing>
          <wp:inline distT="0" distB="0" distL="114300" distR="114300">
            <wp:extent cx="6387465" cy="1085850"/>
            <wp:effectExtent l="0" t="0" r="133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387465" cy="1085850"/>
                    </a:xfrm>
                    <a:prstGeom prst="rect">
                      <a:avLst/>
                    </a:prstGeom>
                    <a:noFill/>
                    <a:ln>
                      <a:noFill/>
                    </a:ln>
                  </pic:spPr>
                </pic:pic>
              </a:graphicData>
            </a:graphic>
          </wp:inline>
        </w:drawing>
      </w: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int="eastAsia" w:hAnsi="黑体"/>
          <w:sz w:val="72"/>
          <w:szCs w:val="72"/>
        </w:rPr>
      </w:pPr>
    </w:p>
    <w:p>
      <w:pPr>
        <w:pStyle w:val="10"/>
        <w:jc w:val="both"/>
        <w:rPr>
          <w:rFonts w:hAnsi="黑体"/>
          <w:sz w:val="72"/>
          <w:szCs w:val="72"/>
        </w:rPr>
      </w:pPr>
      <w:r>
        <w:rPr>
          <w:rFonts w:hint="eastAsia" w:hAnsi="黑体"/>
          <w:sz w:val="72"/>
          <w:szCs w:val="72"/>
        </w:rPr>
        <w:t>第三部分</w:t>
      </w:r>
      <w:r>
        <w:rPr>
          <w:rFonts w:hint="eastAsia" w:hAnsi="黑体"/>
          <w:w w:val="50"/>
          <w:sz w:val="72"/>
          <w:szCs w:val="72"/>
        </w:rPr>
        <w:t xml:space="preserve"> </w:t>
      </w:r>
      <w:r>
        <w:rPr>
          <w:rFonts w:hint="eastAsia" w:hAnsi="黑体"/>
          <w:sz w:val="72"/>
          <w:szCs w:val="72"/>
        </w:rPr>
        <w:t>部门决算情况说明</w:t>
      </w:r>
    </w:p>
    <w:p>
      <w:pPr>
        <w:widowControl/>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sz w:val="30"/>
          <w:szCs w:val="30"/>
        </w:rPr>
        <w:br w:type="page"/>
      </w:r>
    </w:p>
    <w:p>
      <w:pPr>
        <w:pStyle w:val="10"/>
        <w:spacing w:line="600" w:lineRule="exact"/>
        <w:ind w:firstLine="600" w:firstLineChars="200"/>
        <w:rPr>
          <w:rFonts w:hAnsi="黑体"/>
          <w:bCs/>
          <w:sz w:val="30"/>
          <w:szCs w:val="30"/>
        </w:rPr>
      </w:pPr>
      <w:r>
        <w:rPr>
          <w:rFonts w:hint="eastAsia" w:hAnsi="黑体"/>
          <w:bCs/>
          <w:sz w:val="30"/>
          <w:szCs w:val="30"/>
        </w:rPr>
        <w:t>一、收入支出决算总体情况说明2854.87</w:t>
      </w:r>
    </w:p>
    <w:p>
      <w:pPr>
        <w:wordWrap w:val="0"/>
        <w:spacing w:line="600" w:lineRule="exact"/>
        <w:ind w:firstLine="600" w:firstLineChars="200"/>
        <w:rPr>
          <w:rFonts w:ascii="仿宋" w:hAnsi="仿宋" w:eastAsia="仿宋" w:cs="仿宋"/>
          <w:color w:val="0000FF"/>
          <w:sz w:val="30"/>
          <w:szCs w:val="30"/>
        </w:rPr>
      </w:pP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年度收入总计</w:t>
      </w:r>
      <w:r>
        <w:rPr>
          <w:rFonts w:hint="eastAsia" w:hAnsi="黑体"/>
          <w:bCs/>
          <w:sz w:val="30"/>
          <w:szCs w:val="30"/>
        </w:rPr>
        <w:t>2854.87</w:t>
      </w:r>
      <w:r>
        <w:rPr>
          <w:rFonts w:hint="eastAsia" w:ascii="仿宋" w:hAnsi="仿宋" w:eastAsia="仿宋" w:cs="仿宋"/>
          <w:color w:val="000000"/>
          <w:kern w:val="0"/>
          <w:sz w:val="30"/>
          <w:szCs w:val="30"/>
        </w:rPr>
        <w:t>万元，与上年相比，减少</w:t>
      </w:r>
      <w:r>
        <w:rPr>
          <w:rFonts w:hint="eastAsia" w:ascii="仿宋" w:hAnsi="仿宋" w:eastAsia="仿宋" w:cs="仿宋"/>
          <w:color w:val="000000"/>
          <w:kern w:val="0"/>
          <w:sz w:val="30"/>
          <w:szCs w:val="30"/>
          <w:lang w:val="en-US" w:eastAsia="zh-CN"/>
        </w:rPr>
        <w:t>52.48</w:t>
      </w:r>
      <w:r>
        <w:rPr>
          <w:rFonts w:hint="eastAsia" w:ascii="仿宋" w:hAnsi="仿宋" w:eastAsia="仿宋" w:cs="仿宋"/>
          <w:color w:val="000000"/>
          <w:kern w:val="0"/>
          <w:sz w:val="30"/>
          <w:szCs w:val="30"/>
        </w:rPr>
        <w:t>万元，减少</w:t>
      </w:r>
      <w:r>
        <w:rPr>
          <w:rFonts w:hint="eastAsia" w:ascii="仿宋" w:hAnsi="仿宋" w:eastAsia="仿宋" w:cs="仿宋"/>
          <w:color w:val="000000"/>
          <w:kern w:val="0"/>
          <w:sz w:val="30"/>
          <w:szCs w:val="30"/>
          <w:lang w:val="en-US" w:eastAsia="zh-CN"/>
        </w:rPr>
        <w:t>1.81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rPr>
        <w:t>支出总计</w:t>
      </w:r>
      <w:r>
        <w:rPr>
          <w:rFonts w:hint="eastAsia" w:hAnsi="黑体"/>
          <w:bCs/>
          <w:sz w:val="30"/>
          <w:szCs w:val="30"/>
        </w:rPr>
        <w:t>2854.87</w:t>
      </w:r>
      <w:r>
        <w:rPr>
          <w:rFonts w:hint="eastAsia" w:ascii="仿宋" w:hAnsi="仿宋" w:eastAsia="仿宋" w:cs="仿宋"/>
          <w:color w:val="000000"/>
          <w:kern w:val="0"/>
          <w:sz w:val="30"/>
          <w:szCs w:val="30"/>
        </w:rPr>
        <w:t>万元，减少</w:t>
      </w:r>
      <w:r>
        <w:rPr>
          <w:rFonts w:hint="eastAsia" w:ascii="仿宋" w:hAnsi="仿宋" w:eastAsia="仿宋" w:cs="仿宋"/>
          <w:color w:val="000000"/>
          <w:kern w:val="0"/>
          <w:sz w:val="30"/>
          <w:szCs w:val="30"/>
          <w:lang w:val="en-US" w:eastAsia="zh-CN"/>
        </w:rPr>
        <w:t>52.48</w:t>
      </w:r>
      <w:r>
        <w:rPr>
          <w:rFonts w:hint="eastAsia" w:ascii="仿宋" w:hAnsi="仿宋" w:eastAsia="仿宋" w:cs="仿宋"/>
          <w:color w:val="000000"/>
          <w:kern w:val="0"/>
          <w:sz w:val="30"/>
          <w:szCs w:val="30"/>
        </w:rPr>
        <w:t>万元，减少</w:t>
      </w:r>
      <w:r>
        <w:rPr>
          <w:rFonts w:hint="eastAsia" w:ascii="仿宋" w:hAnsi="仿宋" w:eastAsia="仿宋" w:cs="仿宋"/>
          <w:color w:val="000000"/>
          <w:kern w:val="0"/>
          <w:sz w:val="30"/>
          <w:szCs w:val="30"/>
          <w:lang w:val="en-US" w:eastAsia="zh-CN"/>
        </w:rPr>
        <w:t>1.81</w:t>
      </w:r>
      <w:r>
        <w:rPr>
          <w:rFonts w:hint="eastAsia" w:ascii="仿宋" w:hAnsi="仿宋" w:eastAsia="仿宋" w:cs="仿宋"/>
          <w:color w:val="000000"/>
          <w:kern w:val="0"/>
          <w:sz w:val="30"/>
          <w:szCs w:val="30"/>
        </w:rPr>
        <w:t>%。收入</w:t>
      </w:r>
      <w:r>
        <w:rPr>
          <w:rFonts w:hint="eastAsia" w:ascii="仿宋" w:hAnsi="仿宋" w:eastAsia="仿宋" w:cs="仿宋"/>
          <w:color w:val="auto"/>
          <w:kern w:val="0"/>
          <w:sz w:val="30"/>
          <w:szCs w:val="30"/>
        </w:rPr>
        <w:t>和支出减少</w:t>
      </w:r>
      <w:r>
        <w:rPr>
          <w:rFonts w:hint="eastAsia" w:ascii="仿宋" w:hAnsi="仿宋" w:eastAsia="仿宋" w:cs="仿宋"/>
          <w:color w:val="auto"/>
          <w:sz w:val="30"/>
          <w:szCs w:val="30"/>
        </w:rPr>
        <w:t>主要是</w:t>
      </w:r>
      <w:r>
        <w:rPr>
          <w:rFonts w:hint="eastAsia" w:ascii="仿宋" w:hAnsi="仿宋" w:eastAsia="仿宋" w:cs="仿宋"/>
          <w:color w:val="auto"/>
          <w:sz w:val="30"/>
          <w:szCs w:val="30"/>
          <w:lang w:eastAsia="zh-CN"/>
        </w:rPr>
        <w:t>上年度收入结余三百多万，本年无此项目</w:t>
      </w:r>
      <w:r>
        <w:rPr>
          <w:rFonts w:hint="eastAsia" w:ascii="仿宋" w:hAnsi="仿宋" w:eastAsia="仿宋" w:cs="仿宋"/>
          <w:color w:val="000000"/>
          <w:kern w:val="0"/>
          <w:sz w:val="30"/>
          <w:szCs w:val="30"/>
        </w:rPr>
        <w:t>。</w:t>
      </w:r>
    </w:p>
    <w:p>
      <w:pPr>
        <w:pStyle w:val="10"/>
        <w:spacing w:line="600" w:lineRule="exact"/>
        <w:ind w:firstLine="600" w:firstLineChars="200"/>
        <w:rPr>
          <w:rFonts w:hAnsi="黑体"/>
          <w:bCs/>
          <w:sz w:val="30"/>
          <w:szCs w:val="30"/>
        </w:rPr>
      </w:pPr>
      <w:r>
        <w:rPr>
          <w:rFonts w:hint="eastAsia" w:hAnsi="黑体"/>
          <w:bCs/>
          <w:sz w:val="30"/>
          <w:szCs w:val="30"/>
        </w:rPr>
        <w:t>二、收入决算情况说明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年度收入合计</w:t>
      </w:r>
      <w:r>
        <w:rPr>
          <w:rFonts w:hint="eastAsia" w:hAnsi="黑体"/>
          <w:bCs/>
          <w:sz w:val="30"/>
          <w:szCs w:val="30"/>
        </w:rPr>
        <w:t>2854.87</w:t>
      </w:r>
      <w:r>
        <w:rPr>
          <w:rFonts w:hint="eastAsia" w:ascii="仿宋" w:hAnsi="仿宋" w:eastAsia="仿宋" w:cs="仿宋"/>
          <w:sz w:val="30"/>
          <w:szCs w:val="30"/>
        </w:rPr>
        <w:t>万元，其中：财政拨款收入2751.87万元，占</w:t>
      </w:r>
      <w:r>
        <w:rPr>
          <w:rFonts w:hint="eastAsia" w:ascii="仿宋" w:hAnsi="仿宋" w:eastAsia="仿宋" w:cs="仿宋"/>
          <w:sz w:val="30"/>
          <w:szCs w:val="30"/>
          <w:lang w:val="en-US" w:eastAsia="zh-CN"/>
        </w:rPr>
        <w:t>96.39</w:t>
      </w:r>
      <w:r>
        <w:rPr>
          <w:rFonts w:hint="eastAsia" w:ascii="仿宋" w:hAnsi="仿宋" w:eastAsia="仿宋" w:cs="仿宋"/>
          <w:sz w:val="30"/>
          <w:szCs w:val="30"/>
        </w:rPr>
        <w:t>%；上级补助收入0万元，占0%；事业收入0万元，占0%；经营收入0万元，占0%；附属单位上缴收入0万元，占0%；其他收入103万元，占</w:t>
      </w:r>
      <w:r>
        <w:rPr>
          <w:rFonts w:hint="eastAsia" w:ascii="仿宋" w:hAnsi="仿宋" w:eastAsia="仿宋" w:cs="仿宋"/>
          <w:sz w:val="30"/>
          <w:szCs w:val="30"/>
          <w:lang w:val="en-US" w:eastAsia="zh-CN"/>
        </w:rPr>
        <w:t>3.61</w:t>
      </w:r>
      <w:r>
        <w:rPr>
          <w:rFonts w:hint="eastAsia" w:ascii="仿宋" w:hAnsi="仿宋" w:eastAsia="仿宋" w:cs="仿宋"/>
          <w:sz w:val="30"/>
          <w:szCs w:val="30"/>
        </w:rPr>
        <w:t>%。</w:t>
      </w:r>
    </w:p>
    <w:p>
      <w:pPr>
        <w:pStyle w:val="10"/>
        <w:spacing w:line="600" w:lineRule="exact"/>
        <w:ind w:firstLine="600" w:firstLineChars="200"/>
        <w:rPr>
          <w:rFonts w:hAnsi="黑体"/>
          <w:bCs/>
          <w:sz w:val="30"/>
          <w:szCs w:val="30"/>
        </w:rPr>
      </w:pPr>
      <w:r>
        <w:rPr>
          <w:rFonts w:hint="eastAsia" w:hAnsi="黑体"/>
          <w:bCs/>
          <w:sz w:val="30"/>
          <w:szCs w:val="30"/>
        </w:rPr>
        <w:t>三、支出决算情况说明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年度支出合计</w:t>
      </w:r>
      <w:r>
        <w:rPr>
          <w:rFonts w:hint="eastAsia" w:hAnsi="黑体"/>
          <w:bCs/>
          <w:sz w:val="30"/>
          <w:szCs w:val="30"/>
        </w:rPr>
        <w:t>2854.87</w:t>
      </w:r>
      <w:r>
        <w:rPr>
          <w:rFonts w:hint="eastAsia" w:ascii="仿宋" w:hAnsi="仿宋" w:eastAsia="仿宋" w:cs="仿宋"/>
          <w:sz w:val="30"/>
          <w:szCs w:val="30"/>
        </w:rPr>
        <w:t>万元，其中：基本支出2047.85万元，占</w:t>
      </w:r>
      <w:r>
        <w:rPr>
          <w:rFonts w:hint="eastAsia" w:ascii="仿宋" w:hAnsi="仿宋" w:eastAsia="仿宋" w:cs="仿宋"/>
          <w:sz w:val="30"/>
          <w:szCs w:val="30"/>
          <w:lang w:val="en-US" w:eastAsia="zh-CN"/>
        </w:rPr>
        <w:t>71.73</w:t>
      </w:r>
      <w:r>
        <w:rPr>
          <w:rFonts w:hint="eastAsia" w:ascii="仿宋" w:hAnsi="仿宋" w:eastAsia="仿宋" w:cs="仿宋"/>
          <w:sz w:val="30"/>
          <w:szCs w:val="30"/>
        </w:rPr>
        <w:t>%；项目支出807.03万元，占</w:t>
      </w:r>
      <w:r>
        <w:rPr>
          <w:rFonts w:hint="eastAsia" w:ascii="仿宋" w:hAnsi="仿宋" w:eastAsia="仿宋" w:cs="仿宋"/>
          <w:sz w:val="30"/>
          <w:szCs w:val="30"/>
          <w:lang w:val="en-US" w:eastAsia="zh-CN"/>
        </w:rPr>
        <w:t>28.27</w:t>
      </w:r>
      <w:r>
        <w:rPr>
          <w:rFonts w:hint="eastAsia" w:ascii="仿宋" w:hAnsi="仿宋" w:eastAsia="仿宋" w:cs="仿宋"/>
          <w:sz w:val="30"/>
          <w:szCs w:val="30"/>
        </w:rPr>
        <w:t>%；上缴上级支出0万元，占0%；经营支出0万元，占0%；对附属单位补助支出0万元，占0%。</w:t>
      </w:r>
    </w:p>
    <w:p>
      <w:pPr>
        <w:pStyle w:val="10"/>
        <w:spacing w:line="600" w:lineRule="exact"/>
        <w:ind w:firstLine="600" w:firstLineChars="200"/>
        <w:rPr>
          <w:rFonts w:hAnsi="黑体"/>
          <w:bCs/>
          <w:sz w:val="30"/>
          <w:szCs w:val="30"/>
        </w:rPr>
      </w:pPr>
      <w:r>
        <w:rPr>
          <w:rFonts w:hint="eastAsia" w:hAnsi="黑体"/>
          <w:bCs/>
          <w:sz w:val="30"/>
          <w:szCs w:val="30"/>
        </w:rPr>
        <w:t>四、财政拨款收入支出决算总体情况说明</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202</w:t>
      </w: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年度财政拨款收入总计</w:t>
      </w:r>
      <w:r>
        <w:rPr>
          <w:rFonts w:hint="eastAsia" w:hAnsi="黑体"/>
          <w:bCs/>
          <w:sz w:val="30"/>
          <w:szCs w:val="30"/>
        </w:rPr>
        <w:t>2854.87</w:t>
      </w:r>
      <w:r>
        <w:rPr>
          <w:rFonts w:hint="eastAsia" w:ascii="仿宋" w:hAnsi="仿宋" w:eastAsia="仿宋" w:cs="仿宋"/>
          <w:color w:val="000000"/>
          <w:kern w:val="0"/>
          <w:sz w:val="30"/>
          <w:szCs w:val="30"/>
        </w:rPr>
        <w:t>万元，与上年相比，减少</w:t>
      </w:r>
      <w:r>
        <w:rPr>
          <w:rFonts w:hint="eastAsia" w:ascii="仿宋" w:hAnsi="仿宋" w:eastAsia="仿宋" w:cs="仿宋"/>
          <w:color w:val="000000"/>
          <w:kern w:val="0"/>
          <w:sz w:val="30"/>
          <w:szCs w:val="30"/>
          <w:lang w:val="en-US" w:eastAsia="zh-CN"/>
        </w:rPr>
        <w:t>52.48</w:t>
      </w:r>
      <w:r>
        <w:rPr>
          <w:rFonts w:hint="eastAsia" w:ascii="仿宋" w:hAnsi="仿宋" w:eastAsia="仿宋" w:cs="仿宋"/>
          <w:color w:val="000000"/>
          <w:kern w:val="0"/>
          <w:sz w:val="30"/>
          <w:szCs w:val="30"/>
        </w:rPr>
        <w:t>万元，减少</w:t>
      </w:r>
      <w:r>
        <w:rPr>
          <w:rFonts w:hint="eastAsia" w:ascii="仿宋" w:hAnsi="仿宋" w:eastAsia="仿宋" w:cs="仿宋"/>
          <w:color w:val="000000"/>
          <w:kern w:val="0"/>
          <w:sz w:val="30"/>
          <w:szCs w:val="30"/>
          <w:lang w:val="en-US" w:eastAsia="zh-CN"/>
        </w:rPr>
        <w:t>1.81</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w:t>
      </w:r>
      <w:r>
        <w:rPr>
          <w:rFonts w:hint="eastAsia" w:ascii="仿宋" w:hAnsi="仿宋" w:eastAsia="仿宋" w:cs="仿宋"/>
          <w:sz w:val="30"/>
          <w:szCs w:val="30"/>
        </w:rPr>
        <w:t>财政拨款支出总计</w:t>
      </w:r>
      <w:r>
        <w:rPr>
          <w:rFonts w:hint="eastAsia" w:hAnsi="黑体"/>
          <w:bCs/>
          <w:sz w:val="30"/>
          <w:szCs w:val="30"/>
        </w:rPr>
        <w:t>2854.87</w:t>
      </w:r>
      <w:r>
        <w:rPr>
          <w:rFonts w:hint="eastAsia" w:ascii="仿宋" w:hAnsi="仿宋" w:eastAsia="仿宋" w:cs="仿宋"/>
          <w:sz w:val="30"/>
          <w:szCs w:val="30"/>
        </w:rPr>
        <w:t>万元，与上年相比，减少</w:t>
      </w:r>
      <w:r>
        <w:rPr>
          <w:rFonts w:hint="eastAsia" w:ascii="仿宋" w:hAnsi="仿宋" w:eastAsia="仿宋" w:cs="仿宋"/>
          <w:color w:val="000000"/>
          <w:kern w:val="0"/>
          <w:sz w:val="30"/>
          <w:szCs w:val="30"/>
          <w:lang w:val="en-US" w:eastAsia="zh-CN"/>
        </w:rPr>
        <w:t>52.48</w:t>
      </w:r>
      <w:r>
        <w:rPr>
          <w:rFonts w:hint="eastAsia" w:ascii="仿宋" w:hAnsi="仿宋" w:eastAsia="仿宋" w:cs="仿宋"/>
          <w:sz w:val="30"/>
          <w:szCs w:val="30"/>
        </w:rPr>
        <w:t>万元，减少</w:t>
      </w:r>
      <w:r>
        <w:rPr>
          <w:rFonts w:hint="eastAsia" w:ascii="仿宋" w:hAnsi="仿宋" w:eastAsia="仿宋" w:cs="仿宋"/>
          <w:color w:val="000000"/>
          <w:kern w:val="0"/>
          <w:sz w:val="30"/>
          <w:szCs w:val="30"/>
          <w:lang w:val="en-US" w:eastAsia="zh-CN"/>
        </w:rPr>
        <w:t>1.81</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color w:val="000000"/>
          <w:kern w:val="0"/>
          <w:sz w:val="30"/>
          <w:szCs w:val="30"/>
        </w:rPr>
        <w:t>财政拨款收入</w:t>
      </w:r>
      <w:r>
        <w:rPr>
          <w:rFonts w:hint="eastAsia" w:ascii="仿宋" w:hAnsi="仿宋" w:eastAsia="仿宋" w:cs="仿宋"/>
          <w:color w:val="000000"/>
          <w:kern w:val="0"/>
          <w:sz w:val="30"/>
          <w:szCs w:val="30"/>
          <w:lang w:eastAsia="zh-CN"/>
        </w:rPr>
        <w:t>和支出减少</w:t>
      </w:r>
      <w:r>
        <w:rPr>
          <w:rFonts w:hint="eastAsia" w:ascii="仿宋" w:hAnsi="仿宋" w:eastAsia="仿宋" w:cs="仿宋"/>
          <w:sz w:val="30"/>
          <w:szCs w:val="30"/>
        </w:rPr>
        <w:t>主要是</w:t>
      </w:r>
      <w:r>
        <w:rPr>
          <w:rFonts w:hint="eastAsia" w:ascii="仿宋" w:hAnsi="仿宋" w:eastAsia="仿宋" w:cs="仿宋"/>
          <w:color w:val="auto"/>
          <w:sz w:val="30"/>
          <w:szCs w:val="30"/>
          <w:lang w:eastAsia="zh-CN"/>
        </w:rPr>
        <w:t>上年度收入结余三百多万，本年无此项目</w:t>
      </w:r>
      <w:r>
        <w:rPr>
          <w:rFonts w:hint="eastAsia" w:ascii="仿宋" w:hAnsi="仿宋" w:eastAsia="仿宋" w:cs="仿宋"/>
          <w:color w:val="000000"/>
          <w:kern w:val="0"/>
          <w:sz w:val="30"/>
          <w:szCs w:val="30"/>
        </w:rPr>
        <w:t>。</w:t>
      </w:r>
    </w:p>
    <w:p>
      <w:pPr>
        <w:pStyle w:val="10"/>
        <w:spacing w:line="600" w:lineRule="exact"/>
        <w:ind w:firstLine="600" w:firstLineChars="200"/>
        <w:rPr>
          <w:rFonts w:hAnsi="黑体"/>
          <w:bCs/>
          <w:sz w:val="30"/>
          <w:szCs w:val="30"/>
        </w:rPr>
      </w:pPr>
      <w:r>
        <w:rPr>
          <w:rFonts w:hint="eastAsia" w:hAnsi="黑体"/>
          <w:bCs/>
          <w:sz w:val="30"/>
          <w:szCs w:val="30"/>
        </w:rPr>
        <w:t>五、一般公共预算财政拨款支出决算情况说明</w:t>
      </w:r>
    </w:p>
    <w:p>
      <w:pPr>
        <w:pStyle w:val="1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（一）财政拨款支出决算总体情况</w:t>
      </w:r>
    </w:p>
    <w:p>
      <w:pPr>
        <w:pStyle w:val="10"/>
        <w:spacing w:line="600" w:lineRule="exact"/>
        <w:ind w:firstLine="600" w:firstLineChars="200"/>
        <w:rPr>
          <w:rFonts w:ascii="仿宋" w:hAnsi="仿宋" w:eastAsia="仿宋" w:cs="仿宋"/>
          <w:color w:val="FF0000"/>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年度财政拨款支出</w:t>
      </w:r>
      <w:r>
        <w:rPr>
          <w:rFonts w:hint="eastAsia" w:ascii="仿宋" w:hAnsi="仿宋" w:eastAsia="仿宋" w:cs="仿宋"/>
          <w:b/>
          <w:sz w:val="30"/>
          <w:szCs w:val="30"/>
        </w:rPr>
        <w:t>2751.87</w:t>
      </w:r>
      <w:r>
        <w:rPr>
          <w:rFonts w:hint="eastAsia" w:ascii="仿宋" w:hAnsi="仿宋" w:eastAsia="仿宋" w:cs="仿宋"/>
          <w:sz w:val="30"/>
          <w:szCs w:val="30"/>
        </w:rPr>
        <w:t>万元，占本年支出合计的</w:t>
      </w:r>
      <w:r>
        <w:rPr>
          <w:rFonts w:hint="eastAsia" w:ascii="仿宋" w:hAnsi="仿宋" w:eastAsia="仿宋" w:cs="仿宋"/>
          <w:sz w:val="30"/>
          <w:szCs w:val="30"/>
          <w:lang w:val="en-US" w:eastAsia="zh-CN"/>
        </w:rPr>
        <w:t>96.39</w:t>
      </w:r>
      <w:r>
        <w:rPr>
          <w:rFonts w:hint="eastAsia" w:ascii="仿宋" w:hAnsi="仿宋" w:eastAsia="仿宋" w:cs="仿宋"/>
          <w:sz w:val="30"/>
          <w:szCs w:val="30"/>
        </w:rPr>
        <w:t>%，与上年相比，财政拨款支出</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129.48</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4.49</w:t>
      </w:r>
      <w:r>
        <w:rPr>
          <w:rFonts w:hint="eastAsia" w:ascii="仿宋" w:hAnsi="仿宋" w:eastAsia="仿宋" w:cs="仿宋"/>
          <w:sz w:val="30"/>
          <w:szCs w:val="30"/>
        </w:rPr>
        <w:t>%，主要是认真贯彻落实中央“八项规定”精神和厉行节约要求，从严控电费、委托业务费</w:t>
      </w:r>
      <w:r>
        <w:rPr>
          <w:rFonts w:hint="eastAsia" w:ascii="仿宋" w:hAnsi="仿宋" w:eastAsia="仿宋" w:cs="仿宋"/>
          <w:sz w:val="30"/>
          <w:szCs w:val="30"/>
          <w:lang w:val="en-US" w:eastAsia="zh-CN"/>
        </w:rPr>
        <w:t>等</w:t>
      </w:r>
      <w:r>
        <w:rPr>
          <w:rFonts w:hint="eastAsia" w:ascii="仿宋" w:hAnsi="仿宋" w:eastAsia="仿宋" w:cs="仿宋"/>
          <w:sz w:val="30"/>
          <w:szCs w:val="30"/>
        </w:rPr>
        <w:t>经费开支</w:t>
      </w:r>
      <w:r>
        <w:rPr>
          <w:rFonts w:hint="eastAsia" w:ascii="仿宋" w:hAnsi="仿宋" w:eastAsia="仿宋" w:cs="仿宋"/>
          <w:sz w:val="30"/>
          <w:szCs w:val="30"/>
          <w:lang w:val="en-US" w:eastAsia="zh-CN"/>
        </w:rPr>
        <w:t>。</w:t>
      </w:r>
    </w:p>
    <w:p>
      <w:pPr>
        <w:pStyle w:val="1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（二）财政拨款支出决算结构情况</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年度财政拨款支出</w:t>
      </w:r>
      <w:r>
        <w:rPr>
          <w:rFonts w:hint="eastAsia" w:ascii="仿宋" w:hAnsi="仿宋" w:eastAsia="仿宋" w:cs="仿宋"/>
          <w:b/>
          <w:sz w:val="30"/>
          <w:szCs w:val="30"/>
        </w:rPr>
        <w:t>2751.87</w:t>
      </w:r>
      <w:r>
        <w:rPr>
          <w:rFonts w:hint="eastAsia" w:ascii="仿宋" w:hAnsi="仿宋" w:eastAsia="仿宋" w:cs="仿宋"/>
          <w:sz w:val="30"/>
          <w:szCs w:val="30"/>
        </w:rPr>
        <w:t>万元，主要用于以下方面：一般公共服务支出2074.53万元，占</w:t>
      </w:r>
      <w:r>
        <w:rPr>
          <w:rFonts w:hint="eastAsia" w:ascii="仿宋" w:hAnsi="仿宋" w:eastAsia="仿宋" w:cs="仿宋"/>
          <w:sz w:val="30"/>
          <w:szCs w:val="30"/>
          <w:lang w:val="en-US" w:eastAsia="zh-CN"/>
        </w:rPr>
        <w:t>75.38</w:t>
      </w:r>
      <w:r>
        <w:rPr>
          <w:rFonts w:hint="eastAsia" w:ascii="仿宋" w:hAnsi="仿宋" w:eastAsia="仿宋" w:cs="仿宋"/>
          <w:sz w:val="30"/>
          <w:szCs w:val="30"/>
        </w:rPr>
        <w:t>%；文化旅游体育与传媒支出10.17万元，占</w:t>
      </w:r>
      <w:r>
        <w:rPr>
          <w:rFonts w:hint="eastAsia" w:ascii="仿宋" w:hAnsi="仿宋" w:eastAsia="仿宋" w:cs="仿宋"/>
          <w:sz w:val="30"/>
          <w:szCs w:val="30"/>
          <w:lang w:val="en-US" w:eastAsia="zh-CN"/>
        </w:rPr>
        <w:t>0.36</w:t>
      </w:r>
      <w:r>
        <w:rPr>
          <w:rFonts w:hint="eastAsia" w:ascii="仿宋" w:hAnsi="仿宋" w:eastAsia="仿宋" w:cs="仿宋"/>
          <w:sz w:val="30"/>
          <w:szCs w:val="30"/>
        </w:rPr>
        <w:t>%；社会保障和就业支出135.76万元，占</w:t>
      </w:r>
      <w:r>
        <w:rPr>
          <w:rFonts w:hint="eastAsia" w:ascii="仿宋" w:hAnsi="仿宋" w:eastAsia="仿宋" w:cs="仿宋"/>
          <w:sz w:val="30"/>
          <w:szCs w:val="30"/>
          <w:lang w:val="en-US" w:eastAsia="zh-CN"/>
        </w:rPr>
        <w:t>4.93</w:t>
      </w:r>
      <w:r>
        <w:rPr>
          <w:rFonts w:hint="eastAsia" w:ascii="仿宋" w:hAnsi="仿宋" w:eastAsia="仿宋" w:cs="仿宋"/>
          <w:sz w:val="30"/>
          <w:szCs w:val="30"/>
        </w:rPr>
        <w:t>%；卫生健康支出75.65万元，占</w:t>
      </w:r>
      <w:r>
        <w:rPr>
          <w:rFonts w:hint="eastAsia" w:ascii="仿宋" w:hAnsi="仿宋" w:eastAsia="仿宋" w:cs="仿宋"/>
          <w:sz w:val="30"/>
          <w:szCs w:val="30"/>
          <w:lang w:val="en-US" w:eastAsia="zh-CN"/>
        </w:rPr>
        <w:t>2.75</w:t>
      </w:r>
      <w:r>
        <w:rPr>
          <w:rFonts w:hint="eastAsia" w:ascii="仿宋" w:hAnsi="仿宋" w:eastAsia="仿宋" w:cs="仿宋"/>
          <w:sz w:val="30"/>
          <w:szCs w:val="30"/>
        </w:rPr>
        <w:t>%；节能环保支出8万元，占</w:t>
      </w:r>
      <w:r>
        <w:rPr>
          <w:rFonts w:hint="eastAsia" w:ascii="仿宋" w:hAnsi="仿宋" w:eastAsia="仿宋" w:cs="仿宋"/>
          <w:sz w:val="30"/>
          <w:szCs w:val="30"/>
          <w:lang w:val="en-US" w:eastAsia="zh-CN"/>
        </w:rPr>
        <w:t>0.29</w:t>
      </w:r>
      <w:r>
        <w:rPr>
          <w:rFonts w:hint="eastAsia" w:ascii="仿宋" w:hAnsi="仿宋" w:eastAsia="仿宋" w:cs="仿宋"/>
          <w:sz w:val="30"/>
          <w:szCs w:val="30"/>
        </w:rPr>
        <w:t>%；城乡社区支出</w:t>
      </w:r>
      <w:r>
        <w:rPr>
          <w:rFonts w:hint="eastAsia" w:ascii="仿宋" w:hAnsi="仿宋" w:eastAsia="仿宋" w:cs="仿宋"/>
          <w:sz w:val="30"/>
          <w:szCs w:val="30"/>
          <w:lang w:val="en-US" w:eastAsia="zh-CN"/>
        </w:rPr>
        <w:t>5万元，占0.18</w:t>
      </w:r>
      <w:r>
        <w:rPr>
          <w:rFonts w:hint="eastAsia" w:ascii="仿宋" w:hAnsi="仿宋" w:eastAsia="仿宋" w:cs="仿宋"/>
          <w:sz w:val="30"/>
          <w:szCs w:val="30"/>
        </w:rPr>
        <w:t>%；农林水支出163.14万元，占</w:t>
      </w:r>
      <w:r>
        <w:rPr>
          <w:rFonts w:hint="eastAsia" w:ascii="仿宋" w:hAnsi="仿宋" w:eastAsia="仿宋" w:cs="仿宋"/>
          <w:sz w:val="30"/>
          <w:szCs w:val="30"/>
          <w:lang w:val="en-US" w:eastAsia="zh-CN"/>
        </w:rPr>
        <w:t>5.93</w:t>
      </w:r>
      <w:r>
        <w:rPr>
          <w:rFonts w:hint="eastAsia" w:ascii="仿宋" w:hAnsi="仿宋" w:eastAsia="仿宋" w:cs="仿宋"/>
          <w:sz w:val="30"/>
          <w:szCs w:val="30"/>
        </w:rPr>
        <w:t>%；交通运输支出10万元，占</w:t>
      </w:r>
      <w:r>
        <w:rPr>
          <w:rFonts w:hint="eastAsia" w:ascii="仿宋" w:hAnsi="仿宋" w:eastAsia="仿宋" w:cs="仿宋"/>
          <w:sz w:val="30"/>
          <w:szCs w:val="30"/>
          <w:lang w:val="en-US" w:eastAsia="zh-CN"/>
        </w:rPr>
        <w:t>0.36</w:t>
      </w:r>
      <w:r>
        <w:rPr>
          <w:rFonts w:hint="eastAsia" w:ascii="仿宋" w:hAnsi="仿宋" w:eastAsia="仿宋" w:cs="仿宋"/>
          <w:sz w:val="30"/>
          <w:szCs w:val="30"/>
        </w:rPr>
        <w:t>%；资源勘探工业信息等支出</w:t>
      </w:r>
      <w:r>
        <w:rPr>
          <w:rFonts w:hint="eastAsia" w:ascii="仿宋" w:hAnsi="仿宋" w:eastAsia="仿宋" w:cs="仿宋"/>
          <w:sz w:val="30"/>
          <w:szCs w:val="30"/>
          <w:lang w:val="en-US" w:eastAsia="zh-CN"/>
        </w:rPr>
        <w:t>60万元，</w:t>
      </w:r>
      <w:r>
        <w:rPr>
          <w:rFonts w:hint="eastAsia" w:ascii="仿宋" w:hAnsi="仿宋" w:eastAsia="仿宋" w:cs="仿宋"/>
          <w:sz w:val="30"/>
          <w:szCs w:val="30"/>
        </w:rPr>
        <w:t>占</w:t>
      </w:r>
      <w:r>
        <w:rPr>
          <w:rFonts w:hint="eastAsia" w:ascii="仿宋" w:hAnsi="仿宋" w:eastAsia="仿宋" w:cs="仿宋"/>
          <w:sz w:val="30"/>
          <w:szCs w:val="30"/>
          <w:lang w:val="en-US" w:eastAsia="zh-CN"/>
        </w:rPr>
        <w:t>2.2</w:t>
      </w:r>
      <w:r>
        <w:rPr>
          <w:rFonts w:hint="eastAsia" w:ascii="仿宋" w:hAnsi="仿宋" w:eastAsia="仿宋" w:cs="仿宋"/>
          <w:sz w:val="30"/>
          <w:szCs w:val="30"/>
        </w:rPr>
        <w:t>%；自然资源海洋气象等支出</w:t>
      </w:r>
      <w:r>
        <w:rPr>
          <w:rFonts w:hint="eastAsia" w:ascii="仿宋" w:hAnsi="仿宋" w:eastAsia="仿宋" w:cs="仿宋"/>
          <w:sz w:val="30"/>
          <w:szCs w:val="30"/>
          <w:lang w:val="en-US" w:eastAsia="zh-CN"/>
        </w:rPr>
        <w:t>145万元，</w:t>
      </w:r>
      <w:r>
        <w:rPr>
          <w:rFonts w:hint="eastAsia" w:ascii="仿宋" w:hAnsi="仿宋" w:eastAsia="仿宋" w:cs="仿宋"/>
          <w:sz w:val="30"/>
          <w:szCs w:val="30"/>
        </w:rPr>
        <w:t>占</w:t>
      </w:r>
      <w:r>
        <w:rPr>
          <w:rFonts w:hint="eastAsia" w:ascii="仿宋" w:hAnsi="仿宋" w:eastAsia="仿宋" w:cs="仿宋"/>
          <w:sz w:val="30"/>
          <w:szCs w:val="30"/>
          <w:lang w:val="en-US" w:eastAsia="zh-CN"/>
        </w:rPr>
        <w:t>5.27</w:t>
      </w:r>
      <w:r>
        <w:rPr>
          <w:rFonts w:hint="eastAsia" w:ascii="仿宋" w:hAnsi="仿宋" w:eastAsia="仿宋" w:cs="仿宋"/>
          <w:sz w:val="30"/>
          <w:szCs w:val="30"/>
        </w:rPr>
        <w:t>%；住房保障支出58.59万元，占</w:t>
      </w:r>
      <w:r>
        <w:rPr>
          <w:rFonts w:hint="eastAsia" w:ascii="仿宋" w:hAnsi="仿宋" w:eastAsia="仿宋" w:cs="仿宋"/>
          <w:sz w:val="30"/>
          <w:szCs w:val="30"/>
          <w:lang w:val="en-US" w:eastAsia="zh-CN"/>
        </w:rPr>
        <w:t>2.13</w:t>
      </w:r>
      <w:r>
        <w:rPr>
          <w:rFonts w:hint="eastAsia" w:ascii="仿宋" w:hAnsi="仿宋" w:eastAsia="仿宋" w:cs="仿宋"/>
          <w:sz w:val="30"/>
          <w:szCs w:val="30"/>
        </w:rPr>
        <w:t>%；灾害防治及应急管理支出</w:t>
      </w:r>
      <w:r>
        <w:rPr>
          <w:rFonts w:hint="eastAsia" w:ascii="仿宋" w:hAnsi="仿宋" w:eastAsia="仿宋" w:cs="仿宋"/>
          <w:sz w:val="30"/>
          <w:szCs w:val="30"/>
          <w:lang w:val="en-US" w:eastAsia="zh-CN"/>
        </w:rPr>
        <w:t>6.03万元</w:t>
      </w:r>
      <w:r>
        <w:rPr>
          <w:rFonts w:hint="eastAsia" w:ascii="仿宋" w:hAnsi="仿宋" w:eastAsia="仿宋" w:cs="仿宋"/>
          <w:sz w:val="30"/>
          <w:szCs w:val="30"/>
        </w:rPr>
        <w:t>，占</w:t>
      </w:r>
      <w:r>
        <w:rPr>
          <w:rFonts w:hint="eastAsia" w:ascii="仿宋" w:hAnsi="仿宋" w:eastAsia="仿宋" w:cs="仿宋"/>
          <w:sz w:val="30"/>
          <w:szCs w:val="30"/>
          <w:lang w:val="en-US" w:eastAsia="zh-CN"/>
        </w:rPr>
        <w:t>0.22</w:t>
      </w:r>
      <w:r>
        <w:rPr>
          <w:rFonts w:hint="eastAsia" w:ascii="仿宋" w:hAnsi="仿宋" w:eastAsia="仿宋" w:cs="仿宋"/>
          <w:sz w:val="30"/>
          <w:szCs w:val="30"/>
        </w:rPr>
        <w:t>%。</w:t>
      </w:r>
    </w:p>
    <w:p>
      <w:pPr>
        <w:pStyle w:val="10"/>
        <w:spacing w:line="600" w:lineRule="exact"/>
        <w:ind w:firstLine="602" w:firstLineChars="200"/>
        <w:rPr>
          <w:rFonts w:hint="default" w:ascii="仿宋" w:hAnsi="仿宋" w:eastAsia="仿宋" w:cs="仿宋"/>
          <w:b/>
          <w:sz w:val="30"/>
          <w:szCs w:val="30"/>
          <w:lang w:val="en-US" w:eastAsia="zh-CN"/>
        </w:rPr>
      </w:pPr>
      <w:r>
        <w:rPr>
          <w:rFonts w:hint="eastAsia" w:ascii="仿宋" w:hAnsi="仿宋" w:eastAsia="仿宋" w:cs="仿宋"/>
          <w:b/>
          <w:sz w:val="30"/>
          <w:szCs w:val="30"/>
        </w:rPr>
        <w:t>（三）财政拨款支出决算具体情况</w:t>
      </w:r>
      <w:r>
        <w:rPr>
          <w:rFonts w:hint="eastAsia" w:ascii="仿宋" w:hAnsi="仿宋" w:eastAsia="仿宋" w:cs="仿宋"/>
          <w:b/>
          <w:sz w:val="30"/>
          <w:szCs w:val="30"/>
          <w:lang w:val="en-US" w:eastAsia="zh-CN"/>
        </w:rPr>
        <w:t>1761.99</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年度财政拨款支出年初预算数为</w:t>
      </w:r>
      <w:r>
        <w:rPr>
          <w:rFonts w:hint="eastAsia" w:ascii="仿宋" w:hAnsi="仿宋" w:eastAsia="仿宋" w:cs="仿宋"/>
          <w:b/>
          <w:sz w:val="30"/>
          <w:szCs w:val="30"/>
          <w:lang w:val="en-US" w:eastAsia="zh-CN"/>
        </w:rPr>
        <w:t>1761.99</w:t>
      </w:r>
      <w:r>
        <w:rPr>
          <w:rFonts w:hint="eastAsia" w:ascii="仿宋" w:hAnsi="仿宋" w:eastAsia="仿宋" w:cs="仿宋"/>
          <w:sz w:val="30"/>
          <w:szCs w:val="30"/>
        </w:rPr>
        <w:t>万元，支出决算数为</w:t>
      </w:r>
      <w:r>
        <w:rPr>
          <w:rFonts w:hint="eastAsia" w:ascii="仿宋" w:hAnsi="仿宋" w:eastAsia="仿宋" w:cs="仿宋"/>
          <w:b/>
          <w:sz w:val="30"/>
          <w:szCs w:val="30"/>
        </w:rPr>
        <w:t>2751.87</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156.18</w:t>
      </w:r>
      <w:r>
        <w:rPr>
          <w:rFonts w:hint="eastAsia" w:ascii="仿宋" w:hAnsi="仿宋" w:eastAsia="仿宋" w:cs="仿宋"/>
          <w:sz w:val="30"/>
          <w:szCs w:val="30"/>
        </w:rPr>
        <w:t>%，其中：</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1.一般公共服务支出（类）政府办公厅（室）及相关机构事务（款）行政运行（项）。</w:t>
      </w:r>
    </w:p>
    <w:p>
      <w:pPr>
        <w:pStyle w:val="10"/>
        <w:spacing w:line="600" w:lineRule="exact"/>
        <w:ind w:firstLine="600" w:firstLineChars="200"/>
        <w:rPr>
          <w:rFonts w:ascii="仿宋" w:hAnsi="仿宋" w:eastAsia="仿宋" w:cs="仿宋"/>
          <w:color w:val="FF0000"/>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1544.84</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1780.67</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115.27</w:t>
      </w:r>
      <w:r>
        <w:rPr>
          <w:rFonts w:hint="eastAsia" w:ascii="仿宋" w:hAnsi="仿宋" w:eastAsia="仿宋" w:cs="仿宋"/>
          <w:sz w:val="30"/>
          <w:szCs w:val="30"/>
        </w:rPr>
        <w:t>%，决算数</w:t>
      </w:r>
      <w:r>
        <w:rPr>
          <w:rFonts w:hint="eastAsia" w:ascii="仿宋" w:hAnsi="仿宋" w:eastAsia="仿宋" w:cs="仿宋"/>
          <w:sz w:val="30"/>
          <w:szCs w:val="30"/>
          <w:lang w:eastAsia="zh-CN"/>
        </w:rPr>
        <w:t>大于</w:t>
      </w:r>
      <w:r>
        <w:rPr>
          <w:rFonts w:hint="eastAsia" w:ascii="仿宋" w:hAnsi="仿宋" w:eastAsia="仿宋" w:cs="仿宋"/>
          <w:sz w:val="30"/>
          <w:szCs w:val="30"/>
        </w:rPr>
        <w:t>年初预算的原因主要是</w:t>
      </w:r>
      <w:r>
        <w:rPr>
          <w:rFonts w:hint="eastAsia" w:ascii="仿宋" w:hAnsi="仿宋" w:eastAsia="仿宋" w:cs="仿宋"/>
          <w:sz w:val="30"/>
          <w:szCs w:val="30"/>
          <w:lang w:val="en-US" w:eastAsia="zh-CN"/>
        </w:rPr>
        <w:t>13</w:t>
      </w:r>
      <w:r>
        <w:rPr>
          <w:rFonts w:hint="eastAsia" w:ascii="仿宋" w:hAnsi="仿宋" w:eastAsia="仿宋" w:cs="仿宋"/>
          <w:sz w:val="30"/>
          <w:szCs w:val="30"/>
          <w:lang w:eastAsia="zh-CN"/>
        </w:rPr>
        <w:t>各村（社区）农村清洁工程项目支出增加。</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2.一般公共服务支出（类）政府办公厅（室）及相关机构事务（款）其他政府办公厅（室）及相关机构事务支出（项）。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年初预算为0万元，支出决算为259.46万元，决算数大于年初预算的原因主要是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民生工程修缮及基础设施建设</w:t>
      </w:r>
      <w:r>
        <w:rPr>
          <w:rFonts w:hint="eastAsia" w:ascii="仿宋" w:hAnsi="仿宋" w:eastAsia="仿宋" w:cs="仿宋"/>
          <w:sz w:val="30"/>
          <w:szCs w:val="30"/>
          <w:lang w:eastAsia="zh-CN"/>
        </w:rPr>
        <w:t>支出</w:t>
      </w:r>
      <w:r>
        <w:rPr>
          <w:rFonts w:hint="eastAsia" w:ascii="仿宋" w:hAnsi="仿宋" w:eastAsia="仿宋" w:cs="仿宋"/>
          <w:sz w:val="30"/>
          <w:szCs w:val="30"/>
        </w:rPr>
        <w:t>。</w:t>
      </w:r>
    </w:p>
    <w:p>
      <w:pPr>
        <w:pStyle w:val="10"/>
        <w:numPr>
          <w:ilvl w:val="0"/>
          <w:numId w:val="2"/>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一般公共服务支出（类）财政事务（款）</w:t>
      </w:r>
      <w:r>
        <w:rPr>
          <w:rFonts w:hint="eastAsia" w:ascii="仿宋" w:hAnsi="仿宋" w:eastAsia="仿宋" w:cs="仿宋"/>
          <w:sz w:val="30"/>
          <w:szCs w:val="30"/>
          <w:lang w:val="en-US" w:eastAsia="zh-CN"/>
        </w:rPr>
        <w:t>一般行政管理事务</w:t>
      </w:r>
      <w:r>
        <w:rPr>
          <w:rFonts w:hint="eastAsia" w:ascii="仿宋" w:hAnsi="仿宋" w:eastAsia="仿宋" w:cs="仿宋"/>
          <w:sz w:val="30"/>
          <w:szCs w:val="30"/>
        </w:rPr>
        <w:t>（项）</w:t>
      </w:r>
      <w:r>
        <w:rPr>
          <w:rFonts w:hint="eastAsia" w:ascii="仿宋" w:hAnsi="仿宋" w:eastAsia="仿宋" w:cs="仿宋"/>
          <w:sz w:val="30"/>
          <w:szCs w:val="30"/>
          <w:lang w:eastAsia="zh-CN"/>
        </w:rPr>
        <w:t>。</w:t>
      </w:r>
    </w:p>
    <w:p>
      <w:pPr>
        <w:pStyle w:val="10"/>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3</w:t>
      </w:r>
      <w:r>
        <w:rPr>
          <w:rFonts w:hint="eastAsia" w:ascii="仿宋" w:hAnsi="仿宋" w:eastAsia="仿宋" w:cs="仿宋"/>
          <w:sz w:val="30"/>
          <w:szCs w:val="30"/>
        </w:rPr>
        <w:t>万元，决算数大于年初预算的原因主要</w:t>
      </w:r>
      <w:r>
        <w:rPr>
          <w:rFonts w:hint="eastAsia" w:ascii="仿宋" w:hAnsi="仿宋" w:eastAsia="仿宋" w:cs="仿宋"/>
          <w:color w:val="000000" w:themeColor="text1"/>
          <w:sz w:val="30"/>
          <w:szCs w:val="30"/>
          <w14:textFill>
            <w14:solidFill>
              <w14:schemeClr w14:val="tx1"/>
            </w14:solidFill>
          </w14:textFill>
        </w:rPr>
        <w:t>是</w:t>
      </w:r>
      <w:r>
        <w:rPr>
          <w:rFonts w:hint="eastAsia" w:ascii="仿宋" w:hAnsi="仿宋" w:eastAsia="仿宋" w:cs="仿宋"/>
          <w:color w:val="000000" w:themeColor="text1"/>
          <w:sz w:val="30"/>
          <w:szCs w:val="30"/>
          <w:lang w:eastAsia="zh-CN"/>
          <w14:textFill>
            <w14:solidFill>
              <w14:schemeClr w14:val="tx1"/>
            </w14:solidFill>
          </w14:textFill>
        </w:rPr>
        <w:t>为提高单位高质量的社会服务增加一些商品的购买。</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.一般公共服务支出（类）财政事务（款）其他财政事务支出（项）。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23</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单位财务人员培训学习年初未做预算。</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.一般公共服务支出（类）民族事务（款）民族工作专项（项）。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1.39</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七一村基督教、清水寺民族宗教建设</w:t>
      </w:r>
      <w:r>
        <w:rPr>
          <w:rFonts w:hint="eastAsia" w:ascii="仿宋" w:hAnsi="仿宋" w:eastAsia="仿宋" w:cs="仿宋"/>
          <w:sz w:val="30"/>
          <w:szCs w:val="30"/>
          <w:lang w:eastAsia="zh-CN"/>
        </w:rPr>
        <w:t>资金支出</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一般公共服务支出（类）宣传事务（款）其他宣传事务支出（项）。</w:t>
      </w:r>
    </w:p>
    <w:p>
      <w:pPr>
        <w:pStyle w:val="10"/>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4</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加大宣传</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.一般公共服务支出（类）其他一般公共服务支出（款）其他一般公共服务支出（项）。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年初预算为0万元，支出决算为3万元，决算数大于年初预算的原因主要</w:t>
      </w:r>
      <w:r>
        <w:rPr>
          <w:rFonts w:hint="eastAsia" w:ascii="仿宋" w:hAnsi="仿宋" w:eastAsia="仿宋" w:cs="仿宋"/>
          <w:sz w:val="30"/>
          <w:szCs w:val="30"/>
          <w:lang w:eastAsia="zh-CN"/>
        </w:rPr>
        <w:t>新增</w:t>
      </w:r>
      <w:r>
        <w:rPr>
          <w:rFonts w:hint="eastAsia" w:ascii="仿宋" w:hAnsi="仿宋" w:eastAsia="仿宋" w:cs="仿宋"/>
          <w:color w:val="000000" w:themeColor="text1"/>
          <w:sz w:val="30"/>
          <w:szCs w:val="30"/>
          <w14:textFill>
            <w14:solidFill>
              <w14:schemeClr w14:val="tx1"/>
            </w14:solidFill>
          </w14:textFill>
        </w:rPr>
        <w:t>基层行政单位工作经费</w:t>
      </w:r>
      <w:r>
        <w:rPr>
          <w:rFonts w:hint="eastAsia" w:ascii="仿宋" w:hAnsi="仿宋" w:eastAsia="仿宋" w:cs="仿宋"/>
          <w:color w:val="000000" w:themeColor="text1"/>
          <w:sz w:val="30"/>
          <w:szCs w:val="30"/>
          <w:lang w:eastAsia="zh-CN"/>
          <w14:textFill>
            <w14:solidFill>
              <w14:schemeClr w14:val="tx1"/>
            </w14:solidFill>
          </w14:textFill>
        </w:rPr>
        <w:t>支出</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文化旅游体育与传媒支出（类）文化和旅游（款）行政运行（项）。</w:t>
      </w:r>
    </w:p>
    <w:p>
      <w:pPr>
        <w:pStyle w:val="1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8.17</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加大对乡村旅游业发展的资金投入。</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文化旅游体育与传媒支出（类）其他文化旅游体育与传媒支出（款）  其他文化旅游体育与传媒支出（项）。</w:t>
      </w:r>
    </w:p>
    <w:p>
      <w:pPr>
        <w:pStyle w:val="10"/>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2</w:t>
      </w:r>
      <w:r>
        <w:rPr>
          <w:rFonts w:hint="eastAsia" w:ascii="仿宋" w:hAnsi="仿宋" w:eastAsia="仿宋" w:cs="仿宋"/>
          <w:sz w:val="30"/>
          <w:szCs w:val="30"/>
        </w:rPr>
        <w:t>万元，决算数大于年初预算的原因主要是</w:t>
      </w:r>
      <w:r>
        <w:rPr>
          <w:rFonts w:hint="eastAsia" w:ascii="仿宋" w:hAnsi="仿宋" w:eastAsia="仿宋" w:cs="仿宋"/>
          <w:color w:val="000000" w:themeColor="text1"/>
          <w:sz w:val="30"/>
          <w:szCs w:val="30"/>
          <w14:textFill>
            <w14:solidFill>
              <w14:schemeClr w14:val="tx1"/>
            </w14:solidFill>
          </w14:textFill>
        </w:rPr>
        <w:t>加大</w:t>
      </w:r>
      <w:r>
        <w:rPr>
          <w:rFonts w:hint="eastAsia" w:ascii="仿宋" w:hAnsi="仿宋" w:eastAsia="仿宋" w:cs="仿宋"/>
          <w:color w:val="000000" w:themeColor="text1"/>
          <w:sz w:val="30"/>
          <w:szCs w:val="30"/>
          <w:lang w:eastAsia="zh-CN"/>
          <w14:textFill>
            <w14:solidFill>
              <w14:schemeClr w14:val="tx1"/>
            </w14:solidFill>
          </w14:textFill>
        </w:rPr>
        <w:t>了</w:t>
      </w:r>
      <w:r>
        <w:rPr>
          <w:rFonts w:hint="eastAsia" w:ascii="仿宋" w:hAnsi="仿宋" w:eastAsia="仿宋" w:cs="仿宋"/>
          <w:color w:val="000000" w:themeColor="text1"/>
          <w:sz w:val="30"/>
          <w:szCs w:val="30"/>
          <w14:textFill>
            <w14:solidFill>
              <w14:schemeClr w14:val="tx1"/>
            </w14:solidFill>
          </w14:textFill>
        </w:rPr>
        <w:t>对乡村旅游的宣传</w:t>
      </w:r>
      <w:r>
        <w:rPr>
          <w:rFonts w:hint="eastAsia" w:ascii="仿宋" w:hAnsi="仿宋" w:eastAsia="仿宋" w:cs="仿宋"/>
          <w:color w:val="000000" w:themeColor="text1"/>
          <w:sz w:val="30"/>
          <w:szCs w:val="30"/>
          <w:lang w:eastAsia="zh-CN"/>
          <w14:textFill>
            <w14:solidFill>
              <w14:schemeClr w14:val="tx1"/>
            </w14:solidFill>
          </w14:textFill>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.社会保障和就业支出（类）行政事业单位养老支出（款）机关事业单位基本养老保险缴费支出（项）。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92.25</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83.02</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89.99</w:t>
      </w:r>
      <w:r>
        <w:rPr>
          <w:rFonts w:hint="eastAsia" w:ascii="仿宋" w:hAnsi="仿宋" w:eastAsia="仿宋" w:cs="仿宋"/>
          <w:sz w:val="30"/>
          <w:szCs w:val="30"/>
        </w:rPr>
        <w:t>%，决算数小于年初预算的原因主要是人员减少。</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.社会保障和就业支出（类）抚恤（款）死亡抚恤（项）。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52.74</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两位退休人员去世。</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.卫生健康支出（类）公共卫生（款）突发公共卫生事件应急处理（项）。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3</w:t>
      </w:r>
      <w:r>
        <w:rPr>
          <w:rFonts w:hint="eastAsia" w:ascii="仿宋" w:hAnsi="仿宋" w:eastAsia="仿宋" w:cs="仿宋"/>
          <w:sz w:val="30"/>
          <w:szCs w:val="30"/>
        </w:rPr>
        <w:t>万元，决算数大于年初预算的原因主要是：因疫情，购买抗疫物资。</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13.</w:t>
      </w:r>
      <w:r>
        <w:rPr>
          <w:rFonts w:hint="eastAsia" w:ascii="仿宋" w:hAnsi="仿宋" w:eastAsia="仿宋" w:cs="仿宋"/>
          <w:sz w:val="30"/>
          <w:szCs w:val="30"/>
        </w:rPr>
        <w:t>卫生健康支出（类）公共卫生（款）其他公共卫生支出（项）。</w:t>
      </w:r>
    </w:p>
    <w:p>
      <w:pPr>
        <w:pStyle w:val="10"/>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w:t>
      </w:r>
      <w:r>
        <w:rPr>
          <w:rFonts w:hint="eastAsia" w:ascii="仿宋" w:hAnsi="仿宋" w:eastAsia="仿宋" w:cs="仿宋"/>
          <w:sz w:val="30"/>
          <w:szCs w:val="30"/>
        </w:rPr>
        <w:t>万元，决算数大于年初预算的原因主要是因疫情，购买抗疫物资</w:t>
      </w:r>
      <w:r>
        <w:rPr>
          <w:rFonts w:hint="eastAsia" w:ascii="仿宋" w:hAnsi="仿宋" w:eastAsia="仿宋" w:cs="仿宋"/>
          <w:sz w:val="30"/>
          <w:szCs w:val="30"/>
          <w:lang w:eastAsia="zh-CN"/>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4</w:t>
      </w:r>
      <w:r>
        <w:rPr>
          <w:rFonts w:hint="eastAsia" w:ascii="仿宋" w:hAnsi="仿宋" w:eastAsia="仿宋" w:cs="仿宋"/>
          <w:sz w:val="30"/>
          <w:szCs w:val="30"/>
        </w:rPr>
        <w:t>.卫生健康支出（类）行政事业单位医疗（款）行政单位医疗（项）。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66.31万</w:t>
      </w:r>
      <w:r>
        <w:rPr>
          <w:rFonts w:hint="eastAsia" w:ascii="仿宋" w:hAnsi="仿宋" w:eastAsia="仿宋" w:cs="仿宋"/>
          <w:sz w:val="30"/>
          <w:szCs w:val="30"/>
        </w:rPr>
        <w:t>元，支出决算为</w:t>
      </w:r>
      <w:r>
        <w:rPr>
          <w:rFonts w:hint="eastAsia" w:ascii="仿宋" w:hAnsi="仿宋" w:eastAsia="仿宋" w:cs="仿宋"/>
          <w:sz w:val="30"/>
          <w:szCs w:val="30"/>
          <w:lang w:val="en-US" w:eastAsia="zh-CN"/>
        </w:rPr>
        <w:t>64.65</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97.50</w:t>
      </w:r>
      <w:r>
        <w:rPr>
          <w:rFonts w:hint="eastAsia" w:ascii="仿宋" w:hAnsi="仿宋" w:eastAsia="仿宋" w:cs="仿宋"/>
          <w:sz w:val="30"/>
          <w:szCs w:val="30"/>
        </w:rPr>
        <w:t>%，决算数小于年初预算的原因主要是人员减少</w:t>
      </w:r>
      <w:r>
        <w:rPr>
          <w:rFonts w:hint="eastAsia"/>
          <w:lang w:eastAsia="zh-CN"/>
        </w:rPr>
        <w:t>，</w:t>
      </w:r>
      <w:r>
        <w:rPr>
          <w:rFonts w:hint="eastAsia" w:ascii="仿宋" w:hAnsi="仿宋" w:eastAsia="仿宋" w:cs="仿宋"/>
          <w:sz w:val="30"/>
          <w:szCs w:val="30"/>
        </w:rPr>
        <w:t>相应缴纳医保减少。</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5</w:t>
      </w:r>
      <w:r>
        <w:rPr>
          <w:rFonts w:hint="eastAsia" w:ascii="仿宋" w:hAnsi="仿宋" w:eastAsia="仿宋" w:cs="仿宋"/>
          <w:sz w:val="30"/>
          <w:szCs w:val="30"/>
        </w:rPr>
        <w:t>.节能环保支出（类）自然生态保护（款）农村环境保护（项）。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年度农村人居环境整治资金</w:t>
      </w:r>
      <w:r>
        <w:rPr>
          <w:rFonts w:hint="eastAsia" w:ascii="仿宋" w:hAnsi="仿宋" w:eastAsia="仿宋" w:cs="仿宋"/>
          <w:sz w:val="30"/>
          <w:szCs w:val="30"/>
          <w:lang w:eastAsia="zh-CN"/>
        </w:rPr>
        <w:t>支出</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城乡社区支出（类）城乡社区公共设施（款）小城镇基础设施建设（项）。</w:t>
      </w:r>
    </w:p>
    <w:p>
      <w:pPr>
        <w:pStyle w:val="10"/>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5</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加强农村基础设施建设投入。</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17.</w:t>
      </w:r>
      <w:r>
        <w:rPr>
          <w:rFonts w:hint="eastAsia" w:ascii="仿宋" w:hAnsi="仿宋" w:eastAsia="仿宋" w:cs="仿宋"/>
          <w:sz w:val="30"/>
          <w:szCs w:val="30"/>
        </w:rPr>
        <w:t>农林水支出（类）农业农村（款）防灾救灾（项）。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2.59</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增加</w:t>
      </w:r>
      <w:r>
        <w:rPr>
          <w:rFonts w:hint="eastAsia" w:ascii="仿宋" w:hAnsi="仿宋" w:eastAsia="仿宋" w:cs="仿宋"/>
          <w:sz w:val="30"/>
          <w:szCs w:val="30"/>
        </w:rPr>
        <w:t>对有害生物的防治</w:t>
      </w:r>
      <w:r>
        <w:rPr>
          <w:rFonts w:hint="eastAsia" w:ascii="仿宋" w:hAnsi="仿宋" w:eastAsia="仿宋" w:cs="仿宋"/>
          <w:sz w:val="30"/>
          <w:szCs w:val="30"/>
          <w:lang w:eastAsia="zh-CN"/>
        </w:rPr>
        <w:t>支出。</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18.</w:t>
      </w:r>
      <w:r>
        <w:rPr>
          <w:rFonts w:hint="eastAsia" w:ascii="仿宋" w:hAnsi="仿宋" w:eastAsia="仿宋" w:cs="仿宋"/>
          <w:sz w:val="30"/>
          <w:szCs w:val="30"/>
        </w:rPr>
        <w:t>农林水支出（类）农业农村（款）农村道路建设（项）。</w:t>
      </w:r>
    </w:p>
    <w:p>
      <w:pPr>
        <w:pStyle w:val="1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50</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加大农村道路建设投入。</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19.</w:t>
      </w:r>
      <w:r>
        <w:rPr>
          <w:rFonts w:hint="eastAsia" w:ascii="仿宋" w:hAnsi="仿宋" w:eastAsia="仿宋" w:cs="仿宋"/>
          <w:sz w:val="30"/>
          <w:szCs w:val="30"/>
        </w:rPr>
        <w:t>农林水支出（类）农业农村（款）其他农业农村支出（项）。</w:t>
      </w:r>
    </w:p>
    <w:p>
      <w:pPr>
        <w:pStyle w:val="10"/>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0.48</w:t>
      </w:r>
      <w:r>
        <w:rPr>
          <w:rFonts w:hint="eastAsia" w:ascii="仿宋" w:hAnsi="仿宋" w:eastAsia="仿宋" w:cs="仿宋"/>
          <w:sz w:val="30"/>
          <w:szCs w:val="30"/>
        </w:rPr>
        <w:t>万元，决算数大于年初预算的原因主要是加大对农村农业的发展</w:t>
      </w:r>
      <w:r>
        <w:rPr>
          <w:rFonts w:hint="eastAsia" w:ascii="仿宋" w:hAnsi="仿宋" w:eastAsia="仿宋" w:cs="仿宋"/>
          <w:sz w:val="30"/>
          <w:szCs w:val="30"/>
          <w:lang w:val="en-US" w:eastAsia="zh-CN"/>
        </w:rPr>
        <w:t>投入。</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20</w:t>
      </w:r>
      <w:r>
        <w:rPr>
          <w:rFonts w:hint="eastAsia" w:ascii="仿宋" w:hAnsi="仿宋" w:eastAsia="仿宋" w:cs="仿宋"/>
          <w:sz w:val="30"/>
          <w:szCs w:val="30"/>
        </w:rPr>
        <w:t>.农林水支出（类）农村综合改革（款）对村民委员会和村党支部的补助（项）。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98.08</w:t>
      </w:r>
      <w:r>
        <w:rPr>
          <w:rFonts w:hint="eastAsia" w:ascii="仿宋" w:hAnsi="仿宋" w:eastAsia="仿宋" w:cs="仿宋"/>
          <w:sz w:val="30"/>
          <w:szCs w:val="30"/>
        </w:rPr>
        <w:t>万元，决算数大于年初预算的原因主要是新增202</w:t>
      </w:r>
      <w:r>
        <w:rPr>
          <w:rFonts w:hint="eastAsia" w:ascii="仿宋" w:hAnsi="仿宋" w:eastAsia="仿宋" w:cs="仿宋"/>
          <w:sz w:val="30"/>
          <w:szCs w:val="30"/>
          <w:lang w:val="en-US" w:eastAsia="zh-CN"/>
        </w:rPr>
        <w:t>2</w:t>
      </w:r>
      <w:r>
        <w:rPr>
          <w:rFonts w:hint="eastAsia" w:ascii="仿宋" w:hAnsi="仿宋" w:eastAsia="仿宋" w:cs="仿宋"/>
          <w:sz w:val="30"/>
          <w:szCs w:val="30"/>
        </w:rPr>
        <w:t>年村级组织运转经费包含离任村干部生活补贴转移支付资金。</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21</w:t>
      </w:r>
      <w:r>
        <w:rPr>
          <w:rFonts w:hint="eastAsia" w:ascii="仿宋" w:hAnsi="仿宋" w:eastAsia="仿宋" w:cs="仿宋"/>
          <w:sz w:val="30"/>
          <w:szCs w:val="30"/>
        </w:rPr>
        <w:t>.农林水支出（类）其他农林水支出（款）其他农林水支出（项）。</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12</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新增</w:t>
      </w:r>
      <w:r>
        <w:rPr>
          <w:rFonts w:hint="eastAsia" w:ascii="仿宋" w:hAnsi="仿宋" w:eastAsia="仿宋" w:cs="仿宋"/>
          <w:sz w:val="30"/>
          <w:szCs w:val="30"/>
        </w:rPr>
        <w:t>村水利维修资金、水渠清淤资金及村山塘清淤护坡资金</w:t>
      </w:r>
      <w:r>
        <w:rPr>
          <w:rFonts w:hint="eastAsia" w:ascii="仿宋" w:hAnsi="仿宋" w:eastAsia="仿宋" w:cs="仿宋"/>
          <w:sz w:val="30"/>
          <w:szCs w:val="30"/>
          <w:lang w:eastAsia="zh-CN"/>
        </w:rPr>
        <w:t>支出</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22</w:t>
      </w:r>
      <w:r>
        <w:rPr>
          <w:rFonts w:hint="eastAsia" w:ascii="仿宋" w:hAnsi="仿宋" w:eastAsia="仿宋" w:cs="仿宋"/>
          <w:sz w:val="30"/>
          <w:szCs w:val="30"/>
        </w:rPr>
        <w:t>.交通运输支出（类）公路水路运输（款）其他公路水路运输支出（项）。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10</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新</w:t>
      </w:r>
      <w:r>
        <w:rPr>
          <w:rFonts w:hint="eastAsia" w:ascii="仿宋" w:hAnsi="仿宋" w:eastAsia="仿宋" w:cs="仿宋"/>
          <w:sz w:val="30"/>
          <w:szCs w:val="30"/>
        </w:rPr>
        <w:t>增镇区顽瘴痼疾整治宣传册费用。</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23.</w:t>
      </w:r>
      <w:r>
        <w:rPr>
          <w:rFonts w:hint="eastAsia" w:ascii="仿宋" w:hAnsi="仿宋" w:eastAsia="仿宋" w:cs="仿宋"/>
          <w:sz w:val="30"/>
          <w:szCs w:val="30"/>
        </w:rPr>
        <w:t>资源勘探工业信息等支出（类）制造业（款）其他制造业支出（项）。</w:t>
      </w:r>
    </w:p>
    <w:p>
      <w:pPr>
        <w:pStyle w:val="10"/>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60</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加强镇区企业安全管理投入及宣传投入。</w:t>
      </w:r>
      <w:r>
        <w:rPr>
          <w:rFonts w:hint="eastAsia" w:ascii="仿宋" w:hAnsi="仿宋" w:eastAsia="仿宋" w:cs="仿宋"/>
          <w:sz w:val="30"/>
          <w:szCs w:val="30"/>
          <w:lang w:val="en-US" w:eastAsia="zh-CN"/>
        </w:rPr>
        <w:t xml:space="preserve"> </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24.</w:t>
      </w:r>
      <w:r>
        <w:rPr>
          <w:rFonts w:hint="eastAsia" w:ascii="仿宋" w:hAnsi="仿宋" w:eastAsia="仿宋" w:cs="仿宋"/>
          <w:sz w:val="30"/>
          <w:szCs w:val="30"/>
        </w:rPr>
        <w:t>自然资源海洋气象等支出（类）自然资源事务（款）其他自然资源事务支出（项）。</w:t>
      </w:r>
    </w:p>
    <w:p>
      <w:pPr>
        <w:pStyle w:val="10"/>
        <w:spacing w:line="600" w:lineRule="exact"/>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145</w:t>
      </w:r>
      <w:r>
        <w:rPr>
          <w:rFonts w:hint="eastAsia" w:ascii="仿宋" w:hAnsi="仿宋" w:eastAsia="仿宋" w:cs="仿宋"/>
          <w:sz w:val="30"/>
          <w:szCs w:val="30"/>
        </w:rPr>
        <w:t>万元，决算数大于年初预算的原因主要是</w:t>
      </w:r>
      <w:r>
        <w:rPr>
          <w:rFonts w:hint="eastAsia" w:ascii="仿宋" w:hAnsi="仿宋" w:eastAsia="仿宋" w:cs="仿宋"/>
          <w:sz w:val="30"/>
          <w:szCs w:val="30"/>
          <w:lang w:eastAsia="zh-CN"/>
        </w:rPr>
        <w:t>突发地质灾害，各村受灾影响严重，加大应急资金投入</w:t>
      </w:r>
      <w:r>
        <w:rPr>
          <w:rFonts w:hint="eastAsia" w:ascii="仿宋" w:hAnsi="仿宋" w:eastAsia="仿宋" w:cs="仿宋"/>
          <w:sz w:val="30"/>
          <w:szCs w:val="30"/>
          <w:lang w:val="en-US" w:eastAsia="zh-CN"/>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25</w:t>
      </w:r>
      <w:r>
        <w:rPr>
          <w:rFonts w:hint="eastAsia" w:ascii="仿宋" w:hAnsi="仿宋" w:eastAsia="仿宋" w:cs="仿宋"/>
          <w:sz w:val="30"/>
          <w:szCs w:val="30"/>
        </w:rPr>
        <w:t>.住房保障支出（类）住房改革支出（款）住房公积金（项）。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58.59</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58.59</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w:t>
      </w:r>
      <w:r>
        <w:rPr>
          <w:rFonts w:hint="eastAsia" w:ascii="仿宋" w:hAnsi="仿宋" w:eastAsia="仿宋" w:cs="仿宋"/>
          <w:sz w:val="30"/>
          <w:szCs w:val="30"/>
        </w:rPr>
        <w:t>%。</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26.</w:t>
      </w:r>
      <w:r>
        <w:rPr>
          <w:rFonts w:hint="eastAsia" w:ascii="仿宋" w:hAnsi="仿宋" w:eastAsia="仿宋" w:cs="仿宋"/>
          <w:sz w:val="30"/>
          <w:szCs w:val="30"/>
        </w:rPr>
        <w:t>灾害防治及应急管理支出（类）应急管理事务（款）其他应急管理支出（项）。</w:t>
      </w:r>
    </w:p>
    <w:p>
      <w:pPr>
        <w:pStyle w:val="10"/>
        <w:spacing w:line="60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年初预算为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6.03</w:t>
      </w:r>
      <w:r>
        <w:rPr>
          <w:rFonts w:hint="eastAsia" w:ascii="仿宋" w:hAnsi="仿宋" w:eastAsia="仿宋" w:cs="仿宋"/>
          <w:sz w:val="30"/>
          <w:szCs w:val="30"/>
        </w:rPr>
        <w:t>万元，完成年初预算的，决算数小于年初预算的原因是</w:t>
      </w:r>
      <w:r>
        <w:rPr>
          <w:rFonts w:hint="eastAsia" w:ascii="仿宋" w:hAnsi="仿宋" w:eastAsia="仿宋" w:cs="仿宋"/>
          <w:sz w:val="30"/>
          <w:szCs w:val="30"/>
          <w:lang w:eastAsia="zh-CN"/>
        </w:rPr>
        <w:t>新增</w:t>
      </w:r>
      <w:r>
        <w:rPr>
          <w:rFonts w:hint="eastAsia" w:ascii="仿宋" w:hAnsi="仿宋" w:eastAsia="仿宋" w:cs="仿宋"/>
          <w:sz w:val="30"/>
          <w:szCs w:val="30"/>
        </w:rPr>
        <w:t>购买消防物资</w:t>
      </w:r>
      <w:r>
        <w:rPr>
          <w:rFonts w:hint="eastAsia" w:ascii="仿宋" w:hAnsi="仿宋" w:eastAsia="仿宋" w:cs="仿宋"/>
          <w:sz w:val="30"/>
          <w:szCs w:val="30"/>
          <w:lang w:eastAsia="zh-CN"/>
        </w:rPr>
        <w:t>支出。</w:t>
      </w:r>
    </w:p>
    <w:p>
      <w:pPr>
        <w:pStyle w:val="10"/>
        <w:spacing w:line="600" w:lineRule="exact"/>
        <w:ind w:firstLine="600" w:firstLineChars="200"/>
        <w:rPr>
          <w:rFonts w:hAnsi="黑体"/>
          <w:bCs/>
          <w:sz w:val="30"/>
          <w:szCs w:val="30"/>
        </w:rPr>
      </w:pPr>
      <w:r>
        <w:rPr>
          <w:rFonts w:hint="eastAsia" w:hAnsi="黑体"/>
          <w:bCs/>
          <w:sz w:val="30"/>
          <w:szCs w:val="30"/>
        </w:rPr>
        <w:t>六、一般公共预算财政拨款基本支出决算情况说明</w:t>
      </w:r>
    </w:p>
    <w:p>
      <w:pPr>
        <w:pStyle w:val="10"/>
        <w:spacing w:line="600" w:lineRule="exact"/>
        <w:ind w:firstLine="600" w:firstLineChars="200"/>
        <w:rPr>
          <w:rFonts w:ascii="仿宋" w:hAnsi="仿宋" w:eastAsia="仿宋" w:cs="仿宋"/>
          <w:i/>
          <w:color w:val="FF0000"/>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财政拨款基本支出1504.27万元，其中：（1）人员经费1167.83万元，占基本支出的77.63%,主要包括基本工资、津贴补贴、奖金、伙食补助费、住房公积金、抚恤金；（2）公用经费336.44万元，占基本支出的22.37%，主要包括办公费、印刷费、咨询费、手续费、水费、电费。</w:t>
      </w:r>
    </w:p>
    <w:p>
      <w:pPr>
        <w:pStyle w:val="10"/>
        <w:spacing w:line="600" w:lineRule="exact"/>
        <w:ind w:firstLine="600" w:firstLineChars="200"/>
        <w:rPr>
          <w:rFonts w:hAnsi="黑体"/>
          <w:bCs/>
          <w:sz w:val="30"/>
          <w:szCs w:val="30"/>
        </w:rPr>
      </w:pPr>
      <w:r>
        <w:rPr>
          <w:rFonts w:hint="eastAsia" w:hAnsi="黑体"/>
          <w:bCs/>
          <w:sz w:val="30"/>
          <w:szCs w:val="30"/>
        </w:rPr>
        <w:t>七、一般公共预算财政拨款“三公”经费支出决算情况说明</w:t>
      </w:r>
    </w:p>
    <w:p>
      <w:pPr>
        <w:pStyle w:val="1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（一）“三公”经费财政拨款支出决算总体情况说明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年度“三公”经费财政拨款支出预算为36万元，支出决算为36万元，完成预算的100%，其中：</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因公出国（境）费支出预算为0万元，支出决算为0万元，完成预算的100%，与上年相比持平，本单位没有因公出国（境）费支出。</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公务接待费支出预算为34万元，支出决算为34万元，完成预算的100%，与上年相比持平。</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公务用车购置费支出预算为0万元，支出决算为0万元，完成预算的100%，与上年相比持平。</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公务用车运行维护费支出预算为2万元，支出决算为2万元，完成预算的100%，与上年相比持平。</w:t>
      </w:r>
    </w:p>
    <w:p>
      <w:pPr>
        <w:pStyle w:val="10"/>
        <w:spacing w:line="600" w:lineRule="exact"/>
        <w:ind w:firstLine="602" w:firstLineChars="200"/>
        <w:rPr>
          <w:rFonts w:ascii="仿宋" w:hAnsi="仿宋" w:eastAsia="仿宋" w:cs="仿宋"/>
          <w:b/>
          <w:sz w:val="30"/>
          <w:szCs w:val="30"/>
        </w:rPr>
      </w:pPr>
      <w:r>
        <w:rPr>
          <w:rFonts w:hint="eastAsia" w:ascii="仿宋" w:hAnsi="仿宋" w:eastAsia="仿宋" w:cs="仿宋"/>
          <w:b/>
          <w:sz w:val="30"/>
          <w:szCs w:val="30"/>
        </w:rPr>
        <w:t>（二）“三公”经费财政拨款支出决算具体情况说明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年度“三公”经费财政拨款支出决算中，公务接待费支出决算34万元，占94.44%,因公出国（境）费支出决算0万元，占0%,公务用车购置费及运行维护费支出决算2万元，占5.56%。其中：</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1.因公出国（境）费支出决算为0万元，全年安排因公出国（境）团组0个，累计0人次。</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2.公务接待费支出决算为34万元，全年共接待来访团组453个、来宾6854人次，主要是</w:t>
      </w:r>
      <w:r>
        <w:rPr>
          <w:rFonts w:hint="eastAsia" w:ascii="仿宋" w:hAnsi="仿宋" w:eastAsia="仿宋" w:cs="仿宋"/>
          <w:sz w:val="30"/>
          <w:szCs w:val="30"/>
          <w:lang w:val="zh-CN"/>
        </w:rPr>
        <w:t>用于与有关单位交流工作情况及接受相关部门检查指导工作</w:t>
      </w:r>
      <w:r>
        <w:rPr>
          <w:rFonts w:hint="eastAsia" w:ascii="仿宋" w:hAnsi="仿宋" w:eastAsia="仿宋" w:cs="仿宋"/>
          <w:sz w:val="30"/>
          <w:szCs w:val="30"/>
        </w:rPr>
        <w:t>发生的接待支出。</w:t>
      </w:r>
    </w:p>
    <w:p>
      <w:pPr>
        <w:spacing w:line="600" w:lineRule="exact"/>
        <w:ind w:firstLine="600" w:firstLineChars="200"/>
        <w:rPr>
          <w:rFonts w:ascii="仿宋" w:hAnsi="仿宋" w:eastAsia="仿宋" w:cs="仿宋"/>
          <w:color w:val="000000"/>
          <w:kern w:val="0"/>
          <w:sz w:val="30"/>
          <w:szCs w:val="30"/>
        </w:rPr>
      </w:pPr>
      <w:r>
        <w:rPr>
          <w:rFonts w:hint="eastAsia" w:ascii="仿宋" w:hAnsi="仿宋" w:eastAsia="仿宋" w:cs="仿宋"/>
          <w:sz w:val="30"/>
          <w:szCs w:val="30"/>
        </w:rPr>
        <w:t>3.公务用车购置费及运行维护费支出决算为2万元，其中：公务用车购置费0万元，公务用车2辆</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公务用车运行维护费2万元，主要是</w:t>
      </w:r>
      <w:r>
        <w:rPr>
          <w:rFonts w:hint="eastAsia" w:ascii="仿宋" w:hAnsi="仿宋" w:eastAsia="仿宋" w:cs="仿宋"/>
          <w:sz w:val="30"/>
          <w:szCs w:val="30"/>
          <w:lang w:val="zh-CN"/>
        </w:rPr>
        <w:t>按规定保留的公务用车的燃料费、维修费、过桥过路费、保险费、安全奖励费用等</w:t>
      </w:r>
      <w:r>
        <w:rPr>
          <w:rFonts w:hint="eastAsia" w:ascii="仿宋" w:hAnsi="仿宋" w:eastAsia="仿宋" w:cs="仿宋"/>
          <w:sz w:val="30"/>
          <w:szCs w:val="30"/>
        </w:rPr>
        <w:t>支出，截止202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年12月31日，我部门开支财政拨款的公务用车保有量为2辆。</w:t>
      </w:r>
    </w:p>
    <w:p>
      <w:pPr>
        <w:pStyle w:val="10"/>
        <w:spacing w:line="600" w:lineRule="exact"/>
        <w:ind w:firstLine="600" w:firstLineChars="200"/>
        <w:rPr>
          <w:rFonts w:hAnsi="黑体"/>
          <w:bCs/>
          <w:sz w:val="30"/>
          <w:szCs w:val="30"/>
        </w:rPr>
      </w:pPr>
      <w:r>
        <w:rPr>
          <w:rFonts w:hint="eastAsia" w:hAnsi="黑体"/>
          <w:bCs/>
          <w:sz w:val="30"/>
          <w:szCs w:val="30"/>
        </w:rPr>
        <w:t>八、政府性基金预算收入支出决算情况</w:t>
      </w:r>
    </w:p>
    <w:p>
      <w:pPr>
        <w:pStyle w:val="10"/>
        <w:spacing w:line="600" w:lineRule="exact"/>
        <w:ind w:firstLine="600" w:firstLineChars="200"/>
        <w:rPr>
          <w:rFonts w:ascii="仿宋" w:hAnsi="仿宋" w:eastAsia="仿宋" w:cs="仿宋"/>
          <w:i/>
          <w:color w:val="FF0000"/>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年度政府性基金预算财政拨款收入</w:t>
      </w:r>
      <w:r>
        <w:rPr>
          <w:rFonts w:hint="eastAsia" w:ascii="仿宋" w:hAnsi="仿宋" w:eastAsia="仿宋" w:cs="仿宋"/>
          <w:sz w:val="30"/>
          <w:szCs w:val="30"/>
          <w:lang w:val="en-US" w:eastAsia="zh-CN"/>
        </w:rPr>
        <w:t>103</w:t>
      </w:r>
      <w:r>
        <w:rPr>
          <w:rFonts w:hint="eastAsia" w:ascii="仿宋" w:hAnsi="仿宋" w:eastAsia="仿宋" w:cs="仿宋"/>
          <w:sz w:val="30"/>
          <w:szCs w:val="30"/>
        </w:rPr>
        <w:t>万元；年初结转和结余0万元；支出</w:t>
      </w:r>
      <w:r>
        <w:rPr>
          <w:rFonts w:hint="eastAsia" w:ascii="仿宋" w:hAnsi="仿宋" w:eastAsia="仿宋" w:cs="仿宋"/>
          <w:sz w:val="30"/>
          <w:szCs w:val="30"/>
          <w:lang w:val="en-US" w:eastAsia="zh-CN"/>
        </w:rPr>
        <w:t>103</w:t>
      </w:r>
      <w:r>
        <w:rPr>
          <w:rFonts w:hint="eastAsia" w:ascii="仿宋" w:hAnsi="仿宋" w:eastAsia="仿宋" w:cs="仿宋"/>
          <w:sz w:val="30"/>
          <w:szCs w:val="30"/>
        </w:rPr>
        <w:t>万元，其中基本支出0万元，项目支出</w:t>
      </w:r>
      <w:r>
        <w:rPr>
          <w:rFonts w:hint="eastAsia" w:ascii="仿宋" w:hAnsi="仿宋" w:eastAsia="仿宋" w:cs="仿宋"/>
          <w:sz w:val="30"/>
          <w:szCs w:val="30"/>
          <w:lang w:val="en-US" w:eastAsia="zh-CN"/>
        </w:rPr>
        <w:t>103</w:t>
      </w:r>
      <w:r>
        <w:rPr>
          <w:rFonts w:hint="eastAsia" w:ascii="仿宋" w:hAnsi="仿宋" w:eastAsia="仿宋" w:cs="仿宋"/>
          <w:sz w:val="30"/>
          <w:szCs w:val="30"/>
        </w:rPr>
        <w:t>万元；年末结转和结余0万元。具体情况如下：</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1.城乡社区支出（类）国有土地使用权出让收入安排的支出（款）农村基础设施建设支出（项）。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82</w:t>
      </w:r>
      <w:r>
        <w:rPr>
          <w:rFonts w:hint="eastAsia" w:ascii="仿宋" w:hAnsi="仿宋" w:eastAsia="仿宋" w:cs="仿宋"/>
          <w:sz w:val="30"/>
          <w:szCs w:val="30"/>
        </w:rPr>
        <w:t>万元，决算数大于年初预算的主要原因是</w:t>
      </w:r>
      <w:r>
        <w:rPr>
          <w:rFonts w:hint="eastAsia" w:ascii="仿宋" w:hAnsi="仿宋" w:eastAsia="仿宋" w:cs="仿宋"/>
          <w:sz w:val="30"/>
          <w:szCs w:val="30"/>
          <w:lang w:eastAsia="zh-CN"/>
        </w:rPr>
        <w:t>新增</w:t>
      </w:r>
      <w:r>
        <w:rPr>
          <w:rFonts w:hint="eastAsia" w:ascii="仿宋" w:hAnsi="仿宋" w:eastAsia="仿宋" w:cs="仿宋"/>
          <w:sz w:val="30"/>
          <w:szCs w:val="30"/>
        </w:rPr>
        <w:t>镇区道路，下水道整治和清理。</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城乡社区支出（类）国有土地使用权出让收入安排的支出（款）其他国有土地使用权出让收入安排的支出（项）。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4</w:t>
      </w:r>
      <w:r>
        <w:rPr>
          <w:rFonts w:hint="eastAsia" w:ascii="仿宋" w:hAnsi="仿宋" w:eastAsia="仿宋" w:cs="仿宋"/>
          <w:sz w:val="30"/>
          <w:szCs w:val="30"/>
        </w:rPr>
        <w:t>万元，决算数大于年初预算的主要原因是</w:t>
      </w:r>
      <w:r>
        <w:rPr>
          <w:rFonts w:hint="eastAsia" w:ascii="仿宋" w:hAnsi="仿宋" w:eastAsia="仿宋" w:cs="仿宋"/>
          <w:sz w:val="30"/>
          <w:szCs w:val="30"/>
          <w:lang w:eastAsia="zh-CN"/>
        </w:rPr>
        <w:t>新增</w:t>
      </w:r>
      <w:r>
        <w:rPr>
          <w:rFonts w:hint="eastAsia" w:ascii="仿宋" w:hAnsi="仿宋" w:eastAsia="仿宋" w:cs="仿宋"/>
          <w:sz w:val="30"/>
          <w:szCs w:val="30"/>
        </w:rPr>
        <w:t>镇区道路，下水道整治和清理。</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其他支出（类）彩票公益金安排的支出（款） 用于社会福利的彩票公益金支出（项）。</w:t>
      </w:r>
    </w:p>
    <w:p>
      <w:pPr>
        <w:pStyle w:val="1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年初预算为0万元，支出决算为</w:t>
      </w:r>
      <w:r>
        <w:rPr>
          <w:rFonts w:hint="eastAsia" w:ascii="仿宋" w:hAnsi="仿宋" w:eastAsia="仿宋" w:cs="仿宋"/>
          <w:sz w:val="30"/>
          <w:szCs w:val="30"/>
          <w:lang w:val="en-US" w:eastAsia="zh-CN"/>
        </w:rPr>
        <w:t>17</w:t>
      </w:r>
      <w:r>
        <w:rPr>
          <w:rFonts w:hint="eastAsia" w:ascii="仿宋" w:hAnsi="仿宋" w:eastAsia="仿宋" w:cs="仿宋"/>
          <w:sz w:val="30"/>
          <w:szCs w:val="30"/>
        </w:rPr>
        <w:t>万元，决算数大于年初预算的主要原因是</w:t>
      </w:r>
      <w:r>
        <w:rPr>
          <w:rFonts w:hint="eastAsia" w:ascii="仿宋" w:hAnsi="仿宋" w:eastAsia="仿宋" w:cs="仿宋"/>
          <w:sz w:val="30"/>
          <w:szCs w:val="30"/>
          <w:lang w:eastAsia="zh-CN"/>
        </w:rPr>
        <w:t>新增</w:t>
      </w:r>
      <w:r>
        <w:rPr>
          <w:rFonts w:hint="eastAsia" w:ascii="仿宋" w:hAnsi="仿宋" w:eastAsia="仿宋" w:cs="仿宋"/>
          <w:sz w:val="30"/>
          <w:szCs w:val="30"/>
        </w:rPr>
        <w:t>镇区道路，下水道整治和清理。</w:t>
      </w:r>
    </w:p>
    <w:p>
      <w:pPr>
        <w:pStyle w:val="10"/>
        <w:spacing w:line="600" w:lineRule="exact"/>
        <w:ind w:firstLine="600" w:firstLineChars="200"/>
        <w:rPr>
          <w:rFonts w:hAnsi="黑体"/>
          <w:bCs/>
          <w:sz w:val="30"/>
          <w:szCs w:val="30"/>
        </w:rPr>
      </w:pPr>
      <w:r>
        <w:rPr>
          <w:rFonts w:hint="eastAsia" w:hAnsi="黑体"/>
          <w:bCs/>
          <w:sz w:val="30"/>
          <w:szCs w:val="30"/>
        </w:rPr>
        <w:t>九、国有资本经营预算财政拨款收入支出决算</w:t>
      </w:r>
    </w:p>
    <w:p>
      <w:pPr>
        <w:pStyle w:val="10"/>
        <w:spacing w:line="600" w:lineRule="exact"/>
        <w:ind w:firstLine="600" w:firstLineChars="200"/>
        <w:rPr>
          <w:rFonts w:ascii="仿宋" w:hAnsi="仿宋" w:eastAsia="仿宋" w:cs="仿宋"/>
          <w:i/>
          <w:color w:val="FF0000"/>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年度本部门无国有资本经营预算财政拨款收支。</w:t>
      </w:r>
    </w:p>
    <w:p>
      <w:pPr>
        <w:pStyle w:val="10"/>
        <w:spacing w:line="600" w:lineRule="exact"/>
        <w:ind w:firstLine="600" w:firstLineChars="200"/>
        <w:rPr>
          <w:rFonts w:hint="default" w:hAnsi="黑体" w:eastAsia="黑体"/>
          <w:bCs/>
          <w:sz w:val="30"/>
          <w:szCs w:val="30"/>
          <w:lang w:val="en-US" w:eastAsia="zh-CN"/>
        </w:rPr>
      </w:pPr>
      <w:r>
        <w:rPr>
          <w:rFonts w:hint="eastAsia" w:hAnsi="黑体"/>
          <w:bCs/>
          <w:sz w:val="30"/>
          <w:szCs w:val="30"/>
        </w:rPr>
        <w:t>十、机关运行经费支出说明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本部门202</w:t>
      </w:r>
      <w:r>
        <w:rPr>
          <w:rFonts w:hint="eastAsia" w:ascii="仿宋" w:hAnsi="仿宋" w:eastAsia="仿宋" w:cs="仿宋"/>
          <w:sz w:val="30"/>
          <w:szCs w:val="30"/>
          <w:lang w:val="en-US" w:eastAsia="zh-CN"/>
        </w:rPr>
        <w:t>2</w:t>
      </w:r>
      <w:r>
        <w:rPr>
          <w:rFonts w:hint="eastAsia" w:ascii="仿宋" w:hAnsi="仿宋" w:eastAsia="仿宋" w:cs="仿宋"/>
          <w:sz w:val="30"/>
          <w:szCs w:val="30"/>
        </w:rPr>
        <w:t>年度机关运行经费支出</w:t>
      </w:r>
      <w:r>
        <w:rPr>
          <w:rFonts w:hint="eastAsia" w:ascii="仿宋" w:hAnsi="仿宋" w:eastAsia="仿宋" w:cs="仿宋"/>
          <w:sz w:val="30"/>
          <w:szCs w:val="30"/>
          <w:lang w:val="en-US" w:eastAsia="zh-CN"/>
        </w:rPr>
        <w:t>126.6</w:t>
      </w:r>
      <w:r>
        <w:rPr>
          <w:rFonts w:hint="eastAsia" w:ascii="仿宋" w:hAnsi="仿宋" w:eastAsia="仿宋" w:cs="仿宋"/>
          <w:sz w:val="30"/>
          <w:szCs w:val="30"/>
        </w:rPr>
        <w:t>万元，占基本支出的</w:t>
      </w:r>
      <w:r>
        <w:rPr>
          <w:rFonts w:hint="eastAsia" w:ascii="仿宋" w:hAnsi="仿宋" w:eastAsia="仿宋" w:cs="仿宋"/>
          <w:sz w:val="30"/>
          <w:szCs w:val="30"/>
          <w:lang w:val="en-US" w:eastAsia="zh-CN"/>
        </w:rPr>
        <w:t>6.18</w:t>
      </w:r>
      <w:r>
        <w:rPr>
          <w:rFonts w:hint="eastAsia" w:ascii="仿宋" w:hAnsi="仿宋" w:eastAsia="仿宋" w:cs="仿宋"/>
          <w:sz w:val="30"/>
          <w:szCs w:val="30"/>
        </w:rPr>
        <w:t>%，比上年决算数减少</w:t>
      </w:r>
      <w:r>
        <w:rPr>
          <w:rFonts w:hint="eastAsia" w:ascii="仿宋" w:hAnsi="仿宋" w:eastAsia="仿宋" w:cs="仿宋"/>
          <w:sz w:val="30"/>
          <w:szCs w:val="30"/>
          <w:lang w:val="en-US" w:eastAsia="zh-CN"/>
        </w:rPr>
        <w:t>209.84</w:t>
      </w:r>
      <w:r>
        <w:rPr>
          <w:rFonts w:hint="eastAsia" w:ascii="仿宋" w:hAnsi="仿宋" w:eastAsia="仿宋" w:cs="仿宋"/>
          <w:sz w:val="30"/>
          <w:szCs w:val="30"/>
        </w:rPr>
        <w:t>元，降低</w:t>
      </w:r>
      <w:r>
        <w:rPr>
          <w:rFonts w:hint="eastAsia" w:ascii="仿宋" w:hAnsi="仿宋" w:eastAsia="仿宋" w:cs="仿宋"/>
          <w:sz w:val="30"/>
          <w:szCs w:val="30"/>
          <w:lang w:val="en-US" w:eastAsia="zh-CN"/>
        </w:rPr>
        <w:t>62.37</w:t>
      </w:r>
      <w:r>
        <w:rPr>
          <w:rFonts w:hint="eastAsia" w:ascii="仿宋" w:hAnsi="仿宋" w:eastAsia="仿宋" w:cs="仿宋"/>
          <w:sz w:val="30"/>
          <w:szCs w:val="30"/>
        </w:rPr>
        <w:t>%。主要原因是：加强了机关的绩效考核、管理力度、内部管理，机关节省打印费、维修费等费用开支，固定资产盘活，资产购买支出减少。</w:t>
      </w:r>
    </w:p>
    <w:p>
      <w:pPr>
        <w:pStyle w:val="10"/>
        <w:spacing w:line="600" w:lineRule="exact"/>
        <w:ind w:firstLine="600" w:firstLineChars="200"/>
        <w:rPr>
          <w:rFonts w:hAnsi="黑体"/>
          <w:bCs/>
          <w:sz w:val="30"/>
          <w:szCs w:val="30"/>
        </w:rPr>
      </w:pPr>
      <w:r>
        <w:rPr>
          <w:rFonts w:hint="eastAsia" w:hAnsi="黑体"/>
          <w:bCs/>
          <w:sz w:val="30"/>
          <w:szCs w:val="30"/>
        </w:rPr>
        <w:t>十一、一般性支出情况说明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年本部门开支会议费10万元，用于召开202</w:t>
      </w:r>
      <w:r>
        <w:rPr>
          <w:rFonts w:hint="eastAsia" w:ascii="仿宋" w:hAnsi="仿宋" w:eastAsia="仿宋" w:cs="仿宋"/>
          <w:sz w:val="30"/>
          <w:szCs w:val="30"/>
          <w:lang w:val="en-US" w:eastAsia="zh-CN"/>
        </w:rPr>
        <w:t>2</w:t>
      </w:r>
      <w:r>
        <w:rPr>
          <w:rFonts w:hint="eastAsia" w:ascii="仿宋" w:hAnsi="仿宋" w:eastAsia="仿宋" w:cs="仿宋"/>
          <w:sz w:val="30"/>
          <w:szCs w:val="30"/>
        </w:rPr>
        <w:t>年经济工作会议、党员冬春训业务培训会议、日常工作任务落实会议，人数4500人，内容为业务培训等；开支培训费1万元，用于开展党员冬春训业务培训，人数500人，内容为党员业务培训；举办其他日常工作会议，开支9万元，主要是日常工作任务部署安排；未举办节庆、晚会、论坛、赛事等活动。</w:t>
      </w:r>
    </w:p>
    <w:p>
      <w:pPr>
        <w:pStyle w:val="10"/>
        <w:spacing w:line="600" w:lineRule="exact"/>
        <w:ind w:firstLine="600" w:firstLineChars="200"/>
        <w:rPr>
          <w:rFonts w:hAnsi="黑体"/>
          <w:bCs/>
          <w:sz w:val="30"/>
          <w:szCs w:val="30"/>
        </w:rPr>
      </w:pPr>
      <w:r>
        <w:rPr>
          <w:rFonts w:hint="eastAsia" w:hAnsi="黑体"/>
          <w:bCs/>
          <w:sz w:val="30"/>
          <w:szCs w:val="30"/>
        </w:rPr>
        <w:t>十二、政府采购支出说明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本部门202</w:t>
      </w:r>
      <w:r>
        <w:rPr>
          <w:rFonts w:hint="eastAsia" w:ascii="仿宋" w:hAnsi="仿宋" w:eastAsia="仿宋" w:cs="仿宋"/>
          <w:sz w:val="30"/>
          <w:szCs w:val="30"/>
          <w:lang w:val="en-US" w:eastAsia="zh-CN"/>
        </w:rPr>
        <w:t>2</w:t>
      </w:r>
      <w:r>
        <w:rPr>
          <w:rFonts w:hint="eastAsia" w:ascii="仿宋" w:hAnsi="仿宋" w:eastAsia="仿宋" w:cs="仿宋"/>
          <w:sz w:val="30"/>
          <w:szCs w:val="30"/>
        </w:rPr>
        <w:t>年度政府采购支出总额20万元，其中：政府采购货物支出20 万元、政府采购工程支出0万元、政府采购服务支出0万元。授予中小企业合同金额1万元，占政府采购支出总额的5%，其中：授予小微企业合同金额1万元，占授予中小企业合同金额的100%；货物采购授予中小企业合同金额占货物支出金额的100%，工程采购授予中小企业合同金额占工程支出金额的0%，服务采购授予中小企业合同金额占服务支出金额的0%。</w:t>
      </w:r>
    </w:p>
    <w:p>
      <w:pPr>
        <w:pStyle w:val="10"/>
        <w:spacing w:line="600" w:lineRule="exact"/>
        <w:ind w:firstLine="600" w:firstLineChars="200"/>
        <w:rPr>
          <w:rFonts w:hAnsi="黑体"/>
          <w:bCs/>
          <w:sz w:val="30"/>
          <w:szCs w:val="30"/>
        </w:rPr>
      </w:pPr>
      <w:r>
        <w:rPr>
          <w:rFonts w:hint="eastAsia" w:hAnsi="黑体"/>
          <w:bCs/>
          <w:sz w:val="30"/>
          <w:szCs w:val="30"/>
        </w:rPr>
        <w:t>十三、国有资产占用情况说明</w:t>
      </w:r>
    </w:p>
    <w:p>
      <w:pPr>
        <w:pStyle w:val="1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年12月31日，本部门共有车辆2辆，其中，主要领导干部用车2辆，机要通信用车0辆、应急保障用车0辆、执法执勤用车0辆、特种专业技术用车0辆、其他用车0辆；单位价值50万元以上通用设备0台（套）；单位价值100万元以上专用设备0台（套）。</w:t>
      </w:r>
    </w:p>
    <w:p>
      <w:pPr>
        <w:pStyle w:val="10"/>
        <w:spacing w:line="600" w:lineRule="exact"/>
        <w:ind w:firstLine="600" w:firstLineChars="200"/>
        <w:rPr>
          <w:rFonts w:hAnsi="黑体"/>
          <w:bCs/>
          <w:sz w:val="30"/>
          <w:szCs w:val="30"/>
        </w:rPr>
      </w:pPr>
      <w:r>
        <w:rPr>
          <w:rFonts w:hint="eastAsia" w:hAnsi="黑体"/>
          <w:bCs/>
          <w:sz w:val="30"/>
          <w:szCs w:val="30"/>
        </w:rPr>
        <w:t>十四、202</w:t>
      </w:r>
      <w:r>
        <w:rPr>
          <w:rFonts w:hint="eastAsia" w:hAnsi="黑体"/>
          <w:bCs/>
          <w:sz w:val="30"/>
          <w:szCs w:val="30"/>
          <w:lang w:val="en-US" w:eastAsia="zh-CN"/>
        </w:rPr>
        <w:t>2</w:t>
      </w:r>
      <w:r>
        <w:rPr>
          <w:rFonts w:hint="eastAsia" w:hAnsi="黑体"/>
          <w:bCs/>
          <w:sz w:val="30"/>
          <w:szCs w:val="30"/>
        </w:rPr>
        <w:t>年度预算绩效情况说明</w:t>
      </w:r>
    </w:p>
    <w:p>
      <w:pPr>
        <w:autoSpaceDE w:val="0"/>
        <w:autoSpaceDN w:val="0"/>
        <w:adjustRightInd w:val="0"/>
        <w:spacing w:line="600" w:lineRule="exact"/>
        <w:ind w:firstLine="602" w:firstLineChars="200"/>
        <w:jc w:val="left"/>
        <w:rPr>
          <w:rFonts w:ascii="仿宋" w:hAnsi="仿宋" w:eastAsia="仿宋" w:cs="仿宋"/>
          <w:color w:val="000000"/>
          <w:kern w:val="0"/>
          <w:sz w:val="30"/>
          <w:szCs w:val="30"/>
        </w:rPr>
      </w:pPr>
      <w:r>
        <w:rPr>
          <w:rFonts w:hint="eastAsia" w:ascii="仿宋" w:hAnsi="仿宋" w:eastAsia="仿宋" w:cs="仿宋"/>
          <w:b/>
          <w:color w:val="000000"/>
          <w:kern w:val="0"/>
          <w:sz w:val="30"/>
          <w:szCs w:val="30"/>
        </w:rPr>
        <w:t>（一）绩效管理评价工作开展情况</w:t>
      </w:r>
    </w:p>
    <w:p>
      <w:pPr>
        <w:wordWrap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年本单位按照有关政策文件和赫山区财政局要求开展预算绩效管理工作，加强了绩效目标管理。在编制202</w:t>
      </w:r>
      <w:r>
        <w:rPr>
          <w:rFonts w:hint="eastAsia" w:ascii="仿宋" w:hAnsi="仿宋" w:eastAsia="仿宋" w:cs="仿宋"/>
          <w:sz w:val="30"/>
          <w:szCs w:val="30"/>
          <w:lang w:val="en-US" w:eastAsia="zh-CN"/>
        </w:rPr>
        <w:t>2</w:t>
      </w:r>
      <w:r>
        <w:rPr>
          <w:rFonts w:hint="eastAsia" w:ascii="仿宋" w:hAnsi="仿宋" w:eastAsia="仿宋" w:cs="仿宋"/>
          <w:sz w:val="30"/>
          <w:szCs w:val="30"/>
        </w:rPr>
        <w:t>年单位预算时，本单位将所有预算资金纳入绩效目标管理，实现了绩效目标与单位预算同步编制、同步申报。</w:t>
      </w:r>
    </w:p>
    <w:p>
      <w:pPr>
        <w:autoSpaceDE w:val="0"/>
        <w:autoSpaceDN w:val="0"/>
        <w:adjustRightInd w:val="0"/>
        <w:spacing w:line="600" w:lineRule="exact"/>
        <w:ind w:firstLine="602" w:firstLineChars="200"/>
        <w:jc w:val="left"/>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（二）部门决算中项目绩效自评结果</w:t>
      </w:r>
    </w:p>
    <w:p>
      <w:pPr>
        <w:wordWrap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本单位在绩效管理中不断优化经济发展环境，加强项目建设；十分注重民生保障，服务人民群众；狠抓社会管理，多方发力做到全面防范安全生产事故、及时调解纠纷、牢固“防违控违”工作、全面推进城乡统筹工作；不断完善科教文卫，全面发展。但也绩效管理中发现了一些问题，对此，将在平时工作中进一步加强对绩效目标监控的重视，定期对预算执行情况进行监督，使绩效目标监控与政府工作、财务工作挂钩，做到及时监控，及时控制。</w:t>
      </w:r>
    </w:p>
    <w:p>
      <w:pPr>
        <w:autoSpaceDE w:val="0"/>
        <w:autoSpaceDN w:val="0"/>
        <w:adjustRightInd w:val="0"/>
        <w:spacing w:line="600" w:lineRule="exact"/>
        <w:ind w:firstLine="602" w:firstLineChars="200"/>
        <w:jc w:val="left"/>
        <w:rPr>
          <w:rFonts w:ascii="仿宋" w:hAnsi="仿宋" w:eastAsia="仿宋" w:cs="仿宋"/>
          <w:color w:val="000000"/>
          <w:kern w:val="0"/>
          <w:sz w:val="30"/>
          <w:szCs w:val="30"/>
        </w:rPr>
      </w:pPr>
      <w:r>
        <w:rPr>
          <w:rFonts w:hint="eastAsia" w:ascii="仿宋" w:hAnsi="仿宋" w:eastAsia="仿宋" w:cs="仿宋"/>
          <w:b/>
          <w:color w:val="000000"/>
          <w:kern w:val="0"/>
          <w:sz w:val="30"/>
          <w:szCs w:val="30"/>
        </w:rPr>
        <w:t>（三）部门评价项目绩效评价结果</w:t>
      </w:r>
    </w:p>
    <w:p>
      <w:pPr>
        <w:wordWrap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我镇整体支出情况良好，资金主要用于保证机关正常运转、干职工工资、民生保障等重点绩效方面，对于项目资金，从立项、审批、设计、财评、建设、验收、审计全程监管，并由专人具体负责项目实施，取得了较好的经济效益和社会效益。</w:t>
      </w: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center"/>
        <w:rPr>
          <w:rFonts w:ascii="仿宋" w:hAnsi="仿宋" w:eastAsia="仿宋" w:cs="仿宋"/>
          <w:sz w:val="30"/>
          <w:szCs w:val="30"/>
        </w:rPr>
      </w:pPr>
    </w:p>
    <w:p>
      <w:pPr>
        <w:pStyle w:val="10"/>
        <w:spacing w:line="600" w:lineRule="exact"/>
        <w:jc w:val="both"/>
        <w:rPr>
          <w:rFonts w:ascii="仿宋" w:hAnsi="仿宋" w:eastAsia="仿宋" w:cs="仿宋"/>
          <w:sz w:val="30"/>
          <w:szCs w:val="30"/>
        </w:rPr>
      </w:pPr>
    </w:p>
    <w:p>
      <w:pPr>
        <w:pStyle w:val="10"/>
        <w:spacing w:line="600" w:lineRule="exact"/>
        <w:ind w:firstLine="600" w:firstLineChars="200"/>
        <w:jc w:val="both"/>
        <w:rPr>
          <w:rFonts w:ascii="仿宋" w:hAnsi="仿宋" w:eastAsia="仿宋" w:cs="仿宋"/>
          <w:sz w:val="30"/>
          <w:szCs w:val="30"/>
        </w:rPr>
      </w:pPr>
    </w:p>
    <w:p>
      <w:pPr>
        <w:jc w:val="center"/>
        <w:rPr>
          <w:rFonts w:hint="eastAsia" w:asciiTheme="minorHAnsi" w:hAnsiTheme="minorHAnsi" w:eastAsiaTheme="minorEastAsia" w:cstheme="minorBidi"/>
          <w:kern w:val="2"/>
          <w:sz w:val="21"/>
          <w:szCs w:val="22"/>
          <w:lang w:val="en-US" w:eastAsia="zh-CN" w:bidi="ar-SA"/>
        </w:rPr>
      </w:pPr>
      <w:r>
        <w:rPr>
          <w:rFonts w:hint="eastAsia" w:ascii="黑体" w:hAnsi="黑体" w:eastAsia="黑体" w:cs="黑体"/>
          <w:sz w:val="72"/>
          <w:szCs w:val="72"/>
        </w:rPr>
        <w:t xml:space="preserve">第四部分 </w:t>
      </w:r>
      <w:r>
        <w:rPr>
          <w:rFonts w:hint="eastAsia" w:ascii="黑体" w:hAnsi="黑体" w:eastAsia="黑体" w:cs="黑体"/>
          <w:color w:val="000000"/>
          <w:kern w:val="0"/>
          <w:sz w:val="72"/>
          <w:szCs w:val="72"/>
        </w:rPr>
        <w:t>名词解释</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numPr>
          <w:ilvl w:val="0"/>
          <w:numId w:val="3"/>
        </w:numPr>
        <w:spacing w:line="600" w:lineRule="exact"/>
        <w:ind w:firstLine="600" w:firstLineChars="200"/>
        <w:rPr>
          <w:rFonts w:ascii="仿宋" w:hAnsi="仿宋" w:eastAsia="仿宋" w:cs="仿宋"/>
          <w:sz w:val="30"/>
          <w:szCs w:val="30"/>
        </w:rPr>
      </w:pPr>
      <w:r>
        <w:rPr>
          <w:rFonts w:hint="eastAsia" w:ascii="仿宋_GB2312" w:eastAsia="仿宋_GB2312"/>
          <w:color w:val="333333"/>
          <w:sz w:val="30"/>
          <w:szCs w:val="30"/>
          <w:shd w:val="clear" w:color="auto" w:fill="FFFFFF"/>
        </w:rPr>
        <w:t>节能环保支出（类）：是指用于节能环保支出，包括保障机构正常运转、完成日常和特定的工作任务或事业发展目标的支出。</w:t>
      </w:r>
    </w:p>
    <w:p>
      <w:pPr>
        <w:numPr>
          <w:ilvl w:val="0"/>
          <w:numId w:val="3"/>
        </w:numPr>
        <w:spacing w:line="600" w:lineRule="exact"/>
        <w:ind w:firstLine="600" w:firstLineChars="200"/>
        <w:rPr>
          <w:rFonts w:ascii="仿宋" w:hAnsi="仿宋" w:eastAsia="仿宋" w:cs="仿宋"/>
          <w:sz w:val="30"/>
          <w:szCs w:val="30"/>
        </w:rPr>
      </w:pPr>
      <w:r>
        <w:rPr>
          <w:rFonts w:hint="eastAsia" w:ascii="仿宋_GB2312" w:eastAsia="仿宋_GB2312"/>
          <w:color w:val="333333"/>
          <w:sz w:val="30"/>
          <w:szCs w:val="30"/>
          <w:shd w:val="clear" w:color="auto" w:fill="FFFFFF"/>
        </w:rPr>
        <w:t>农林水支出（类）：是指用于农林水事务支出，包括保障机构正常运转、完成日常和特定的工作任务或事业发展目标的支出。</w:t>
      </w:r>
    </w:p>
    <w:p>
      <w:pPr>
        <w:numPr>
          <w:ilvl w:val="0"/>
          <w:numId w:val="3"/>
        </w:numPr>
        <w:spacing w:line="600" w:lineRule="exact"/>
        <w:ind w:firstLine="600" w:firstLineChars="200"/>
        <w:rPr>
          <w:rFonts w:ascii="仿宋" w:hAnsi="仿宋" w:eastAsia="仿宋" w:cs="仿宋"/>
          <w:sz w:val="30"/>
          <w:szCs w:val="30"/>
        </w:rPr>
      </w:pPr>
      <w:r>
        <w:rPr>
          <w:rFonts w:hint="eastAsia" w:ascii="仿宋_GB2312" w:eastAsia="仿宋_GB2312"/>
          <w:color w:val="333333"/>
          <w:sz w:val="30"/>
          <w:szCs w:val="30"/>
          <w:shd w:val="clear" w:color="auto" w:fill="FFFFFF"/>
        </w:rPr>
        <w:t>城乡社区支出（类）：是指用于城乡社区事务支出，包括保障机构正常运转、完成日常和特定的工作任务或事业发展目标的支出。</w:t>
      </w:r>
    </w:p>
    <w:p>
      <w:pPr>
        <w:numPr>
          <w:ilvl w:val="0"/>
          <w:numId w:val="3"/>
        </w:numPr>
        <w:spacing w:line="600" w:lineRule="exact"/>
        <w:ind w:firstLine="600" w:firstLineChars="200"/>
        <w:rPr>
          <w:rFonts w:ascii="仿宋" w:hAnsi="仿宋" w:eastAsia="仿宋" w:cs="仿宋"/>
          <w:sz w:val="30"/>
          <w:szCs w:val="30"/>
        </w:rPr>
      </w:pPr>
      <w:r>
        <w:rPr>
          <w:rFonts w:hint="eastAsia" w:ascii="仿宋_GB2312" w:eastAsia="仿宋_GB2312"/>
          <w:color w:val="333333"/>
          <w:sz w:val="30"/>
          <w:szCs w:val="30"/>
          <w:shd w:val="clear" w:color="auto" w:fill="FFFFFF"/>
        </w:rPr>
        <w:t>卫生健康支出（类）：是指用于医疗卫生与计划生育方面的支出，包括保障机构正常运转、完成日常和特定的工作任务或事业发展目标的支出。</w:t>
      </w:r>
    </w:p>
    <w:p>
      <w:pPr>
        <w:numPr>
          <w:ilvl w:val="0"/>
          <w:numId w:val="3"/>
        </w:numPr>
        <w:spacing w:line="600" w:lineRule="exact"/>
        <w:ind w:firstLine="600" w:firstLineChars="200"/>
        <w:rPr>
          <w:rFonts w:ascii="仿宋" w:hAnsi="仿宋" w:eastAsia="仿宋" w:cs="仿宋"/>
          <w:sz w:val="30"/>
          <w:szCs w:val="30"/>
        </w:rPr>
      </w:pPr>
      <w:r>
        <w:rPr>
          <w:rFonts w:hint="eastAsia" w:ascii="仿宋_GB2312" w:eastAsia="仿宋_GB2312"/>
          <w:color w:val="333333"/>
          <w:sz w:val="30"/>
          <w:szCs w:val="30"/>
          <w:shd w:val="clear" w:color="auto" w:fill="FFFFFF"/>
        </w:rPr>
        <w:t>资源勘探信息等支出（类）：是指用于资源勘探、制造业、建筑业、工业信息等方面支出，包括保障机构正常运转、完成日常和特定的工作任务或事业发展目标的支出。</w:t>
      </w:r>
    </w:p>
    <w:p>
      <w:pPr>
        <w:pStyle w:val="10"/>
        <w:spacing w:line="600" w:lineRule="exact"/>
        <w:ind w:firstLine="600" w:firstLineChars="200"/>
        <w:jc w:val="center"/>
        <w:rPr>
          <w:rFonts w:ascii="仿宋" w:hAnsi="仿宋" w:eastAsia="仿宋" w:cs="仿宋"/>
          <w:sz w:val="30"/>
          <w:szCs w:val="30"/>
        </w:rPr>
      </w:pPr>
      <w:r>
        <w:rPr>
          <w:rFonts w:hint="eastAsia" w:ascii="仿宋_GB2312" w:eastAsia="仿宋_GB2312"/>
          <w:color w:val="333333"/>
          <w:sz w:val="30"/>
          <w:szCs w:val="30"/>
          <w:shd w:val="clear" w:color="auto" w:fill="FFFFFF"/>
        </w:rPr>
        <w:t>住房保障支出（类）：是指用于住房方面的支出，包括保障机构正常运转、完成日常和特定的工作任务或事业发展目标的支出。</w:t>
      </w:r>
    </w:p>
    <w:p>
      <w:pPr>
        <w:pStyle w:val="10"/>
        <w:spacing w:line="600" w:lineRule="exact"/>
        <w:ind w:firstLine="600" w:firstLineChars="200"/>
        <w:jc w:val="center"/>
        <w:rPr>
          <w:rFonts w:ascii="仿宋" w:hAnsi="仿宋" w:eastAsia="仿宋" w:cs="仿宋"/>
          <w:sz w:val="30"/>
          <w:szCs w:val="30"/>
        </w:rPr>
      </w:pPr>
    </w:p>
    <w:p>
      <w:pPr>
        <w:pStyle w:val="10"/>
        <w:spacing w:line="600" w:lineRule="exact"/>
        <w:ind w:firstLine="600" w:firstLineChars="200"/>
        <w:jc w:val="both"/>
        <w:rPr>
          <w:rFonts w:ascii="仿宋" w:hAnsi="仿宋" w:eastAsia="仿宋" w:cs="仿宋"/>
          <w:sz w:val="30"/>
          <w:szCs w:val="30"/>
        </w:rPr>
      </w:pPr>
    </w:p>
    <w:p>
      <w:pPr>
        <w:pStyle w:val="10"/>
        <w:spacing w:line="600" w:lineRule="exact"/>
        <w:ind w:firstLine="600" w:firstLineChars="200"/>
        <w:jc w:val="both"/>
        <w:rPr>
          <w:rFonts w:ascii="仿宋" w:hAnsi="仿宋" w:eastAsia="仿宋" w:cs="仿宋"/>
          <w:sz w:val="30"/>
          <w:szCs w:val="30"/>
        </w:rPr>
      </w:pPr>
    </w:p>
    <w:p>
      <w:pPr>
        <w:pStyle w:val="10"/>
        <w:spacing w:line="600" w:lineRule="exact"/>
        <w:ind w:firstLine="600" w:firstLineChars="200"/>
        <w:jc w:val="both"/>
        <w:rPr>
          <w:rFonts w:ascii="仿宋" w:hAnsi="仿宋" w:eastAsia="仿宋" w:cs="仿宋"/>
          <w:sz w:val="30"/>
          <w:szCs w:val="30"/>
        </w:rPr>
      </w:pPr>
    </w:p>
    <w:p>
      <w:pPr>
        <w:pStyle w:val="10"/>
        <w:spacing w:line="600" w:lineRule="exact"/>
        <w:ind w:firstLine="600" w:firstLineChars="200"/>
        <w:jc w:val="both"/>
        <w:rPr>
          <w:rFonts w:ascii="仿宋" w:hAnsi="仿宋" w:eastAsia="仿宋" w:cs="仿宋"/>
          <w:sz w:val="30"/>
          <w:szCs w:val="30"/>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A9072"/>
    <w:multiLevelType w:val="singleLevel"/>
    <w:tmpl w:val="035A9072"/>
    <w:lvl w:ilvl="0" w:tentative="0">
      <w:start w:val="2"/>
      <w:numFmt w:val="chineseCounting"/>
      <w:suff w:val="space"/>
      <w:lvlText w:val="第%1部分"/>
      <w:lvlJc w:val="left"/>
      <w:rPr>
        <w:rFonts w:hint="eastAsia"/>
      </w:rPr>
    </w:lvl>
  </w:abstractNum>
  <w:abstractNum w:abstractNumId="1">
    <w:nsid w:val="527A55EA"/>
    <w:multiLevelType w:val="singleLevel"/>
    <w:tmpl w:val="527A55EA"/>
    <w:lvl w:ilvl="0" w:tentative="0">
      <w:start w:val="3"/>
      <w:numFmt w:val="decimal"/>
      <w:lvlText w:val="%1."/>
      <w:lvlJc w:val="left"/>
      <w:pPr>
        <w:tabs>
          <w:tab w:val="left" w:pos="312"/>
        </w:tabs>
      </w:pPr>
    </w:lvl>
  </w:abstractNum>
  <w:abstractNum w:abstractNumId="2">
    <w:nsid w:val="5E16425F"/>
    <w:multiLevelType w:val="singleLevel"/>
    <w:tmpl w:val="5E16425F"/>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4BF06AE0"/>
    <w:rsid w:val="01913D99"/>
    <w:rsid w:val="0EF820C6"/>
    <w:rsid w:val="2B02532E"/>
    <w:rsid w:val="2DDE64D3"/>
    <w:rsid w:val="30A27C8C"/>
    <w:rsid w:val="3ED54159"/>
    <w:rsid w:val="3F491476"/>
    <w:rsid w:val="43A06C70"/>
    <w:rsid w:val="49CC45DC"/>
    <w:rsid w:val="4BF06AE0"/>
    <w:rsid w:val="4DAE7818"/>
    <w:rsid w:val="5A4C4641"/>
    <w:rsid w:val="63A56E3C"/>
    <w:rsid w:val="70F51137"/>
    <w:rsid w:val="7A3E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jc w:val="left"/>
    </w:pPr>
    <w:rPr>
      <w:rFonts w:cs="Times New Roman"/>
      <w:kern w:val="0"/>
      <w:sz w:val="24"/>
    </w:rPr>
  </w:style>
  <w:style w:type="character" w:styleId="7">
    <w:name w:val="FollowedHyperlink"/>
    <w:basedOn w:val="6"/>
    <w:uiPriority w:val="0"/>
    <w:rPr>
      <w:color w:val="333333"/>
      <w:u w:val="none"/>
    </w:rPr>
  </w:style>
  <w:style w:type="character" w:styleId="8">
    <w:name w:val="Emphasis"/>
    <w:basedOn w:val="6"/>
    <w:qFormat/>
    <w:uiPriority w:val="0"/>
    <w:rPr>
      <w:sz w:val="24"/>
      <w:szCs w:val="24"/>
    </w:rPr>
  </w:style>
  <w:style w:type="character" w:styleId="9">
    <w:name w:val="Hyperlink"/>
    <w:basedOn w:val="6"/>
    <w:uiPriority w:val="0"/>
    <w:rPr>
      <w:color w:val="333333"/>
      <w:u w:val="none"/>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table" w:customStyle="1" w:styleId="12">
    <w:name w:val="Table Normal"/>
    <w:semiHidden/>
    <w:unhideWhenUsed/>
    <w:qFormat/>
    <w:uiPriority w:val="0"/>
    <w:tblPr>
      <w:tblCellMar>
        <w:top w:w="0" w:type="dxa"/>
        <w:left w:w="0" w:type="dxa"/>
        <w:bottom w:w="0" w:type="dxa"/>
        <w:right w:w="0" w:type="dxa"/>
      </w:tblCellMar>
    </w:tblPr>
  </w:style>
  <w:style w:type="character" w:customStyle="1" w:styleId="13">
    <w:name w:val="active"/>
    <w:basedOn w:val="6"/>
    <w:uiPriority w:val="0"/>
    <w:rPr>
      <w:shd w:val="clear" w:fill="0466C7"/>
    </w:rPr>
  </w:style>
  <w:style w:type="character" w:customStyle="1" w:styleId="14">
    <w:name w:val="active1"/>
    <w:basedOn w:val="6"/>
    <w:uiPriority w:val="0"/>
    <w:rPr>
      <w:shd w:val="clear" w:fill="0466C7"/>
    </w:rPr>
  </w:style>
  <w:style w:type="character" w:customStyle="1" w:styleId="15">
    <w:name w:val="wx-space"/>
    <w:basedOn w:val="6"/>
    <w:uiPriority w:val="0"/>
  </w:style>
  <w:style w:type="character" w:customStyle="1" w:styleId="16">
    <w:name w:val="before"/>
    <w:basedOn w:val="6"/>
    <w:uiPriority w:val="0"/>
  </w:style>
  <w:style w:type="character" w:customStyle="1" w:styleId="17">
    <w:name w:val="before1"/>
    <w:basedOn w:val="6"/>
    <w:uiPriority w:val="0"/>
    <w:rPr>
      <w:shd w:val="clear" w:fill="DCDCDC"/>
    </w:rPr>
  </w:style>
  <w:style w:type="character" w:customStyle="1" w:styleId="18">
    <w:name w:val="before2"/>
    <w:basedOn w:val="6"/>
    <w:uiPriority w:val="0"/>
    <w:rPr>
      <w:shd w:val="clear" w:fill="0466C7"/>
    </w:rPr>
  </w:style>
  <w:style w:type="character" w:customStyle="1" w:styleId="19">
    <w:name w:val="before3"/>
    <w:basedOn w:val="6"/>
    <w:uiPriority w:val="0"/>
    <w:rPr>
      <w:shd w:val="clear" w:fill="0466C7"/>
    </w:rPr>
  </w:style>
  <w:style w:type="character" w:customStyle="1" w:styleId="20">
    <w:name w:val="hover21"/>
    <w:basedOn w:val="6"/>
    <w:uiPriority w:val="0"/>
    <w:rPr>
      <w:color w:val="0466C7"/>
    </w:rPr>
  </w:style>
  <w:style w:type="character" w:customStyle="1" w:styleId="21">
    <w:name w:val="hover22"/>
    <w:basedOn w:val="6"/>
    <w:uiPriority w:val="0"/>
    <w:rPr>
      <w:color w:val="000000"/>
      <w:shd w:val="clear" w:fill="FFFFFF"/>
    </w:rPr>
  </w:style>
  <w:style w:type="character" w:customStyle="1" w:styleId="22">
    <w:name w:val="logo_img"/>
    <w:basedOn w:val="6"/>
    <w:uiPriority w:val="0"/>
  </w:style>
  <w:style w:type="character" w:customStyle="1" w:styleId="23">
    <w:name w:val="logo_img1"/>
    <w:basedOn w:val="6"/>
    <w:uiPriority w:val="0"/>
  </w:style>
  <w:style w:type="character" w:customStyle="1" w:styleId="24">
    <w:name w:val="wx-space1"/>
    <w:basedOn w:val="6"/>
    <w:uiPriority w:val="0"/>
  </w:style>
  <w:style w:type="character" w:customStyle="1" w:styleId="25">
    <w:name w:val="active4"/>
    <w:basedOn w:val="6"/>
    <w:uiPriority w:val="0"/>
    <w:rPr>
      <w:shd w:val="clear" w:fill="0466C7"/>
    </w:rPr>
  </w:style>
  <w:style w:type="character" w:customStyle="1" w:styleId="26">
    <w:name w:val="active5"/>
    <w:basedOn w:val="6"/>
    <w:uiPriority w:val="0"/>
    <w:rPr>
      <w:shd w:val="clear" w:fill="0466C7"/>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2023-09-12T00:40:00Z</dcterms:created>
  <dc:creator>Administrator</dc:creator>
  <cp:lastModifiedBy>Administrator</cp:lastModifiedBy>
  <cp:lastPrinted>2023-09-13T03:33:00Z</cp:lastPrinted>
  <dcterms:modified xsi:type="dcterms:W3CDTF">2023-09-20T03:19:03Z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BB2AFB13551B4C8CB59A32A4A826FC07_11</vt:lpwstr>
  </property>
</Properties>
</file>