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2"/>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益阳市赫山区</w:t>
      </w:r>
    </w:p>
    <w:p>
      <w:pPr>
        <w:pStyle w:val="12"/>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赫山街道办事处</w:t>
      </w:r>
      <w:r>
        <w:rPr>
          <w:rFonts w:hint="eastAsia" w:ascii="方正小标宋_GBK" w:hAnsi="方正小标宋_GBK" w:eastAsia="方正小标宋_GBK" w:cs="方正小标宋_GBK"/>
          <w:sz w:val="84"/>
          <w:szCs w:val="84"/>
        </w:rPr>
        <w:t>部门决算</w:t>
      </w:r>
    </w:p>
    <w:p>
      <w:pPr>
        <w:pStyle w:val="12"/>
        <w:jc w:val="center"/>
        <w:rPr>
          <w:rFonts w:hint="eastAsia" w:ascii="方正小标宋_GBK" w:hAnsi="方正小标宋_GBK" w:eastAsia="方正小标宋_GBK" w:cs="方正小标宋_GBK"/>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both"/>
        <w:rPr>
          <w:sz w:val="56"/>
          <w:szCs w:val="56"/>
        </w:rPr>
      </w:pPr>
    </w:p>
    <w:p>
      <w:pPr>
        <w:pStyle w:val="12"/>
        <w:spacing w:line="500" w:lineRule="exact"/>
        <w:jc w:val="both"/>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XX</w:t>
      </w:r>
      <w:r>
        <w:rPr>
          <w:rFonts w:hint="eastAsia" w:ascii="黑体" w:hAnsi="黑体" w:eastAsia="黑体" w:cs="黑体"/>
          <w:b w:val="0"/>
          <w:bCs/>
          <w:sz w:val="28"/>
          <w:szCs w:val="28"/>
          <w:lang w:eastAsia="zh-CN"/>
        </w:rPr>
        <w:t>部门（</w:t>
      </w:r>
      <w:r>
        <w:rPr>
          <w:rFonts w:hint="eastAsia" w:ascii="黑体" w:hAnsi="黑体" w:eastAsia="黑体" w:cs="黑体"/>
          <w:b w:val="0"/>
          <w:bCs/>
          <w:sz w:val="28"/>
          <w:szCs w:val="28"/>
        </w:rPr>
        <w:t>单位</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概况</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2"/>
        <w:jc w:val="center"/>
        <w:rPr>
          <w:rFonts w:hint="eastAsia" w:ascii="方正小标宋_GBK" w:hAnsi="方正小标宋_GBK" w:eastAsia="方正小标宋_GBK" w:cs="方正小标宋_GBK"/>
          <w:sz w:val="84"/>
          <w:szCs w:val="84"/>
        </w:rPr>
      </w:pPr>
    </w:p>
    <w:p>
      <w:pPr>
        <w:pStyle w:val="12"/>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赫山街道办事处</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3"/>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（一）制定和组织实施经济、科技和社会发展计划，制定产业结构调整方案，组织指导好各业生产，抓好招商引资和立项争资，促进经济发展。</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（二）制定并组织实施和部署重点工程建设，地方道路建设及公共设施，水利设施的管理，负责土地、水等自然资源和生态环境的保护工作。</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（三）负责本行政区域内的民政、计划生育、文化教育、卫生、体育等社会公益事业的综合性工作。</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（四）加强街道财政的监督和管理，执行国家有关财经纪律和政策，做好税收协控联管和私房税收征管工作。</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（五）抓好精神文明建设，丰富群众文化生活。</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（六）完成上级政府交办的其他事项。</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（一）机构设置情况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赫山街道办事处内设党政办公室、党建办公室、经济发展办公室、社会事务办公室、自然资源和生态环境办公室、社会治安和应急管理办公室、财政所等7个内设机构；下设社会事务综合服务中心、农业综合服务中心、党群和政务服务中心、退役军人服务站、综合行政执法大队等5个事业单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（二）决算单位构成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赫山街道办事处202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年部门决算汇总公开单位构成包括：赫山街道办事处本级，没有其他二级决算单位。</w:t>
      </w:r>
    </w:p>
    <w:p>
      <w:pPr>
        <w:widowControl/>
        <w:spacing w:line="600" w:lineRule="exact"/>
        <w:rPr>
          <w:rFonts w:hint="eastAsia" w:ascii="Times New Roman" w:hAnsi="Times New Roman" w:eastAsia="仿宋_GB2312" w:cs="仿宋_GB2312"/>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pStyle w:val="12"/>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2"/>
        <w:jc w:val="center"/>
        <w:rPr>
          <w:rFonts w:hint="eastAsia" w:ascii="方正小标宋_GBK" w:hAnsi="方正小标宋_GBK" w:eastAsia="方正小标宋_GBK" w:cs="方正小标宋_GBK"/>
          <w:sz w:val="84"/>
          <w:szCs w:val="84"/>
        </w:rPr>
      </w:pPr>
    </w:p>
    <w:p>
      <w:pPr>
        <w:pStyle w:val="12"/>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jc w:val="center"/>
        <w:rPr>
          <w:sz w:val="72"/>
          <w:szCs w:val="72"/>
        </w:rPr>
      </w:pPr>
    </w:p>
    <w:p>
      <w:pPr>
        <w:jc w:val="left"/>
        <w:rPr>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pPr>
      <w:r>
        <w:drawing>
          <wp:inline distT="0" distB="0" distL="114300" distR="114300">
            <wp:extent cx="6636385" cy="8748395"/>
            <wp:effectExtent l="0" t="0" r="12065"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8748395"/>
                    </a:xfrm>
                    <a:prstGeom prst="rect">
                      <a:avLst/>
                    </a:prstGeom>
                    <a:noFill/>
                    <a:ln>
                      <a:noFill/>
                    </a:ln>
                  </pic:spPr>
                </pic:pic>
              </a:graphicData>
            </a:graphic>
          </wp:inline>
        </w:drawing>
      </w:r>
    </w:p>
    <w:p>
      <w:pPr>
        <w:jc w:val="left"/>
      </w:pPr>
    </w:p>
    <w:p>
      <w:pPr>
        <w:jc w:val="left"/>
      </w:pPr>
      <w:r>
        <w:drawing>
          <wp:inline distT="0" distB="0" distL="114300" distR="114300">
            <wp:extent cx="6644640" cy="9760585"/>
            <wp:effectExtent l="0" t="0" r="3810"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9760585"/>
                    </a:xfrm>
                    <a:prstGeom prst="rect">
                      <a:avLst/>
                    </a:prstGeom>
                    <a:noFill/>
                    <a:ln>
                      <a:noFill/>
                    </a:ln>
                  </pic:spPr>
                </pic:pic>
              </a:graphicData>
            </a:graphic>
          </wp:inline>
        </w:drawing>
      </w:r>
    </w:p>
    <w:p>
      <w:pPr>
        <w:jc w:val="left"/>
      </w:pPr>
    </w:p>
    <w:p>
      <w:pPr>
        <w:jc w:val="left"/>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sectPr>
          <w:pgSz w:w="11906" w:h="16838"/>
          <w:pgMar w:top="720" w:right="720" w:bottom="720" w:left="720" w:header="851" w:footer="992" w:gutter="0"/>
          <w:cols w:space="425" w:num="1"/>
          <w:docGrid w:type="lines" w:linePitch="312" w:charSpace="0"/>
        </w:sectPr>
      </w:pPr>
      <w:r>
        <w:drawing>
          <wp:inline distT="0" distB="0" distL="114300" distR="114300">
            <wp:extent cx="5433060" cy="9617710"/>
            <wp:effectExtent l="0" t="0" r="1524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433060" cy="9617710"/>
                    </a:xfrm>
                    <a:prstGeom prst="rect">
                      <a:avLst/>
                    </a:prstGeom>
                    <a:noFill/>
                    <a:ln>
                      <a:noFill/>
                    </a:ln>
                  </pic:spPr>
                </pic:pic>
              </a:graphicData>
            </a:graphic>
          </wp:inline>
        </w:drawing>
      </w:r>
    </w:p>
    <w:p>
      <w:pPr>
        <w:pStyle w:val="12"/>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pStyle w:val="12"/>
      </w:pPr>
    </w:p>
    <w:p>
      <w:pPr>
        <w:pStyle w:val="12"/>
      </w:pPr>
    </w:p>
    <w:p>
      <w:pPr>
        <w:pStyle w:val="12"/>
      </w:pPr>
      <w:r>
        <w:drawing>
          <wp:inline distT="0" distB="0" distL="114300" distR="114300">
            <wp:extent cx="6645275" cy="2661920"/>
            <wp:effectExtent l="0" t="0" r="3175"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2661920"/>
                    </a:xfrm>
                    <a:prstGeom prst="rect">
                      <a:avLst/>
                    </a:prstGeom>
                    <a:noFill/>
                    <a:ln>
                      <a:noFill/>
                    </a:ln>
                  </pic:spPr>
                </pic:pic>
              </a:graphicData>
            </a:graphic>
          </wp:inline>
        </w:drawing>
      </w: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pStyle w:val="12"/>
        <w:rPr>
          <w:rFonts w:hint="eastAsia" w:eastAsia="黑体"/>
          <w:lang w:eastAsia="zh-CN"/>
        </w:rPr>
      </w:pPr>
      <w:r>
        <w:rPr>
          <w:rFonts w:hint="eastAsia"/>
          <w:lang w:eastAsia="zh-CN"/>
        </w:rPr>
        <w:t>本年本单位无国有资本经营预算财政拨款支出，故本表无数据。</w:t>
      </w:r>
      <w:bookmarkStart w:id="0" w:name="_GoBack"/>
      <w:bookmarkEnd w:id="0"/>
    </w:p>
    <w:p>
      <w:pPr>
        <w:pStyle w:val="12"/>
      </w:pPr>
    </w:p>
    <w:p>
      <w:pPr>
        <w:pStyle w:val="12"/>
      </w:pPr>
    </w:p>
    <w:p>
      <w:pPr>
        <w:pStyle w:val="12"/>
      </w:pPr>
    </w:p>
    <w:p>
      <w:pPr>
        <w:pStyle w:val="12"/>
      </w:pPr>
    </w:p>
    <w:p>
      <w:pPr>
        <w:pStyle w:val="12"/>
      </w:pPr>
    </w:p>
    <w:p>
      <w:pPr>
        <w:pStyle w:val="12"/>
      </w:pPr>
    </w:p>
    <w:p>
      <w:pPr>
        <w:pStyle w:val="12"/>
      </w:pPr>
    </w:p>
    <w:p>
      <w:pPr>
        <w:pStyle w:val="12"/>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pStyle w:val="12"/>
      </w:pPr>
    </w:p>
    <w:p>
      <w:pPr>
        <w:pStyle w:val="12"/>
      </w:pPr>
    </w:p>
    <w:p>
      <w:pPr>
        <w:pStyle w:val="12"/>
      </w:pPr>
    </w:p>
    <w:p>
      <w:pPr>
        <w:pStyle w:val="12"/>
      </w:pPr>
    </w:p>
    <w:p>
      <w:pPr>
        <w:pStyle w:val="12"/>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2"/>
        <w:jc w:val="center"/>
        <w:rPr>
          <w:rFonts w:hint="eastAsia" w:ascii="方正小标宋_GBK" w:hAnsi="方正小标宋_GBK" w:eastAsia="方正小标宋_GBK" w:cs="方正小标宋_GBK"/>
          <w:sz w:val="70"/>
          <w:szCs w:val="70"/>
        </w:rPr>
      </w:pPr>
    </w:p>
    <w:p>
      <w:pPr>
        <w:pStyle w:val="12"/>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年度收入总计2</w:t>
      </w:r>
      <w:r>
        <w:rPr>
          <w:rFonts w:hint="eastAsia" w:ascii="Times New Roman" w:hAnsi="Times New Roman" w:eastAsia="仿宋_GB2312"/>
          <w:sz w:val="32"/>
          <w:szCs w:val="32"/>
          <w:lang w:val="en-US" w:eastAsia="zh-CN"/>
        </w:rPr>
        <w:t>128.81</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216.1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9.22</w:t>
      </w:r>
      <w:r>
        <w:rPr>
          <w:rFonts w:hint="eastAsia" w:ascii="Times New Roman" w:hAnsi="Times New Roman" w:eastAsia="仿宋_GB2312"/>
          <w:sz w:val="32"/>
          <w:szCs w:val="32"/>
        </w:rPr>
        <w:t>%。支出总计2</w:t>
      </w:r>
      <w:r>
        <w:rPr>
          <w:rFonts w:hint="eastAsia" w:ascii="Times New Roman" w:hAnsi="Times New Roman" w:eastAsia="仿宋_GB2312"/>
          <w:sz w:val="32"/>
          <w:szCs w:val="32"/>
          <w:lang w:val="en-US" w:eastAsia="zh-CN"/>
        </w:rPr>
        <w:t>128.81</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216.1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9.22</w:t>
      </w:r>
      <w:r>
        <w:rPr>
          <w:rFonts w:hint="eastAsia" w:ascii="Times New Roman" w:hAnsi="Times New Roman" w:eastAsia="仿宋_GB2312"/>
          <w:sz w:val="32"/>
          <w:szCs w:val="32"/>
        </w:rPr>
        <w:t>%。收入和支出减少的主要原因是</w:t>
      </w:r>
      <w:r>
        <w:rPr>
          <w:rFonts w:hint="eastAsia" w:ascii="Times New Roman" w:hAnsi="Times New Roman" w:eastAsia="仿宋_GB2312"/>
          <w:sz w:val="32"/>
          <w:szCs w:val="32"/>
          <w:lang w:eastAsia="zh-CN"/>
        </w:rPr>
        <w:t>减少国卫复审、新冠肺炎及建党一百周年的支出</w:t>
      </w:r>
      <w:r>
        <w:rPr>
          <w:rFonts w:hint="eastAsia" w:ascii="Times New Roman" w:hAnsi="Times New Roman" w:eastAsia="仿宋_GB2312"/>
          <w:sz w:val="32"/>
          <w:szCs w:val="32"/>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2248.81</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2248.81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2248.84</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2046.31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91</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202.5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2"/>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2248.84</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216.1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9.22</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减少国卫复审、新冠肺炎及建党一百周年的支出</w:t>
      </w:r>
      <w:r>
        <w:rPr>
          <w:rFonts w:hint="eastAsia" w:ascii="Times New Roman" w:hAnsi="Times New Roman" w:eastAsia="仿宋_GB2312"/>
          <w:sz w:val="32"/>
          <w:szCs w:val="32"/>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2128.81</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94.67</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274.5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14.8</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增加对卷闸门厂破产改制的补偿及工作经费。</w:t>
      </w:r>
    </w:p>
    <w:p>
      <w:pPr>
        <w:pStyle w:val="12"/>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2128.81</w:t>
      </w:r>
      <w:r>
        <w:rPr>
          <w:rFonts w:hint="eastAsia" w:ascii="Times New Roman" w:hAnsi="Times New Roman" w:eastAsia="仿宋_GB2312"/>
          <w:sz w:val="32"/>
          <w:szCs w:val="32"/>
        </w:rPr>
        <w:t>万元，主要用于以下方面：一般公共服务（类）支出</w:t>
      </w:r>
      <w:r>
        <w:rPr>
          <w:rFonts w:hint="eastAsia" w:ascii="Times New Roman" w:hAnsi="Times New Roman" w:eastAsia="仿宋_GB2312"/>
          <w:sz w:val="32"/>
          <w:szCs w:val="32"/>
          <w:lang w:val="en-US" w:eastAsia="zh-CN"/>
        </w:rPr>
        <w:t>1666.93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78.3</w:t>
      </w:r>
      <w:r>
        <w:rPr>
          <w:rFonts w:hint="eastAsia" w:ascii="Times New Roman" w:hAnsi="Times New Roman" w:eastAsia="仿宋_GB2312"/>
          <w:sz w:val="32"/>
          <w:szCs w:val="32"/>
        </w:rPr>
        <w:t>%；文化旅游体育与传媒支出（类）支出</w:t>
      </w:r>
      <w:r>
        <w:rPr>
          <w:rFonts w:hint="eastAsia" w:ascii="Times New Roman" w:hAnsi="Times New Roman" w:eastAsia="仿宋_GB2312"/>
          <w:sz w:val="32"/>
          <w:szCs w:val="32"/>
          <w:lang w:val="en-US" w:eastAsia="zh-CN"/>
        </w:rPr>
        <w:t>124.36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5.84</w:t>
      </w:r>
      <w:r>
        <w:rPr>
          <w:rFonts w:hint="eastAsia" w:ascii="Times New Roman" w:hAnsi="Times New Roman" w:eastAsia="仿宋_GB2312"/>
          <w:sz w:val="32"/>
          <w:szCs w:val="32"/>
        </w:rPr>
        <w:t>%;社会保障和就业支出（类）支出</w:t>
      </w:r>
      <w:r>
        <w:rPr>
          <w:rFonts w:hint="eastAsia" w:ascii="Times New Roman" w:hAnsi="Times New Roman" w:eastAsia="仿宋_GB2312"/>
          <w:sz w:val="32"/>
          <w:szCs w:val="32"/>
          <w:lang w:val="en-US" w:eastAsia="zh-CN"/>
        </w:rPr>
        <w:t>156.02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7.33</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卫生健康支出</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69.8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3.28</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节能环保支出</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9.32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0.44</w:t>
      </w:r>
      <w:r>
        <w:rPr>
          <w:rFonts w:hint="eastAsia" w:ascii="Times New Roman" w:hAnsi="Times New Roman" w:eastAsia="仿宋_GB2312"/>
          <w:sz w:val="32"/>
          <w:szCs w:val="32"/>
        </w:rPr>
        <w:t>%;城乡社区支出（类）支出</w:t>
      </w:r>
      <w:r>
        <w:rPr>
          <w:rFonts w:hint="eastAsia" w:ascii="Times New Roman" w:hAnsi="Times New Roman" w:eastAsia="仿宋_GB2312"/>
          <w:sz w:val="32"/>
          <w:szCs w:val="32"/>
          <w:lang w:val="en-US" w:eastAsia="zh-CN"/>
        </w:rPr>
        <w:t>28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1.32</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农林水支出</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7.11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0.33</w:t>
      </w:r>
      <w:r>
        <w:rPr>
          <w:rFonts w:hint="eastAsia" w:ascii="Times New Roman" w:hAnsi="Times New Roman" w:eastAsia="仿宋_GB2312"/>
          <w:sz w:val="32"/>
          <w:szCs w:val="32"/>
        </w:rPr>
        <w:t>%;交通运输支出（类）支出</w:t>
      </w:r>
      <w:r>
        <w:rPr>
          <w:rFonts w:hint="eastAsia" w:ascii="Times New Roman" w:hAnsi="Times New Roman" w:eastAsia="仿宋_GB2312"/>
          <w:sz w:val="32"/>
          <w:szCs w:val="32"/>
          <w:lang w:val="en-US" w:eastAsia="zh-CN"/>
        </w:rPr>
        <w:t>0.83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0.04</w:t>
      </w:r>
      <w:r>
        <w:rPr>
          <w:rFonts w:hint="eastAsia" w:ascii="Times New Roman" w:hAnsi="Times New Roman" w:eastAsia="仿宋_GB2312"/>
          <w:sz w:val="32"/>
          <w:szCs w:val="32"/>
        </w:rPr>
        <w:t>%;住房保障支出（类）支出</w:t>
      </w:r>
      <w:r>
        <w:rPr>
          <w:rFonts w:hint="eastAsia" w:ascii="Times New Roman" w:hAnsi="Times New Roman" w:eastAsia="仿宋_GB2312"/>
          <w:sz w:val="32"/>
          <w:szCs w:val="32"/>
          <w:lang w:val="en-US" w:eastAsia="zh-CN"/>
        </w:rPr>
        <w:t>55.06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2.59</w:t>
      </w:r>
      <w:r>
        <w:rPr>
          <w:rFonts w:hint="eastAsia" w:ascii="Times New Roman" w:hAnsi="Times New Roman" w:eastAsia="仿宋_GB2312"/>
          <w:sz w:val="32"/>
          <w:szCs w:val="32"/>
        </w:rPr>
        <w:t>%;灾害防治及应急管理支出（类）支出</w:t>
      </w:r>
      <w:r>
        <w:rPr>
          <w:rFonts w:hint="eastAsia" w:ascii="Times New Roman" w:hAnsi="Times New Roman" w:eastAsia="仿宋_GB2312"/>
          <w:sz w:val="32"/>
          <w:szCs w:val="32"/>
          <w:lang w:val="en-US" w:eastAsia="zh-CN"/>
        </w:rPr>
        <w:t>11.38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0.53</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1651.6</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2128.81</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128.89</w:t>
      </w:r>
      <w:r>
        <w:rPr>
          <w:rFonts w:hint="eastAsia" w:ascii="Times New Roman" w:hAnsi="Times New Roman" w:eastAsia="仿宋_GB2312"/>
          <w:sz w:val="32"/>
          <w:szCs w:val="32"/>
        </w:rPr>
        <w:t>%，其中：</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1、一般公共服务支出（类）人大事务（款）行政运行（项）。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14.5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73.1</w:t>
      </w:r>
      <w:r>
        <w:rPr>
          <w:rFonts w:hint="eastAsia" w:ascii="Times New Roman" w:hAnsi="Times New Roman" w:eastAsia="仿宋_GB2312"/>
          <w:sz w:val="32"/>
          <w:szCs w:val="32"/>
        </w:rPr>
        <w:t>%，决算数小于年初预算数的主要原因是</w:t>
      </w:r>
      <w:r>
        <w:rPr>
          <w:rFonts w:hint="eastAsia" w:ascii="Times New Roman" w:hAnsi="Times New Roman" w:eastAsia="仿宋_GB2312"/>
          <w:sz w:val="32"/>
          <w:szCs w:val="32"/>
          <w:lang w:eastAsia="zh-CN"/>
        </w:rPr>
        <w:t>厉行节约，缩减开支。</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2、一般公共服务支出（类）政府办公厅（室）及相关机构事务（款）行政运行（项）。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1390.46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1502.06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113.89</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增加对卷闸门厂破产改制的补偿及工作经费。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、一般公共服务支出（类）政府办公厅（室）及相关机构事务（款）其他政府办公厅（室）及相关机构事务支出（项）。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81.48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增加了街道年度经济工作会议的支出。</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、一般公共服务支出（类）财政事务（款）行政运行（项）。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增加财政所干部采购电脑的支出。</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、一般公共服务支出（类）财政事务（款）一般行政管理事务（项）。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万元，决算数大于年初预算数的主要原因</w:t>
      </w:r>
      <w:r>
        <w:rPr>
          <w:rFonts w:hint="eastAsia" w:ascii="Times New Roman" w:hAnsi="Times New Roman" w:eastAsia="仿宋_GB2312"/>
          <w:sz w:val="32"/>
          <w:szCs w:val="32"/>
          <w:lang w:eastAsia="zh-CN"/>
        </w:rPr>
        <w:t>是增加财政所办公用品采购。</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、一般公共服务支出（类）财政事务（款）其他财政事务支出（项）。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万元，决算数大于年初预算数的主要原因是增加了对基层社区财政的拨款</w:t>
      </w:r>
      <w:r>
        <w:rPr>
          <w:rFonts w:hint="eastAsia" w:ascii="Times New Roman" w:hAnsi="Times New Roman" w:eastAsia="仿宋_GB2312"/>
          <w:sz w:val="32"/>
          <w:szCs w:val="32"/>
          <w:lang w:eastAsia="zh-CN"/>
        </w:rPr>
        <w:t>。</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、一般公共服务支出（类）纪检监察事务（款）行政运行（纪检监察事务）（项）。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0.53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%，决算数小于年初预算数的主要原因是</w:t>
      </w:r>
      <w:r>
        <w:rPr>
          <w:rFonts w:hint="eastAsia" w:ascii="Times New Roman" w:hAnsi="Times New Roman" w:eastAsia="仿宋_GB2312"/>
          <w:sz w:val="32"/>
          <w:szCs w:val="32"/>
          <w:lang w:eastAsia="zh-CN"/>
        </w:rPr>
        <w:t>厉行节约，缩减开支。</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、一般公共服务支出（类）群众团体事务（款）其他群众团体事务支出（项）。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7.2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增加了对妇联、统战、政协部门的工作经费。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、一般公共服务支出（类）党委办公厅（室）及相关机构事务（款）行政运行（项）。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13.17</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1197.27</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增加对社区两新支部的拨款。</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、一般公共服务支出（类）组织事务（款）其他组织事务支出（项）。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增加“七一”党日活动经费。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、一般公共服务支出（类）宣传事务（款）其他宣传事务支出（项）。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4.42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增加街道及社区干部手机彩铃费。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2、一般公共服务（类）其他一般公共服务支出（款）其他一般公共服务支出（项）。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16</w:t>
      </w:r>
      <w:r>
        <w:rPr>
          <w:rFonts w:hint="eastAsia" w:ascii="Times New Roman" w:hAnsi="Times New Roman" w:eastAsia="仿宋_GB2312"/>
          <w:sz w:val="32"/>
          <w:szCs w:val="32"/>
        </w:rPr>
        <w:t>万元，决算数大于年初预算数的主要原因</w:t>
      </w:r>
      <w:r>
        <w:rPr>
          <w:rFonts w:hint="eastAsia" w:ascii="Times New Roman" w:hAnsi="Times New Roman" w:eastAsia="仿宋_GB2312"/>
          <w:sz w:val="32"/>
          <w:szCs w:val="32"/>
          <w:lang w:eastAsia="zh-CN"/>
        </w:rPr>
        <w:t>是增加了建设职工之家的资金。</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、文化旅游体育与传媒支出（类）文化和旅游（款）行政运行（项）。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4.36</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增加街道本级文化站建设的资金。</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14</w:t>
      </w:r>
      <w:r>
        <w:rPr>
          <w:rFonts w:hint="eastAsia" w:ascii="Times New Roman" w:hAnsi="Times New Roman" w:eastAsia="仿宋_GB2312"/>
          <w:sz w:val="32"/>
          <w:szCs w:val="32"/>
        </w:rPr>
        <w:t>、文化旅游体育与传媒支出（类）文化和旅游（款）其他文化和旅游支出（项）。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120</w:t>
      </w:r>
      <w:r>
        <w:rPr>
          <w:rFonts w:hint="eastAsia" w:ascii="Times New Roman" w:hAnsi="Times New Roman" w:eastAsia="仿宋_GB2312"/>
          <w:sz w:val="32"/>
          <w:szCs w:val="32"/>
        </w:rPr>
        <w:t>万元，决算数大于年初预算数的主要原因是增加了</w:t>
      </w:r>
      <w:r>
        <w:rPr>
          <w:rFonts w:hint="eastAsia" w:ascii="Times New Roman" w:hAnsi="Times New Roman" w:eastAsia="仿宋_GB2312"/>
          <w:sz w:val="32"/>
          <w:szCs w:val="32"/>
          <w:lang w:eastAsia="zh-CN"/>
        </w:rPr>
        <w:t>对社区的创文奖励及各类宣传</w:t>
      </w:r>
      <w:r>
        <w:rPr>
          <w:rFonts w:hint="eastAsia" w:ascii="Times New Roman" w:hAnsi="Times New Roman" w:eastAsia="仿宋_GB2312"/>
          <w:sz w:val="32"/>
          <w:szCs w:val="32"/>
        </w:rPr>
        <w:t>经费。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15</w:t>
      </w:r>
      <w:r>
        <w:rPr>
          <w:rFonts w:hint="eastAsia" w:ascii="Times New Roman" w:hAnsi="Times New Roman" w:eastAsia="仿宋_GB2312"/>
          <w:sz w:val="32"/>
          <w:szCs w:val="32"/>
        </w:rPr>
        <w:t>、社会保障和就业支出（类）民政管理事务（款）基层政权建设和社区治理（项）。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46.5</w:t>
      </w:r>
      <w:r>
        <w:rPr>
          <w:rFonts w:hint="eastAsia" w:ascii="Times New Roman" w:hAnsi="Times New Roman" w:eastAsia="仿宋_GB2312"/>
          <w:sz w:val="32"/>
          <w:szCs w:val="32"/>
        </w:rPr>
        <w:t>万元，决算数大于年初预算数的主要原因是增加了对社区临时救助专项资金。</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16</w:t>
      </w:r>
      <w:r>
        <w:rPr>
          <w:rFonts w:hint="eastAsia" w:ascii="Times New Roman" w:hAnsi="Times New Roman" w:eastAsia="仿宋_GB2312"/>
          <w:sz w:val="32"/>
          <w:szCs w:val="32"/>
        </w:rPr>
        <w:t>、社会保障和就业支出（类）行政事业单位养老支出（款）机关事业单位基本养老保险缴费支出（项）。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72.72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71.36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98.13</w:t>
      </w:r>
      <w:r>
        <w:rPr>
          <w:rFonts w:hint="eastAsia" w:ascii="Times New Roman" w:hAnsi="Times New Roman" w:eastAsia="仿宋_GB2312"/>
          <w:sz w:val="32"/>
          <w:szCs w:val="32"/>
        </w:rPr>
        <w:t>%，决算数小</w:t>
      </w:r>
      <w:r>
        <w:rPr>
          <w:rFonts w:hint="eastAsia" w:ascii="Times New Roman" w:hAnsi="Times New Roman" w:eastAsia="仿宋_GB2312"/>
          <w:sz w:val="32"/>
          <w:szCs w:val="32"/>
          <w:lang w:eastAsia="zh-CN"/>
        </w:rPr>
        <w:t>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eastAsia="zh-CN"/>
        </w:rPr>
        <w:t>人员调出，社保费用减少。</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17</w:t>
      </w:r>
      <w:r>
        <w:rPr>
          <w:rFonts w:hint="eastAsia" w:ascii="Times New Roman" w:hAnsi="Times New Roman" w:eastAsia="仿宋_GB2312"/>
          <w:sz w:val="32"/>
          <w:szCs w:val="32"/>
        </w:rPr>
        <w:t>、社会保障和就业支出（类）抚恤（款）死亡抚恤（项）。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38.16</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离休干部邬新山死亡。</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18</w:t>
      </w:r>
      <w:r>
        <w:rPr>
          <w:rFonts w:hint="eastAsia" w:ascii="Times New Roman" w:hAnsi="Times New Roman" w:eastAsia="仿宋_GB2312"/>
          <w:sz w:val="32"/>
          <w:szCs w:val="32"/>
        </w:rPr>
        <w:t>、卫生健康支出（类）计划生育事务（款）其他计划生育事务支出（项）。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6.44</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增加对独生子女父母的奖励经费，增加退还计划生育保证金的经费。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19</w:t>
      </w:r>
      <w:r>
        <w:rPr>
          <w:rFonts w:hint="eastAsia" w:ascii="Times New Roman" w:hAnsi="Times New Roman" w:eastAsia="仿宋_GB2312"/>
          <w:sz w:val="32"/>
          <w:szCs w:val="32"/>
        </w:rPr>
        <w:t>、卫生健康支出（类）行政</w:t>
      </w:r>
      <w:r>
        <w:rPr>
          <w:rFonts w:hint="eastAsia" w:ascii="Times New Roman" w:hAnsi="Times New Roman" w:eastAsia="仿宋_GB2312"/>
          <w:sz w:val="32"/>
          <w:szCs w:val="32"/>
          <w:lang w:eastAsia="zh-CN"/>
        </w:rPr>
        <w:t>事业</w:t>
      </w:r>
      <w:r>
        <w:rPr>
          <w:rFonts w:hint="eastAsia" w:ascii="Times New Roman" w:hAnsi="Times New Roman" w:eastAsia="仿宋_GB2312"/>
          <w:sz w:val="32"/>
          <w:szCs w:val="32"/>
        </w:rPr>
        <w:t>单位医疗（款）行政单位医疗（项）。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63.36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63.36</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eastAsia="zh-CN"/>
        </w:rPr>
        <w:t>等于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eastAsia="zh-CN"/>
        </w:rPr>
        <w:t>严格执行预算。</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、节能环保支出（类）自然生态保护（款）农村环境保护（项）。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9.32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增加采购垃圾分类设施及工作经费。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、城乡社区支出（类）城乡社区管理事务（款）其他城乡社区管理事务支出（项）。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26</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增加了街道本级对下级社区的治理资金。</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、城乡社区支出（类）其他城乡社区支出（款）其他城乡社区支出（项）。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增加街道对银东社区文化汇演的拨款。</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23</w:t>
      </w:r>
      <w:r>
        <w:rPr>
          <w:rFonts w:hint="eastAsia" w:ascii="Times New Roman" w:hAnsi="Times New Roman" w:eastAsia="仿宋_GB2312"/>
          <w:sz w:val="32"/>
          <w:szCs w:val="32"/>
        </w:rPr>
        <w:t>、农林水支出（类）农业农村（款）其他农业农村支出（项）。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9.32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增加河湖保洁员的工资支出。</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24</w:t>
      </w:r>
      <w:r>
        <w:rPr>
          <w:rFonts w:hint="eastAsia" w:ascii="Times New Roman" w:hAnsi="Times New Roman" w:eastAsia="仿宋_GB2312"/>
          <w:sz w:val="32"/>
          <w:szCs w:val="32"/>
        </w:rPr>
        <w:t>、农林水支出（类）农村综合改革（款）对村民委员会和村党支部的补助（项）。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56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9.32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3.77</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小于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eastAsia="zh-CN"/>
        </w:rPr>
        <w:t>五个城中村社区已改制成功，减少对村改社社区的拨款。</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25</w:t>
      </w:r>
      <w:r>
        <w:rPr>
          <w:rFonts w:hint="eastAsia" w:ascii="Times New Roman" w:hAnsi="Times New Roman" w:eastAsia="仿宋_GB2312"/>
          <w:sz w:val="32"/>
          <w:szCs w:val="32"/>
        </w:rPr>
        <w:t>、交通运输支出（类）其他交通运输支出（款）其他交通运输支出（项）。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0.83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人员晋级调资，增加交通补助经费。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26</w:t>
      </w:r>
      <w:r>
        <w:rPr>
          <w:rFonts w:hint="eastAsia" w:ascii="Times New Roman" w:hAnsi="Times New Roman" w:eastAsia="仿宋_GB2312"/>
          <w:sz w:val="32"/>
          <w:szCs w:val="32"/>
        </w:rPr>
        <w:t>、住房保障支出（类）保障性安居工程支出（款）其他保障性安居工程支出（项）。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增加街道庭院修缮费用。</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27</w:t>
      </w:r>
      <w:r>
        <w:rPr>
          <w:rFonts w:hint="eastAsia" w:ascii="Times New Roman" w:hAnsi="Times New Roman" w:eastAsia="仿宋_GB2312"/>
          <w:sz w:val="32"/>
          <w:szCs w:val="32"/>
        </w:rPr>
        <w:t>、住房保障支出（类）住房改革支出（款）住房公积金（项）。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52.93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50.06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94.57</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人员调动，减少公积金经费。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28</w:t>
      </w:r>
      <w:r>
        <w:rPr>
          <w:rFonts w:hint="eastAsia" w:ascii="Times New Roman" w:hAnsi="Times New Roman" w:eastAsia="仿宋_GB2312"/>
          <w:sz w:val="32"/>
          <w:szCs w:val="32"/>
        </w:rPr>
        <w:t>、灾害防治及应急管理支出（类）应急管理</w:t>
      </w:r>
      <w:r>
        <w:rPr>
          <w:rFonts w:hint="eastAsia" w:ascii="Times New Roman" w:hAnsi="Times New Roman" w:eastAsia="仿宋_GB2312"/>
          <w:sz w:val="32"/>
          <w:szCs w:val="32"/>
          <w:lang w:eastAsia="zh-CN"/>
        </w:rPr>
        <w:t>事务</w:t>
      </w:r>
      <w:r>
        <w:rPr>
          <w:rFonts w:hint="eastAsia" w:ascii="Times New Roman" w:hAnsi="Times New Roman" w:eastAsia="仿宋_GB2312"/>
          <w:sz w:val="32"/>
          <w:szCs w:val="32"/>
        </w:rPr>
        <w:t>（款）其他应急管理支出（项）。</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11.38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汛期对存在地质灾害隐患的小区居民的安置支出及工作经费。</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2046.31</w:t>
      </w:r>
      <w:r>
        <w:rPr>
          <w:rFonts w:hint="eastAsia" w:ascii="Times New Roman" w:hAnsi="Times New Roman" w:eastAsia="仿宋_GB2312"/>
          <w:sz w:val="32"/>
          <w:szCs w:val="32"/>
        </w:rPr>
        <w:t>万元，其中：</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1484.03</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72.52</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zh-CN"/>
        </w:rPr>
        <w:t>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imes New Roman" w:hAnsi="Times New Roman" w:eastAsia="仿宋_GB2312"/>
          <w:sz w:val="32"/>
          <w:szCs w:val="32"/>
          <w:lang w:eastAsia="zh-CN"/>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562.28</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27.48</w:t>
      </w:r>
      <w:r>
        <w:rPr>
          <w:rFonts w:hint="eastAsia" w:ascii="Times New Roman" w:hAnsi="Times New Roman" w:eastAsia="仿宋_GB2312"/>
          <w:sz w:val="32"/>
          <w:szCs w:val="32"/>
        </w:rPr>
        <w:t>%，主要</w:t>
      </w:r>
      <w:r>
        <w:rPr>
          <w:rFonts w:hint="eastAsia" w:ascii="Times New Roman" w:hAnsi="Times New Roman" w:eastAsia="仿宋_GB2312"/>
          <w:sz w:val="32"/>
          <w:szCs w:val="32"/>
          <w:lang w:val="zh-CN"/>
        </w:rPr>
        <w:t>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11.5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3.97</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34.52</w:t>
      </w:r>
      <w:r>
        <w:rPr>
          <w:rFonts w:hint="eastAsia" w:ascii="Times New Roman" w:hAnsi="Times New Roman" w:eastAsia="仿宋_GB2312"/>
          <w:sz w:val="32"/>
          <w:szCs w:val="32"/>
        </w:rPr>
        <w:t>%，其中：</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因公出国（境）费支出预算为0万元，支出决算为0万元，与上年持平，202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年我部门未开展因公出国（境）活动。</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11.5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3.97</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34.52</w:t>
      </w:r>
      <w:r>
        <w:rPr>
          <w:rFonts w:hint="eastAsia" w:ascii="Times New Roman" w:hAnsi="Times New Roman" w:eastAsia="仿宋_GB2312"/>
          <w:sz w:val="32"/>
          <w:szCs w:val="32"/>
        </w:rPr>
        <w:t>%，减少（增长）的主要原因是</w:t>
      </w:r>
      <w:r>
        <w:rPr>
          <w:rFonts w:hint="eastAsia" w:ascii="Times New Roman" w:hAnsi="Times New Roman" w:eastAsia="仿宋_GB2312"/>
          <w:sz w:val="32"/>
          <w:szCs w:val="32"/>
          <w:lang w:eastAsia="zh-CN"/>
        </w:rPr>
        <w:t>认真贯彻落实中央“八项规定”精神和厉行节约要求，从严控制“三公”经费开支，全年支出比上年有所压减。</w:t>
      </w:r>
      <w:r>
        <w:rPr>
          <w:rFonts w:hint="eastAsia" w:ascii="Times New Roman" w:hAnsi="Times New Roman" w:eastAsia="仿宋_GB2312"/>
          <w:sz w:val="32"/>
          <w:szCs w:val="32"/>
        </w:rPr>
        <w:t>。</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公务用车购置费支出预算为0万元，支出决算为0万元，与上年持平，202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年我部门未购置公务用车。</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公务用车运行维护费支出预算为0万元，支出决算为0万元，与上年持平，202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年我部门无公务用车。</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3.97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3.97</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25</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1322</w:t>
      </w:r>
      <w:r>
        <w:rPr>
          <w:rFonts w:hint="eastAsia" w:ascii="Times New Roman" w:hAnsi="Times New Roman" w:eastAsia="仿宋_GB2312"/>
          <w:sz w:val="32"/>
          <w:szCs w:val="32"/>
        </w:rPr>
        <w:t>人次，主要是</w:t>
      </w:r>
      <w:r>
        <w:rPr>
          <w:rFonts w:hint="eastAsia" w:ascii="Times New Roman" w:hAnsi="Times New Roman" w:eastAsia="仿宋_GB2312"/>
          <w:sz w:val="32"/>
          <w:szCs w:val="32"/>
          <w:lang w:eastAsia="zh-CN"/>
        </w:rPr>
        <w:t>与有关单位交流工作情况及接受相关部门检查指导工作</w:t>
      </w:r>
      <w:r>
        <w:rPr>
          <w:rFonts w:hint="eastAsia" w:ascii="Times New Roman" w:hAnsi="Times New Roman" w:eastAsia="仿宋_GB2312"/>
          <w:sz w:val="32"/>
          <w:szCs w:val="32"/>
        </w:rPr>
        <w:t>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2"/>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120</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120</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120</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万元。具体情况如下：</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1、城乡社区支出（类）国有土地使用权出让收入安排的支出（款）农村基础设施建设支出（项）。</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万元，决算数大于年初预算数的主要原因</w:t>
      </w:r>
      <w:r>
        <w:rPr>
          <w:rFonts w:hint="eastAsia" w:ascii="Times New Roman" w:hAnsi="Times New Roman" w:eastAsia="仿宋_GB2312"/>
          <w:sz w:val="32"/>
          <w:szCs w:val="32"/>
          <w:lang w:eastAsia="zh-CN"/>
        </w:rPr>
        <w:t>是增加对大丰社区农村小水源供水能力恢复工程的专项经费。</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、城乡社区支出（类）国有土地使用权出让收入安排的支出（款）其他国有土地使用权出让收入安排的支出（项）。</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增加对兰溪渠、南干渠等水利渠道的维护费用。</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、城乡社区支出（类）城市基础设施配套费安排的支出（款）其他城市基础设施配套费安排的支出（项）。</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67</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增加对社区完善配套基础社区的拨款。</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其他支出（类）彩票公益金安排的支出（款）用于社会福利的彩票公益金支出（项）。</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增加对梓山、东风岭、赫山社区的日间照料运营补贴的专项经费。</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562.28</w:t>
      </w:r>
      <w:r>
        <w:rPr>
          <w:rFonts w:hint="eastAsia" w:ascii="Times New Roman" w:hAnsi="Times New Roman" w:eastAsia="仿宋_GB2312"/>
          <w:sz w:val="32"/>
          <w:szCs w:val="32"/>
        </w:rPr>
        <w:t>万元，比上年决算数增加</w:t>
      </w:r>
      <w:r>
        <w:rPr>
          <w:rFonts w:hint="eastAsia" w:ascii="Times New Roman" w:hAnsi="Times New Roman" w:eastAsia="仿宋_GB2312"/>
          <w:sz w:val="32"/>
          <w:szCs w:val="32"/>
          <w:lang w:val="en-US" w:eastAsia="zh-CN"/>
        </w:rPr>
        <w:t>50.36</w:t>
      </w:r>
      <w:r>
        <w:rPr>
          <w:rFonts w:hint="eastAsia" w:ascii="Times New Roman" w:hAnsi="Times New Roman" w:eastAsia="仿宋_GB2312"/>
          <w:sz w:val="32"/>
          <w:szCs w:val="32"/>
        </w:rPr>
        <w:t xml:space="preserve"> 万元，增长</w:t>
      </w:r>
      <w:r>
        <w:rPr>
          <w:rFonts w:hint="eastAsia" w:ascii="Times New Roman" w:hAnsi="Times New Roman" w:eastAsia="仿宋_GB2312"/>
          <w:sz w:val="32"/>
          <w:szCs w:val="32"/>
          <w:lang w:val="en-US" w:eastAsia="zh-CN"/>
        </w:rPr>
        <w:t>9.84</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增加街道职工之家建设、毛家塘海苑路两侧地坪建设、同心巷微笑围墙维护等项目支出</w:t>
      </w:r>
      <w:r>
        <w:rPr>
          <w:rFonts w:hint="eastAsia" w:ascii="Times New Roman" w:hAnsi="Times New Roman" w:eastAsia="仿宋_GB2312"/>
          <w:sz w:val="32"/>
          <w:szCs w:val="32"/>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仿宋_GB2312" w:cs="楷体"/>
          <w:b/>
          <w:bCs/>
          <w:i/>
          <w:color w:val="auto"/>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万元；开支培训费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未</w:t>
      </w:r>
      <w:r>
        <w:rPr>
          <w:rFonts w:hint="eastAsia" w:ascii="Times New Roman" w:hAnsi="Times New Roman" w:eastAsia="仿宋_GB2312"/>
          <w:sz w:val="32"/>
          <w:szCs w:val="32"/>
        </w:rPr>
        <w:t>举办节庆、晚会、论坛、赛事活动</w:t>
      </w:r>
      <w:r>
        <w:rPr>
          <w:rFonts w:hint="eastAsia" w:ascii="Times New Roman" w:hAnsi="Times New Roman" w:eastAsia="仿宋_GB2312"/>
          <w:sz w:val="32"/>
          <w:szCs w:val="32"/>
          <w:lang w:eastAsia="zh-CN"/>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47.08</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47.08</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47.08</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15.64</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33.22</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spacing w:line="600" w:lineRule="exact"/>
        <w:ind w:firstLine="640" w:firstLineChars="200"/>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截至2022年12月31日，本部门公务车辆0辆，单位价值50万元以上通用设备0台（套），单位价值100万元以上通用设备0台（套）。</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2"/>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rPr>
        <w:t>2022年我街道部门整体支出情况良好，资金主要用于保机关基本运转、保基本民生、保工资等方面，</w:t>
      </w:r>
      <w:r>
        <w:rPr>
          <w:rFonts w:ascii="仿宋_GB2312" w:hAnsi="微软雅黑" w:eastAsia="仿宋_GB2312" w:cs="仿宋_GB2312"/>
          <w:i w:val="0"/>
          <w:iCs w:val="0"/>
          <w:caps w:val="0"/>
          <w:color w:val="000000"/>
          <w:spacing w:val="0"/>
          <w:sz w:val="32"/>
          <w:szCs w:val="32"/>
          <w:shd w:val="clear" w:fill="FFFFFF"/>
        </w:rPr>
        <w:t>严格按照国家政策执行，标准人员经费支出，严格落实津补贴政策，没有出现违规发放津补贴、实物现象</w:t>
      </w:r>
      <w:r>
        <w:rPr>
          <w:rFonts w:hint="eastAsia" w:ascii="仿宋_GB2312" w:hAnsi="微软雅黑" w:eastAsia="仿宋_GB2312" w:cs="仿宋_GB2312"/>
          <w:i w:val="0"/>
          <w:iCs w:val="0"/>
          <w:caps w:val="0"/>
          <w:color w:val="000000"/>
          <w:spacing w:val="0"/>
          <w:sz w:val="32"/>
          <w:szCs w:val="32"/>
          <w:shd w:val="clear" w:fill="FFFFFF"/>
        </w:rPr>
        <w:t>。对于重点项目资金</w:t>
      </w:r>
      <w:r>
        <w:rPr>
          <w:rFonts w:hint="eastAsia" w:ascii="仿宋" w:hAnsi="仿宋" w:eastAsia="仿宋" w:cs="仿宋"/>
          <w:i w:val="0"/>
          <w:iCs w:val="0"/>
          <w:caps w:val="0"/>
          <w:color w:val="000000"/>
          <w:spacing w:val="0"/>
          <w:sz w:val="32"/>
          <w:szCs w:val="32"/>
          <w:shd w:val="clear" w:fill="FFFFFF"/>
        </w:rPr>
        <w:t>，做到了事前、事中、事后监管，取得了较好的经济效益和社会效益。居家养老项目及惠民项目经费切实发挥了资金的效益，惠农补贴资金通过“一卡通”系统足额准确及时地发放到了农户手中，人民群众的获得感、幸福感大大增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rPr>
        <w:t>通过绩效评价，树立绩效意识、成本意识和责任意识，完善预算编制、执行、监督体系，提升绩效管理质量，提高财政资金使用效益，促进更好地履职尽责。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rPr>
        <w:t>根据上级有关部门的要求，赫山街道办事处成立了绩效评价工作领导小组。领导小组由党工委书记任组长、办事处主任、党工委专职副书记任副组长、各站办所负责人任领导小组成员。领导小组采取实地察看、查阅财务资料等方式，做出了评价结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b/>
          <w:bCs/>
          <w:color w:val="000000"/>
          <w:kern w:val="0"/>
          <w:sz w:val="32"/>
          <w:szCs w:val="32"/>
          <w:lang w:val="en-US" w:eastAsia="zh-CN" w:bidi="ar-SA"/>
        </w:rPr>
        <w:t>（二）</w:t>
      </w:r>
      <w:r>
        <w:rPr>
          <w:rFonts w:hint="default" w:ascii="楷体" w:hAnsi="楷体" w:eastAsia="楷体" w:cs="楷体"/>
          <w:b/>
          <w:bCs/>
          <w:color w:val="000000"/>
          <w:kern w:val="0"/>
          <w:sz w:val="32"/>
          <w:szCs w:val="32"/>
          <w:lang w:val="en-US" w:eastAsia="zh-CN" w:bidi="ar-SA"/>
        </w:rPr>
        <w:t>存在的问题及原因分析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街道各部门之间的配合、协作不够准确，衔接不够及时，对预算绩效目标实施情况的监管存在漏洞。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lang w:val="en-US" w:eastAsia="zh-CN"/>
        </w:rPr>
        <w:t>2、</w:t>
      </w:r>
      <w:r>
        <w:rPr>
          <w:rFonts w:hint="eastAsia" w:ascii="仿宋" w:hAnsi="仿宋" w:eastAsia="仿宋" w:cs="仿宋"/>
          <w:i w:val="0"/>
          <w:iCs w:val="0"/>
          <w:caps w:val="0"/>
          <w:color w:val="000000"/>
          <w:spacing w:val="0"/>
          <w:sz w:val="32"/>
          <w:szCs w:val="32"/>
          <w:shd w:val="clear" w:fill="FFFFFF"/>
        </w:rPr>
        <w:t>由于各项工作开展实施的不确定性，各项新增、突发性工作的工作经费在年初预算中未作安排，需要在年中或者年末追加，导致某些支出功能科目及政府经济科目使用不够准确。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楷体" w:hAnsi="楷体" w:eastAsia="楷体" w:cs="楷体"/>
          <w:b/>
          <w:bCs/>
          <w:color w:val="000000"/>
          <w:kern w:val="0"/>
          <w:sz w:val="32"/>
          <w:szCs w:val="32"/>
          <w:lang w:val="en-US" w:eastAsia="zh-CN" w:bidi="ar-SA"/>
        </w:rPr>
      </w:pPr>
      <w:r>
        <w:rPr>
          <w:rFonts w:hint="eastAsia" w:ascii="楷体" w:hAnsi="楷体" w:eastAsia="楷体" w:cs="楷体"/>
          <w:b/>
          <w:bCs/>
          <w:color w:val="000000"/>
          <w:kern w:val="0"/>
          <w:sz w:val="32"/>
          <w:szCs w:val="32"/>
          <w:lang w:val="en-US" w:eastAsia="zh-CN" w:bidi="ar-SA"/>
        </w:rPr>
        <w:t>（三）</w:t>
      </w:r>
      <w:r>
        <w:rPr>
          <w:rFonts w:hint="default" w:ascii="楷体" w:hAnsi="楷体" w:eastAsia="楷体" w:cs="楷体"/>
          <w:b/>
          <w:bCs/>
          <w:color w:val="000000"/>
          <w:kern w:val="0"/>
          <w:sz w:val="32"/>
          <w:szCs w:val="32"/>
          <w:lang w:val="en-US" w:eastAsia="zh-CN" w:bidi="ar-SA"/>
        </w:rPr>
        <w:t>下一步改进措施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加强街道各部门之间的衔接与配合，提高街道各部门对绩效评价工作的重视程度。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000000"/>
          <w:spacing w:val="0"/>
          <w:sz w:val="32"/>
          <w:szCs w:val="32"/>
          <w:shd w:val="clear" w:fill="FFFFFF"/>
          <w:lang w:val="en-US" w:eastAsia="zh-CN"/>
        </w:rPr>
        <w:t>2、</w:t>
      </w:r>
      <w:r>
        <w:rPr>
          <w:rFonts w:hint="eastAsia" w:ascii="仿宋" w:hAnsi="仿宋" w:eastAsia="仿宋" w:cs="仿宋"/>
          <w:i w:val="0"/>
          <w:iCs w:val="0"/>
          <w:caps w:val="0"/>
          <w:color w:val="000000"/>
          <w:spacing w:val="0"/>
          <w:sz w:val="32"/>
          <w:szCs w:val="32"/>
          <w:shd w:val="clear" w:fill="FFFFFF"/>
        </w:rPr>
        <w:t>科学设置预算绩效指标，合理安排经费和各项资金，保证各预算绩效指标的顺利实施。</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numPr>
          <w:ilvl w:val="0"/>
          <w:numId w:val="2"/>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财政拨款收入：指本级财政当年拨付的资金。</w:t>
      </w:r>
    </w:p>
    <w:p>
      <w:pPr>
        <w:numPr>
          <w:ilvl w:val="0"/>
          <w:numId w:val="2"/>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上年结转和结余：指以前年度尚未完成、结转到本年按有关规定继续使用的资金。</w:t>
      </w:r>
    </w:p>
    <w:p>
      <w:pPr>
        <w:numPr>
          <w:ilvl w:val="0"/>
          <w:numId w:val="2"/>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年末结转和结余资金：指本年度或以前年度预算安排、因客观条件发生变化无法按原计划实施，需要延迟到以后年度按有关规定继续使用的资金。</w:t>
      </w:r>
    </w:p>
    <w:p>
      <w:pPr>
        <w:numPr>
          <w:ilvl w:val="0"/>
          <w:numId w:val="2"/>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基本支出：指保障机构正常运转、完成支日常工作任务而发生的人员支出和公用支出。</w:t>
      </w:r>
    </w:p>
    <w:p>
      <w:pPr>
        <w:numPr>
          <w:ilvl w:val="0"/>
          <w:numId w:val="2"/>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项目支出：指在基本支出之外为完成特定行政任务和事业发展目标所发生的支出。</w:t>
      </w:r>
    </w:p>
    <w:p>
      <w:pPr>
        <w:numPr>
          <w:ilvl w:val="0"/>
          <w:numId w:val="2"/>
        </w:numPr>
        <w:spacing w:line="600" w:lineRule="exact"/>
        <w:ind w:firstLine="600" w:firstLineChars="200"/>
        <w:rPr>
          <w:rFonts w:ascii="仿宋" w:hAnsi="仿宋" w:eastAsia="仿宋" w:cs="仿宋"/>
          <w:color w:val="auto"/>
          <w:sz w:val="30"/>
          <w:szCs w:val="30"/>
        </w:rPr>
      </w:pPr>
      <w:r>
        <w:rPr>
          <w:rFonts w:hint="eastAsia" w:ascii="仿宋" w:hAnsi="仿宋" w:eastAsia="仿宋" w:cs="仿宋"/>
          <w:sz w:val="30"/>
          <w:szCs w:val="30"/>
        </w:rPr>
        <w:t>“三公”经费：指用财政拨款安排的因公出国（境）费、公务用车购置及运行费</w:t>
      </w:r>
      <w:r>
        <w:rPr>
          <w:rFonts w:hint="eastAsia" w:ascii="仿宋" w:hAnsi="仿宋" w:eastAsia="仿宋" w:cs="仿宋"/>
          <w:color w:val="auto"/>
          <w:sz w:val="30"/>
          <w:szCs w:val="30"/>
        </w:rPr>
        <w:t>和公务接待费。</w:t>
      </w:r>
    </w:p>
    <w:p>
      <w:pPr>
        <w:numPr>
          <w:ilvl w:val="0"/>
          <w:numId w:val="2"/>
        </w:numPr>
        <w:spacing w:line="60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政府采购 ：是指国家各级政府为从事日常的政务活动或为了满足公共服务的目的，利用国家财政性资金和政府借款购买货物、工程和服务的行为。</w:t>
      </w:r>
    </w:p>
    <w:p>
      <w:pPr>
        <w:numPr>
          <w:ilvl w:val="0"/>
          <w:numId w:val="2"/>
        </w:numPr>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2"/>
        <w:numPr>
          <w:ilvl w:val="0"/>
          <w:numId w:val="2"/>
        </w:numPr>
        <w:spacing w:line="600" w:lineRule="exact"/>
        <w:rPr>
          <w:color w:val="auto"/>
        </w:rPr>
      </w:pPr>
      <w:r>
        <w:rPr>
          <w:rFonts w:hint="eastAsia" w:ascii="仿宋" w:hAnsi="仿宋" w:eastAsia="仿宋" w:cs="仿宋"/>
          <w:color w:val="auto"/>
          <w:sz w:val="30"/>
          <w:szCs w:val="30"/>
        </w:rPr>
        <w:t>一般公共服务支出（类）组织事务（款）行政运行（项）：反映行政单位（包含实行公务员管理的事业单位）的基本支出。</w:t>
      </w:r>
    </w:p>
    <w:p>
      <w:pPr>
        <w:pStyle w:val="12"/>
        <w:numPr>
          <w:ilvl w:val="0"/>
          <w:numId w:val="2"/>
        </w:numPr>
        <w:spacing w:line="600" w:lineRule="exact"/>
        <w:rPr>
          <w:rFonts w:ascii="仿宋" w:hAnsi="仿宋" w:eastAsia="仿宋" w:cs="仿宋"/>
          <w:color w:val="auto"/>
          <w:sz w:val="30"/>
          <w:szCs w:val="30"/>
        </w:rPr>
      </w:pPr>
      <w:r>
        <w:rPr>
          <w:rFonts w:hint="eastAsia" w:ascii="仿宋" w:hAnsi="仿宋" w:eastAsia="仿宋" w:cs="仿宋"/>
          <w:color w:val="auto"/>
          <w:sz w:val="30"/>
          <w:szCs w:val="30"/>
        </w:rPr>
        <w:t>一般公共服务支出（类）组织事务（款）机关服务（项）：反映为行政单位（包含实行公务员管理的事业单位）提供后勤服务的各类后勤服务中心、医务室等附属事业单位的支出。其他事业单位的支出，凡单独设置了项级科目的，在单独设置的项级科目中反映。未单独设项级科目的，在“其他” 项级科目中反映。</w:t>
      </w:r>
    </w:p>
    <w:p>
      <w:pPr>
        <w:pStyle w:val="12"/>
        <w:numPr>
          <w:ilvl w:val="0"/>
          <w:numId w:val="2"/>
        </w:numPr>
        <w:rPr>
          <w:rFonts w:hint="eastAsia"/>
          <w:color w:val="auto"/>
          <w:sz w:val="72"/>
          <w:szCs w:val="72"/>
        </w:rPr>
      </w:pPr>
      <w:r>
        <w:rPr>
          <w:rFonts w:hint="eastAsia" w:ascii="仿宋" w:hAnsi="仿宋" w:eastAsia="仿宋" w:cs="仿宋"/>
          <w:color w:val="auto"/>
          <w:sz w:val="30"/>
          <w:szCs w:val="30"/>
        </w:rPr>
        <w:t xml:space="preserve"> 一般公共服务支出（类）组织事务（款）其他组织事务支出（项）：反映除上述项目以外其他用于中国共产党组织部门的事务支出。</w:t>
      </w:r>
    </w:p>
    <w:p>
      <w:pPr>
        <w:pStyle w:val="12"/>
        <w:numPr>
          <w:ilvl w:val="0"/>
          <w:numId w:val="2"/>
        </w:numPr>
        <w:rPr>
          <w:rFonts w:hint="eastAsia" w:ascii="仿宋" w:hAnsi="仿宋" w:eastAsia="仿宋" w:cs="仿宋"/>
          <w:color w:val="auto"/>
          <w:sz w:val="30"/>
          <w:szCs w:val="30"/>
        </w:rPr>
      </w:pPr>
      <w:r>
        <w:rPr>
          <w:rFonts w:hint="eastAsia"/>
          <w:color w:val="auto"/>
        </w:rPr>
        <w:t>“</w:t>
      </w:r>
      <w:r>
        <w:rPr>
          <w:rFonts w:hint="eastAsia" w:ascii="仿宋" w:hAnsi="仿宋" w:eastAsia="仿宋" w:cs="仿宋"/>
          <w:color w:val="auto"/>
          <w:sz w:val="30"/>
          <w:szCs w:val="30"/>
        </w:rPr>
        <w:t>卫生健康支出（类）公共卫生（款）突发公共卫生事件应急处理（项）”：反映用于突发公共卫生时间应急处理的支出。</w:t>
      </w:r>
    </w:p>
    <w:p>
      <w:pPr>
        <w:pStyle w:val="12"/>
        <w:numPr>
          <w:ilvl w:val="0"/>
          <w:numId w:val="2"/>
        </w:numPr>
        <w:rPr>
          <w:rFonts w:hint="eastAsia" w:ascii="仿宋" w:hAnsi="仿宋" w:eastAsia="仿宋" w:cs="仿宋"/>
          <w:color w:val="auto"/>
          <w:sz w:val="30"/>
          <w:szCs w:val="30"/>
        </w:rPr>
      </w:pPr>
      <w:r>
        <w:rPr>
          <w:rFonts w:hint="eastAsia" w:ascii="仿宋" w:hAnsi="仿宋" w:eastAsia="仿宋" w:cs="仿宋"/>
          <w:color w:val="auto"/>
          <w:sz w:val="30"/>
          <w:szCs w:val="30"/>
        </w:rPr>
        <w:t>“农林水支出（类）农业农村（款）行政运行（项）”：反映行政单位（包括实行公务员管理的事业单位）的基本支出。</w:t>
      </w:r>
    </w:p>
    <w:p>
      <w:pPr>
        <w:pStyle w:val="12"/>
        <w:numPr>
          <w:ilvl w:val="0"/>
          <w:numId w:val="2"/>
        </w:numPr>
        <w:rPr>
          <w:rFonts w:ascii="仿宋" w:hAnsi="仿宋" w:eastAsia="仿宋" w:cs="仿宋"/>
          <w:sz w:val="30"/>
          <w:szCs w:val="30"/>
        </w:rPr>
      </w:pPr>
      <w:r>
        <w:rPr>
          <w:rFonts w:hint="eastAsia" w:ascii="仿宋" w:hAnsi="仿宋" w:eastAsia="仿宋" w:cs="仿宋"/>
          <w:color w:val="auto"/>
          <w:sz w:val="30"/>
          <w:szCs w:val="30"/>
        </w:rPr>
        <w:t>“农林水支出（类）农村综合改革（款）对村民</w:t>
      </w:r>
      <w:r>
        <w:rPr>
          <w:rFonts w:hint="eastAsia" w:ascii="仿宋" w:hAnsi="仿宋" w:eastAsia="仿宋" w:cs="仿宋"/>
          <w:sz w:val="30"/>
          <w:szCs w:val="30"/>
        </w:rPr>
        <w:t>委员会和村党支部的补助（项）”：反映农村税费改革后对村级公益事业建设的补助支出。</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8B7ED0"/>
    <w:multiLevelType w:val="singleLevel"/>
    <w:tmpl w:val="C38B7ED0"/>
    <w:lvl w:ilvl="0" w:tentative="0">
      <w:start w:val="1"/>
      <w:numFmt w:val="chineseCounting"/>
      <w:suff w:val="nothing"/>
      <w:lvlText w:val="%1、"/>
      <w:lvlJc w:val="left"/>
      <w:pPr>
        <w:ind w:left="0" w:firstLine="420"/>
      </w:pPr>
      <w:rPr>
        <w:rFonts w:hint="eastAsia" w:ascii="仿宋" w:hAnsi="仿宋" w:eastAsia="仿宋" w:cs="仿宋"/>
        <w:sz w:val="30"/>
        <w:szCs w:val="30"/>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10AF70EE"/>
    <w:rsid w:val="12CC50A9"/>
    <w:rsid w:val="2A426494"/>
    <w:rsid w:val="2A4834BC"/>
    <w:rsid w:val="3285584A"/>
    <w:rsid w:val="4BEF552A"/>
    <w:rsid w:val="4F014440"/>
    <w:rsid w:val="530D1306"/>
    <w:rsid w:val="5777D4F5"/>
    <w:rsid w:val="5C455007"/>
    <w:rsid w:val="5FC6BB1E"/>
    <w:rsid w:val="5FF720F1"/>
    <w:rsid w:val="66967370"/>
    <w:rsid w:val="737D59BA"/>
    <w:rsid w:val="77C37683"/>
    <w:rsid w:val="79FF515B"/>
    <w:rsid w:val="7BC9618C"/>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rPr>
      <w:rFonts w:ascii="Times New Roman" w:hAnsi="Times New Roman" w:eastAsia="宋体" w:cs="Times New Roman"/>
    </w:rPr>
  </w:style>
  <w:style w:type="paragraph" w:styleId="7">
    <w:name w:val="Normal (Web)"/>
    <w:basedOn w:val="1"/>
    <w:semiHidden/>
    <w:unhideWhenUsed/>
    <w:uiPriority w:val="99"/>
    <w:rPr>
      <w:sz w:val="24"/>
    </w:r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sz w:val="18"/>
      <w:szCs w:val="18"/>
    </w:rPr>
  </w:style>
  <w:style w:type="character" w:customStyle="1" w:styleId="15">
    <w:name w:val="font01"/>
    <w:basedOn w:val="9"/>
    <w:qFormat/>
    <w:uiPriority w:val="0"/>
    <w:rPr>
      <w:rFonts w:hint="eastAsia" w:ascii="宋体" w:hAnsi="宋体" w:eastAsia="宋体" w:cs="宋体"/>
      <w:color w:val="000000"/>
      <w:sz w:val="22"/>
      <w:szCs w:val="22"/>
      <w:u w:val="none"/>
    </w:rPr>
  </w:style>
  <w:style w:type="character" w:customStyle="1" w:styleId="16">
    <w:name w:val="font21"/>
    <w:basedOn w:val="9"/>
    <w:qFormat/>
    <w:uiPriority w:val="0"/>
    <w:rPr>
      <w:rFonts w:hint="eastAsia" w:ascii="宋体" w:hAnsi="宋体" w:eastAsia="宋体" w:cs="宋体"/>
      <w:color w:val="000000"/>
      <w:sz w:val="24"/>
      <w:szCs w:val="24"/>
      <w:u w:val="none"/>
    </w:rPr>
  </w:style>
  <w:style w:type="character" w:customStyle="1" w:styleId="17">
    <w:name w:val="font1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7119</Words>
  <Characters>7726</Characters>
  <Lines>63</Lines>
  <Paragraphs>18</Paragraphs>
  <TotalTime>9</TotalTime>
  <ScaleCrop>false</ScaleCrop>
  <LinksUpToDate>false</LinksUpToDate>
  <CharactersWithSpaces>7752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2023-09-20T06:59:25Z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