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400" w:lineRule="exact"/>
        <w:jc w:val="center"/>
        <w:rPr>
          <w:rFonts w:hint="eastAsia" w:ascii="方正小标宋简体" w:eastAsia="方正小标宋简体" w:cs="方正小标宋_GBK"/>
          <w:sz w:val="36"/>
          <w:szCs w:val="36"/>
        </w:rPr>
      </w:pPr>
      <w:r>
        <w:rPr>
          <w:rFonts w:hint="eastAsia" w:ascii="方正小标宋简体" w:eastAsia="方正小标宋简体" w:cs="方正小标宋_GBK"/>
          <w:sz w:val="36"/>
          <w:szCs w:val="36"/>
          <w:lang w:val="en-US" w:eastAsia="zh-CN"/>
        </w:rPr>
        <w:t xml:space="preserve">                                                                                                                                                                                                                                                                                                                                                                                                                                                                                                                                                                                                                                                                                                                                                                                                                                                                                                                                                                                                                                                                                                                                                                                                                                                                                                                                                                                                                                                                                                                                                                                                                                                                                                                                                                                                                      </w:t>
      </w:r>
      <w:r>
        <w:rPr>
          <w:rFonts w:hint="eastAsia" w:ascii="方正小标宋简体" w:eastAsia="方正小标宋简体" w:cs="方正小标宋_GBK"/>
          <w:sz w:val="36"/>
          <w:szCs w:val="36"/>
        </w:rPr>
        <w:t>2022年度</w:t>
      </w:r>
      <w:r>
        <w:rPr>
          <w:rFonts w:hint="eastAsia" w:ascii="方正小标宋简体" w:eastAsia="方正小标宋简体" w:cs="方正小标宋_GBK"/>
          <w:sz w:val="36"/>
          <w:szCs w:val="36"/>
          <w:lang w:eastAsia="zh-CN"/>
        </w:rPr>
        <w:t>区农村经济经营服务站</w:t>
      </w:r>
      <w:r>
        <w:rPr>
          <w:rFonts w:hint="eastAsia" w:ascii="方正小标宋简体" w:eastAsia="方正小标宋简体" w:cs="方正小标宋_GBK"/>
          <w:sz w:val="36"/>
          <w:szCs w:val="36"/>
        </w:rPr>
        <w:t>项目支出绩效自评指标计分表</w:t>
      </w:r>
    </w:p>
    <w:p>
      <w:pPr>
        <w:spacing w:after="156" w:afterLines="50" w:line="400" w:lineRule="exact"/>
        <w:jc w:val="center"/>
        <w:rPr>
          <w:rFonts w:hint="default" w:ascii="方正小标宋简体" w:eastAsia="方正小标宋简体" w:cs="方正小标宋_GBK"/>
          <w:w w:val="90"/>
          <w:sz w:val="36"/>
          <w:szCs w:val="36"/>
          <w:lang w:val="en-US" w:eastAsia="zh-CN"/>
        </w:rPr>
      </w:pPr>
      <w:r>
        <w:rPr>
          <w:rFonts w:hint="eastAsia" w:ascii="方正小标宋简体" w:eastAsia="方正小标宋简体" w:cs="方正小标宋_GBK"/>
          <w:w w:val="90"/>
          <w:sz w:val="36"/>
          <w:szCs w:val="36"/>
          <w:lang w:val="en-US" w:eastAsia="zh-CN"/>
        </w:rPr>
        <w:t>(</w:t>
      </w:r>
      <w:r>
        <w:rPr>
          <w:rFonts w:hint="eastAsia" w:ascii="黑体" w:hAnsi="黑体" w:eastAsia="黑体" w:cs="黑体"/>
          <w:w w:val="90"/>
          <w:lang w:val="en-US" w:eastAsia="zh-CN"/>
        </w:rPr>
        <w:t>2022年农业生产社会化服务试点项目资金624万元</w:t>
      </w:r>
      <w:r>
        <w:rPr>
          <w:rFonts w:hint="eastAsia" w:ascii="方正小标宋简体" w:eastAsia="方正小标宋简体" w:cs="方正小标宋_GBK"/>
          <w:w w:val="90"/>
          <w:sz w:val="36"/>
          <w:szCs w:val="36"/>
          <w:lang w:val="en-US" w:eastAsia="zh-CN"/>
        </w:rPr>
        <w:t>)</w:t>
      </w:r>
    </w:p>
    <w:tbl>
      <w:tblPr>
        <w:tblStyle w:val="8"/>
        <w:tblW w:w="51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43"/>
        <w:gridCol w:w="440"/>
        <w:gridCol w:w="771"/>
        <w:gridCol w:w="495"/>
        <w:gridCol w:w="2453"/>
        <w:gridCol w:w="3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314"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一级</w:t>
            </w:r>
          </w:p>
          <w:p>
            <w:pPr>
              <w:spacing w:line="240" w:lineRule="exact"/>
              <w:jc w:val="center"/>
              <w:rPr>
                <w:rFonts w:ascii="宋体"/>
                <w:b/>
                <w:bCs/>
              </w:rPr>
            </w:pPr>
            <w:r>
              <w:rPr>
                <w:rFonts w:hint="eastAsia" w:ascii="宋体" w:hAnsi="宋体" w:cs="宋体"/>
                <w:b/>
                <w:bCs/>
              </w:rPr>
              <w:t>指标</w:t>
            </w:r>
          </w:p>
        </w:tc>
        <w:tc>
          <w:tcPr>
            <w:tcW w:w="254" w:type="pct"/>
            <w:tcMar>
              <w:top w:w="10" w:type="dxa"/>
              <w:left w:w="10" w:type="dxa"/>
              <w:bottom w:w="0" w:type="dxa"/>
              <w:right w:w="10" w:type="dxa"/>
            </w:tcMar>
            <w:vAlign w:val="center"/>
          </w:tcPr>
          <w:p>
            <w:pPr>
              <w:spacing w:line="240" w:lineRule="exact"/>
              <w:jc w:val="center"/>
              <w:rPr>
                <w:rFonts w:ascii="宋体" w:hAnsi="宋体" w:cs="宋体"/>
                <w:b/>
                <w:bCs/>
              </w:rPr>
            </w:pPr>
            <w:r>
              <w:rPr>
                <w:rFonts w:hint="eastAsia" w:ascii="宋体" w:hAnsi="宋体" w:cs="宋体"/>
                <w:b/>
                <w:bCs/>
              </w:rPr>
              <w:t>二级</w:t>
            </w:r>
          </w:p>
          <w:p>
            <w:pPr>
              <w:spacing w:line="240" w:lineRule="exact"/>
              <w:jc w:val="center"/>
              <w:rPr>
                <w:rFonts w:ascii="宋体"/>
                <w:b/>
                <w:bCs/>
              </w:rPr>
            </w:pPr>
            <w:r>
              <w:rPr>
                <w:rFonts w:hint="eastAsia" w:ascii="宋体" w:hAnsi="宋体" w:cs="宋体"/>
                <w:b/>
                <w:bCs/>
              </w:rPr>
              <w:t>指标</w:t>
            </w:r>
          </w:p>
        </w:tc>
        <w:tc>
          <w:tcPr>
            <w:tcW w:w="447"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三级指标</w:t>
            </w:r>
          </w:p>
        </w:tc>
        <w:tc>
          <w:tcPr>
            <w:tcW w:w="287" w:type="pct"/>
          </w:tcPr>
          <w:p>
            <w:pPr>
              <w:spacing w:line="240" w:lineRule="exact"/>
              <w:jc w:val="center"/>
              <w:rPr>
                <w:rFonts w:ascii="宋体"/>
                <w:b/>
                <w:bCs/>
              </w:rPr>
            </w:pPr>
            <w:r>
              <w:rPr>
                <w:rFonts w:hint="eastAsia" w:ascii="宋体" w:hAnsi="宋体" w:cs="宋体"/>
                <w:b/>
                <w:bCs/>
              </w:rPr>
              <w:t>自评分</w:t>
            </w:r>
          </w:p>
        </w:tc>
        <w:tc>
          <w:tcPr>
            <w:tcW w:w="1420"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指标解释</w:t>
            </w:r>
          </w:p>
        </w:tc>
        <w:tc>
          <w:tcPr>
            <w:tcW w:w="2275" w:type="pct"/>
            <w:tcMar>
              <w:top w:w="10" w:type="dxa"/>
              <w:left w:w="10" w:type="dxa"/>
              <w:bottom w:w="0" w:type="dxa"/>
              <w:right w:w="10" w:type="dxa"/>
            </w:tcMar>
            <w:vAlign w:val="center"/>
          </w:tcPr>
          <w:p>
            <w:pPr>
              <w:spacing w:line="240" w:lineRule="exact"/>
              <w:jc w:val="center"/>
              <w:rPr>
                <w:rFonts w:ascii="宋体"/>
                <w:b/>
                <w:bCs/>
              </w:rPr>
            </w:pPr>
            <w:r>
              <w:rPr>
                <w:rFonts w:hint="eastAsia" w:ascii="宋体" w:hAnsi="宋体" w:cs="宋体"/>
                <w:b/>
                <w:bCs/>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决</w:t>
            </w:r>
            <w:r>
              <w:rPr>
                <w:rFonts w:ascii="宋体" w:hAnsi="宋体" w:cs="宋体"/>
              </w:rPr>
              <w:t xml:space="preserve">  </w:t>
            </w:r>
            <w:r>
              <w:rPr>
                <w:rFonts w:hint="eastAsia" w:ascii="宋体" w:hAnsi="宋体" w:cs="宋体"/>
              </w:rPr>
              <w:t>策（</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预算支出决策</w:t>
            </w:r>
          </w:p>
          <w:p>
            <w:pPr>
              <w:spacing w:line="240" w:lineRule="exact"/>
              <w:jc w:val="center"/>
              <w:rPr>
                <w:rFonts w:ascii="宋体"/>
              </w:rPr>
            </w:pPr>
            <w:r>
              <w:rPr>
                <w:rFonts w:hint="eastAsia" w:ascii="宋体" w:hAnsi="宋体" w:cs="宋体"/>
              </w:rPr>
              <w:t>（项目立项）（</w:t>
            </w:r>
            <w:r>
              <w:rPr>
                <w:rFonts w:ascii="宋体" w:hAnsi="宋体" w:cs="宋体"/>
              </w:rPr>
              <w:t>8</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预算支出决策（项目立项）依据</w:t>
            </w:r>
          </w:p>
          <w:p>
            <w:pPr>
              <w:spacing w:line="240" w:lineRule="exact"/>
              <w:ind w:left="105" w:leftChars="50" w:right="105" w:rightChars="50"/>
              <w:jc w:val="center"/>
              <w:rPr>
                <w:rFonts w:ascii="宋体"/>
              </w:rPr>
            </w:pPr>
            <w:r>
              <w:rPr>
                <w:rFonts w:hint="eastAsia" w:ascii="宋体" w:hAnsi="宋体" w:cs="宋体"/>
              </w:rPr>
              <w:t>充分性（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firstLine="210" w:firstLineChars="10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预算支出决策（项目立项）是否符合法律法规、相关政策、发展规划以及部门职责，用以反映和考核决策（立项）的依据情况。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①决策（立项）是否符合国家相关法律法规、国民经济发展规划和相关政策；</w:t>
            </w:r>
          </w:p>
          <w:p>
            <w:pPr>
              <w:spacing w:line="240" w:lineRule="exact"/>
              <w:ind w:left="105" w:leftChars="50" w:right="105" w:rightChars="50"/>
              <w:rPr>
                <w:rFonts w:ascii="宋体" w:hAnsi="宋体" w:cs="宋体"/>
              </w:rPr>
            </w:pPr>
            <w:r>
              <w:rPr>
                <w:rFonts w:hint="eastAsia" w:ascii="宋体" w:hAnsi="宋体" w:cs="宋体"/>
              </w:rPr>
              <w:t>②决策（立项）是否符合行业发展规划和政策要求；</w:t>
            </w:r>
          </w:p>
          <w:p>
            <w:pPr>
              <w:spacing w:line="240" w:lineRule="exact"/>
              <w:ind w:left="105" w:leftChars="50" w:right="105" w:rightChars="50"/>
              <w:rPr>
                <w:rFonts w:ascii="宋体" w:hAnsi="宋体" w:cs="宋体"/>
              </w:rPr>
            </w:pPr>
            <w:r>
              <w:rPr>
                <w:rFonts w:hint="eastAsia" w:ascii="宋体" w:hAnsi="宋体" w:cs="宋体"/>
              </w:rPr>
              <w:t>③决策（立项）是否与部门职责范围相符，属于部门履职所需；</w:t>
            </w:r>
          </w:p>
          <w:p>
            <w:pPr>
              <w:spacing w:line="240" w:lineRule="exact"/>
              <w:ind w:left="105" w:leftChars="50" w:right="105" w:rightChars="50"/>
              <w:rPr>
                <w:rFonts w:ascii="宋体"/>
              </w:rPr>
            </w:pPr>
            <w:r>
              <w:rPr>
                <w:rFonts w:hint="eastAsia" w:ascii="宋体" w:hAnsi="宋体" w:cs="宋体"/>
              </w:rPr>
              <w:t>④预算支出是否属于公共财政支持范围，是否符合中央、地方事权支出责任划分原则；</w:t>
            </w:r>
          </w:p>
          <w:p>
            <w:pPr>
              <w:spacing w:line="240" w:lineRule="exact"/>
              <w:ind w:left="105" w:leftChars="50" w:right="105" w:rightChars="50"/>
              <w:rPr>
                <w:rFonts w:ascii="宋体"/>
              </w:rPr>
            </w:pPr>
            <w:r>
              <w:rPr>
                <w:rFonts w:hint="eastAsia" w:ascii="宋体" w:hAnsi="宋体" w:cs="宋体"/>
              </w:rPr>
              <w:t>⑤预算支出是否与相关部门同类预算支出或部门内部相关预算支出重复。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0"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vMerge w:val="continue"/>
            <w:tcMar>
              <w:top w:w="10" w:type="dxa"/>
              <w:left w:w="10" w:type="dxa"/>
              <w:bottom w:w="0" w:type="dxa"/>
              <w:right w:w="10" w:type="dxa"/>
            </w:tcMar>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决策(立项）程序规范性(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right="105" w:rightChars="50" w:firstLine="210" w:firstLineChars="10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预算支出申请、设立过程是否符合相关要求，用以反映和考核决策（立项）的规范情况。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Pr>
                <w:rFonts w:ascii="宋体"/>
              </w:rPr>
            </w:pPr>
            <w:r>
              <w:rPr>
                <w:rFonts w:hint="eastAsia" w:ascii="宋体" w:hAnsi="宋体" w:cs="宋体"/>
              </w:rPr>
              <w:t>①预算支出是否按照规定的程序申请设立；</w:t>
            </w:r>
          </w:p>
          <w:p>
            <w:pPr>
              <w:spacing w:line="240" w:lineRule="exact"/>
              <w:ind w:left="105" w:leftChars="50"/>
              <w:rPr>
                <w:rFonts w:ascii="宋体"/>
              </w:rPr>
            </w:pPr>
            <w:r>
              <w:rPr>
                <w:rFonts w:hint="eastAsia" w:ascii="宋体" w:hAnsi="宋体" w:cs="宋体"/>
              </w:rPr>
              <w:t>②审批文件、材料是否符合相关要求；</w:t>
            </w:r>
          </w:p>
          <w:p>
            <w:pPr>
              <w:spacing w:line="240" w:lineRule="exact"/>
              <w:ind w:left="105" w:leftChars="50"/>
              <w:rPr>
                <w:rFonts w:ascii="宋体"/>
              </w:rPr>
            </w:pPr>
            <w:r>
              <w:rPr>
                <w:rFonts w:hint="eastAsia" w:ascii="宋体" w:hAnsi="宋体" w:cs="宋体"/>
              </w:rPr>
              <w:t>③事前是否已经过必要的可行性研究、专家论证、风险评估、绩效评估、集体决策。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2" w:hRule="atLeast"/>
          <w:jc w:val="center"/>
        </w:trPr>
        <w:tc>
          <w:tcPr>
            <w:tcW w:w="314" w:type="pct"/>
            <w:vMerge w:val="continue"/>
            <w:vAlign w:val="center"/>
          </w:tcPr>
          <w:p>
            <w:pPr>
              <w:spacing w:line="240" w:lineRule="exact"/>
              <w:rPr>
                <w:rFonts w:ascii="宋体"/>
              </w:rPr>
            </w:pPr>
          </w:p>
        </w:tc>
        <w:tc>
          <w:tcPr>
            <w:tcW w:w="254" w:type="pct"/>
            <w:vMerge w:val="restart"/>
            <w:vAlign w:val="center"/>
          </w:tcPr>
          <w:p>
            <w:pPr>
              <w:spacing w:line="240" w:lineRule="exact"/>
              <w:jc w:val="center"/>
              <w:rPr>
                <w:rFonts w:ascii="宋体"/>
              </w:rPr>
            </w:pPr>
            <w:r>
              <w:rPr>
                <w:rFonts w:hint="eastAsia" w:ascii="宋体" w:hAnsi="宋体" w:cs="宋体"/>
              </w:rPr>
              <w:t>绩效</w:t>
            </w:r>
          </w:p>
          <w:p>
            <w:pPr>
              <w:spacing w:line="240" w:lineRule="exact"/>
              <w:jc w:val="center"/>
              <w:rPr>
                <w:rFonts w:ascii="宋体"/>
              </w:rPr>
            </w:pPr>
            <w:r>
              <w:rPr>
                <w:rFonts w:hint="eastAsia" w:ascii="宋体" w:hAnsi="宋体" w:cs="宋体"/>
              </w:rPr>
              <w:t>目标（</w:t>
            </w:r>
            <w:r>
              <w:rPr>
                <w:rFonts w:ascii="宋体" w:hAnsi="宋体" w:cs="宋体"/>
              </w:rPr>
              <w:t>6</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绩效目标</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ascii="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ind w:firstLine="210" w:firstLineChars="100"/>
              <w:jc w:val="left"/>
              <w:rPr>
                <w:rFonts w:hint="default"/>
                <w:lang w:val="en-US" w:eastAsia="zh-CN"/>
              </w:rPr>
            </w:pPr>
            <w:r>
              <w:rPr>
                <w:rFonts w:hint="eastAsia"/>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预算支出所设定的绩效目标是否依据充分，是否符合客观实际，用以反映和考核预算支出绩效目标与预算支出实施的相符情况。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（如未设定预算绩效目标，也可考核其他工作任务目标）</w:t>
            </w:r>
          </w:p>
          <w:p>
            <w:pPr>
              <w:spacing w:line="240" w:lineRule="exact"/>
              <w:ind w:left="105" w:leftChars="50" w:right="105" w:rightChars="50"/>
              <w:rPr>
                <w:rFonts w:ascii="宋体"/>
              </w:rPr>
            </w:pPr>
            <w:r>
              <w:rPr>
                <w:rFonts w:hint="eastAsia" w:ascii="宋体" w:hAnsi="宋体" w:cs="宋体"/>
              </w:rPr>
              <w:t>①预算支出是否有绩效目标；</w:t>
            </w:r>
          </w:p>
          <w:p>
            <w:pPr>
              <w:spacing w:line="240" w:lineRule="exact"/>
              <w:ind w:left="105" w:leftChars="50" w:right="105" w:rightChars="50"/>
              <w:rPr>
                <w:rFonts w:ascii="宋体"/>
              </w:rPr>
            </w:pPr>
            <w:r>
              <w:rPr>
                <w:rFonts w:hint="eastAsia" w:ascii="宋体" w:hAnsi="宋体" w:cs="宋体"/>
              </w:rPr>
              <w:t>②预算支出绩效目标与实际工作内容是否具有相关性；</w:t>
            </w:r>
          </w:p>
          <w:p>
            <w:pPr>
              <w:spacing w:line="240" w:lineRule="exact"/>
              <w:ind w:left="105" w:leftChars="50" w:right="105" w:rightChars="50"/>
              <w:rPr>
                <w:rFonts w:ascii="宋体"/>
              </w:rPr>
            </w:pPr>
            <w:r>
              <w:rPr>
                <w:rFonts w:hint="eastAsia" w:ascii="宋体" w:hAnsi="宋体" w:cs="宋体"/>
              </w:rPr>
              <w:t>③预算支出预期产出效益和效果是否符合正常的业绩水平；是否与预算确定的预算支出投资额或资金量相匹配。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绩效指标</w:t>
            </w:r>
          </w:p>
          <w:p>
            <w:pPr>
              <w:spacing w:line="240" w:lineRule="exact"/>
              <w:ind w:left="105" w:leftChars="50" w:right="105" w:rightChars="50"/>
              <w:jc w:val="center"/>
              <w:rPr>
                <w:rFonts w:ascii="宋体"/>
              </w:rPr>
            </w:pPr>
            <w:r>
              <w:rPr>
                <w:rFonts w:hint="eastAsia" w:ascii="宋体" w:hAnsi="宋体" w:cs="宋体"/>
              </w:rPr>
              <w:t>明确性（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ascii="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ind w:firstLine="254" w:firstLineChars="0"/>
              <w:jc w:val="left"/>
              <w:rPr>
                <w:rFonts w:hint="default"/>
                <w:lang w:val="en-US" w:eastAsia="zh-CN"/>
              </w:rPr>
            </w:pPr>
            <w:r>
              <w:rPr>
                <w:rFonts w:hint="eastAsia"/>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依据绩效目标设定的绩效指标是否清晰、细化、可衡量等，用以反映和考核预算支出绩效目标的明细化情况。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①是否将预算支出绩效目标细化分解为具体的绩效指标；</w:t>
            </w:r>
          </w:p>
          <w:p>
            <w:pPr>
              <w:spacing w:line="240" w:lineRule="exact"/>
              <w:ind w:left="105" w:leftChars="50" w:right="105" w:rightChars="50"/>
              <w:rPr>
                <w:rFonts w:ascii="宋体" w:hAnsi="宋体" w:cs="宋体"/>
              </w:rPr>
            </w:pPr>
            <w:r>
              <w:rPr>
                <w:rFonts w:hint="eastAsia" w:ascii="宋体" w:hAnsi="宋体" w:cs="宋体"/>
              </w:rPr>
              <w:t>②是否通过清晰、可衡量的指标值予以体现；</w:t>
            </w:r>
          </w:p>
          <w:p>
            <w:pPr>
              <w:spacing w:line="240" w:lineRule="exact"/>
              <w:ind w:left="105" w:leftChars="50" w:right="105" w:rightChars="50"/>
              <w:rPr>
                <w:rFonts w:ascii="宋体"/>
              </w:rPr>
            </w:pPr>
            <w:r>
              <w:rPr>
                <w:rFonts w:hint="eastAsia" w:ascii="宋体" w:hAnsi="宋体" w:cs="宋体"/>
              </w:rPr>
              <w:t>③是否与预算支出目标任务数或计划数相对应。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0" w:hRule="atLeast"/>
          <w:jc w:val="center"/>
        </w:trPr>
        <w:tc>
          <w:tcPr>
            <w:tcW w:w="314" w:type="pct"/>
            <w:vMerge w:val="continue"/>
            <w:vAlign w:val="center"/>
          </w:tcPr>
          <w:p>
            <w:pPr>
              <w:spacing w:line="240" w:lineRule="exact"/>
              <w:rPr>
                <w:rFonts w:ascii="宋体"/>
              </w:rPr>
            </w:pPr>
          </w:p>
        </w:tc>
        <w:tc>
          <w:tcPr>
            <w:tcW w:w="254" w:type="pct"/>
            <w:vMerge w:val="restart"/>
            <w:vAlign w:val="center"/>
          </w:tcPr>
          <w:p>
            <w:pPr>
              <w:spacing w:line="240" w:lineRule="exact"/>
              <w:jc w:val="center"/>
              <w:rPr>
                <w:rFonts w:ascii="宋体"/>
              </w:rPr>
            </w:pPr>
            <w:r>
              <w:rPr>
                <w:rFonts w:hint="eastAsia" w:ascii="宋体" w:hAnsi="宋体" w:cs="宋体"/>
              </w:rPr>
              <w:t>资金</w:t>
            </w:r>
          </w:p>
          <w:p>
            <w:pPr>
              <w:spacing w:line="240" w:lineRule="exact"/>
              <w:jc w:val="center"/>
              <w:rPr>
                <w:rFonts w:ascii="宋体"/>
              </w:rPr>
            </w:pPr>
            <w:r>
              <w:rPr>
                <w:rFonts w:hint="eastAsia" w:ascii="宋体" w:hAnsi="宋体" w:cs="宋体"/>
              </w:rPr>
              <w:t>投入（</w:t>
            </w:r>
            <w:r>
              <w:rPr>
                <w:rFonts w:ascii="宋体" w:hAnsi="宋体" w:cs="宋体"/>
              </w:rPr>
              <w:t>6</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预算编制</w:t>
            </w:r>
          </w:p>
          <w:p>
            <w:pPr>
              <w:spacing w:line="240" w:lineRule="exact"/>
              <w:ind w:left="105" w:leftChars="50" w:right="105" w:rightChars="50"/>
              <w:jc w:val="center"/>
              <w:rPr>
                <w:rFonts w:ascii="宋体"/>
              </w:rPr>
            </w:pPr>
            <w:r>
              <w:rPr>
                <w:rFonts w:hint="eastAsia" w:ascii="宋体" w:hAnsi="宋体" w:cs="宋体"/>
              </w:rPr>
              <w:t>科学性（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ascii="宋体"/>
              </w:rPr>
            </w:pPr>
          </w:p>
          <w:p>
            <w:pPr>
              <w:bidi w:val="0"/>
              <w:rPr>
                <w:rFonts w:ascii="Times New Roman" w:hAnsi="Times New Roman" w:eastAsia="宋体" w:cs="Times New Roman"/>
                <w:kern w:val="2"/>
                <w:sz w:val="21"/>
                <w:szCs w:val="24"/>
                <w:lang w:val="en-US" w:eastAsia="zh-CN" w:bidi="ar-SA"/>
              </w:rPr>
            </w:pPr>
          </w:p>
          <w:p>
            <w:pPr>
              <w:bidi w:val="0"/>
              <w:ind w:firstLine="254" w:firstLineChars="0"/>
              <w:jc w:val="left"/>
              <w:rPr>
                <w:rFonts w:hint="default"/>
                <w:lang w:val="en-US" w:eastAsia="zh-CN"/>
              </w:rPr>
            </w:pPr>
            <w:r>
              <w:rPr>
                <w:rFonts w:hint="eastAsia"/>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预算编制是否经过科学论证、有明确标准，资金额度与年度目标是否相适应，用以反映和考核预算支出预算编制的科学性、合理性情况。</w:t>
            </w:r>
          </w:p>
        </w:tc>
        <w:tc>
          <w:tcPr>
            <w:tcW w:w="2275" w:type="pct"/>
            <w:tcMar>
              <w:top w:w="10" w:type="dxa"/>
              <w:left w:w="10" w:type="dxa"/>
              <w:bottom w:w="0" w:type="dxa"/>
              <w:right w:w="10" w:type="dxa"/>
            </w:tcMar>
            <w:vAlign w:val="center"/>
          </w:tcPr>
          <w:p>
            <w:pPr>
              <w:spacing w:line="220" w:lineRule="exact"/>
              <w:ind w:left="105" w:leftChars="50" w:right="105" w:rightChars="50"/>
              <w:rPr>
                <w:rFonts w:ascii="宋体"/>
              </w:rPr>
            </w:pPr>
            <w:r>
              <w:rPr>
                <w:rFonts w:hint="eastAsia" w:ascii="宋体" w:hAnsi="宋体" w:cs="宋体"/>
              </w:rPr>
              <w:t>评价要点：</w:t>
            </w:r>
          </w:p>
          <w:p>
            <w:pPr>
              <w:spacing w:line="220" w:lineRule="exact"/>
              <w:ind w:left="105" w:leftChars="50" w:right="105" w:rightChars="50"/>
              <w:rPr>
                <w:rFonts w:ascii="宋体"/>
              </w:rPr>
            </w:pPr>
            <w:r>
              <w:rPr>
                <w:rFonts w:hint="eastAsia" w:ascii="宋体" w:hAnsi="宋体" w:cs="宋体"/>
              </w:rPr>
              <w:t>①预算编制是否经过科学论证；</w:t>
            </w:r>
          </w:p>
          <w:p>
            <w:pPr>
              <w:spacing w:line="220" w:lineRule="exact"/>
              <w:ind w:left="105" w:leftChars="50" w:right="105" w:rightChars="50"/>
              <w:rPr>
                <w:rFonts w:ascii="宋体"/>
              </w:rPr>
            </w:pPr>
            <w:r>
              <w:rPr>
                <w:rFonts w:hint="eastAsia" w:ascii="宋体" w:hAnsi="宋体" w:cs="宋体"/>
              </w:rPr>
              <w:t>②预算内容与支出内容是否匹配；</w:t>
            </w:r>
          </w:p>
          <w:p>
            <w:pPr>
              <w:spacing w:line="220" w:lineRule="exact"/>
              <w:ind w:left="105" w:leftChars="50" w:right="105" w:rightChars="50"/>
              <w:rPr>
                <w:rFonts w:ascii="宋体"/>
              </w:rPr>
            </w:pPr>
            <w:r>
              <w:rPr>
                <w:rFonts w:hint="eastAsia" w:ascii="宋体" w:hAnsi="宋体" w:cs="宋体"/>
              </w:rPr>
              <w:t>③预算额度测算依据是否充分，是否按照标准编制；</w:t>
            </w:r>
          </w:p>
          <w:p>
            <w:pPr>
              <w:spacing w:line="220" w:lineRule="exact"/>
              <w:ind w:left="105" w:leftChars="50" w:right="105" w:rightChars="50"/>
              <w:rPr>
                <w:rFonts w:ascii="宋体"/>
              </w:rPr>
            </w:pPr>
            <w:r>
              <w:rPr>
                <w:rFonts w:hint="eastAsia" w:ascii="宋体" w:hAnsi="宋体" w:cs="宋体"/>
              </w:rPr>
              <w:t>④预算确定的预算支出投资额或资金量是否与工作任务相匹配。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资金分配</w:t>
            </w:r>
          </w:p>
          <w:p>
            <w:pPr>
              <w:spacing w:line="240" w:lineRule="exact"/>
              <w:ind w:left="105" w:leftChars="50" w:right="105" w:rightChars="50"/>
              <w:jc w:val="center"/>
              <w:rPr>
                <w:rFonts w:ascii="宋体"/>
              </w:rPr>
            </w:pPr>
            <w:r>
              <w:rPr>
                <w:rFonts w:hint="eastAsia" w:ascii="宋体" w:hAnsi="宋体" w:cs="宋体"/>
              </w:rPr>
              <w:t>合理性（</w:t>
            </w:r>
            <w:r>
              <w:rPr>
                <w:rFonts w:ascii="宋体" w:hAnsi="宋体" w:cs="宋体"/>
              </w:rPr>
              <w:t>3</w:t>
            </w:r>
            <w:r>
              <w:rPr>
                <w:rFonts w:hint="eastAsia" w:ascii="宋体" w:hAnsi="宋体" w:cs="宋体"/>
              </w:rPr>
              <w:t>分）</w:t>
            </w:r>
          </w:p>
        </w:tc>
        <w:tc>
          <w:tcPr>
            <w:tcW w:w="287" w:type="pct"/>
          </w:tcPr>
          <w:p>
            <w:pPr>
              <w:spacing w:line="240" w:lineRule="exact"/>
              <w:ind w:left="105" w:leftChars="50" w:right="105" w:rightChars="50"/>
              <w:rPr>
                <w:rFonts w:ascii="宋体"/>
              </w:rPr>
            </w:pP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ind w:firstLine="266" w:firstLineChars="0"/>
              <w:jc w:val="left"/>
              <w:rPr>
                <w:rFonts w:hint="default"/>
                <w:lang w:val="en-US" w:eastAsia="zh-CN"/>
              </w:rPr>
            </w:pPr>
            <w:r>
              <w:rPr>
                <w:rFonts w:hint="eastAsia"/>
                <w:lang w:val="en-US" w:eastAsia="zh-CN"/>
              </w:rPr>
              <w:t>3</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预算资金分配是否有测算依据，与补助单位或地方实际是否相适应，用以反映和考核预算支出预算资金分配的科学性、合理性情况。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right="105" w:rightChars="50" w:firstLine="105" w:firstLineChars="50"/>
              <w:rPr>
                <w:rFonts w:ascii="宋体"/>
              </w:rPr>
            </w:pPr>
            <w:r>
              <w:rPr>
                <w:rFonts w:hint="eastAsia" w:ascii="宋体" w:hAnsi="宋体" w:cs="宋体"/>
              </w:rPr>
              <w:t>①预算资金分配依据是否充分；</w:t>
            </w:r>
          </w:p>
          <w:p>
            <w:pPr>
              <w:spacing w:line="240" w:lineRule="exact"/>
              <w:ind w:left="105" w:leftChars="50" w:right="105" w:rightChars="50"/>
              <w:rPr>
                <w:rFonts w:ascii="宋体"/>
              </w:rPr>
            </w:pPr>
            <w:r>
              <w:rPr>
                <w:rFonts w:hint="eastAsia" w:ascii="宋体" w:hAnsi="宋体" w:cs="宋体"/>
              </w:rPr>
              <w:t>②资金分配额度是否合理，与项目实施单位或地方实际是否相适应。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33" w:hRule="atLeast"/>
          <w:jc w:val="center"/>
        </w:trPr>
        <w:tc>
          <w:tcPr>
            <w:tcW w:w="314" w:type="pct"/>
            <w:vMerge w:val="restart"/>
            <w:vAlign w:val="center"/>
          </w:tcPr>
          <w:p>
            <w:pPr>
              <w:spacing w:line="240" w:lineRule="exact"/>
              <w:jc w:val="center"/>
              <w:rPr>
                <w:rFonts w:ascii="宋体"/>
              </w:rPr>
            </w:pPr>
            <w:r>
              <w:rPr>
                <w:rFonts w:hint="eastAsia" w:ascii="宋体" w:hAnsi="宋体" w:cs="宋体"/>
              </w:rPr>
              <w:t>过</w:t>
            </w:r>
          </w:p>
          <w:p>
            <w:pPr>
              <w:spacing w:line="240" w:lineRule="exact"/>
              <w:jc w:val="center"/>
              <w:rPr>
                <w:rFonts w:ascii="宋体"/>
              </w:rPr>
            </w:pPr>
          </w:p>
          <w:p>
            <w:pPr>
              <w:spacing w:line="240" w:lineRule="exact"/>
              <w:jc w:val="center"/>
              <w:rPr>
                <w:rFonts w:ascii="宋体"/>
              </w:rPr>
            </w:pPr>
          </w:p>
          <w:p>
            <w:pPr>
              <w:spacing w:line="240" w:lineRule="exact"/>
              <w:jc w:val="center"/>
              <w:rPr>
                <w:rFonts w:ascii="宋体"/>
              </w:rPr>
            </w:pPr>
            <w:r>
              <w:rPr>
                <w:rFonts w:hint="eastAsia" w:ascii="宋体" w:hAnsi="宋体" w:cs="宋体"/>
              </w:rPr>
              <w:t>程（</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资金</w:t>
            </w:r>
          </w:p>
          <w:p>
            <w:pPr>
              <w:spacing w:line="240" w:lineRule="exact"/>
              <w:jc w:val="center"/>
              <w:rPr>
                <w:rFonts w:ascii="宋体"/>
              </w:rPr>
            </w:pPr>
            <w:r>
              <w:rPr>
                <w:rFonts w:hint="eastAsia" w:ascii="宋体" w:hAnsi="宋体" w:cs="宋体"/>
              </w:rPr>
              <w:t>管理（</w:t>
            </w:r>
            <w:r>
              <w:rPr>
                <w:rFonts w:ascii="宋体" w:hAnsi="宋体" w:cs="宋体"/>
              </w:rPr>
              <w:t>12</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w:t>
            </w:r>
          </w:p>
          <w:p>
            <w:pPr>
              <w:spacing w:line="240" w:lineRule="exact"/>
              <w:ind w:left="105" w:leftChars="50" w:right="105" w:rightChars="50"/>
              <w:jc w:val="center"/>
              <w:rPr>
                <w:rFonts w:ascii="宋体"/>
              </w:rPr>
            </w:pPr>
            <w:r>
              <w:rPr>
                <w:rFonts w:hint="eastAsia" w:ascii="宋体" w:hAnsi="宋体" w:cs="宋体"/>
              </w:rPr>
              <w:t>到位率（</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ascii="宋体"/>
              </w:rPr>
            </w:pPr>
          </w:p>
          <w:p>
            <w:pPr>
              <w:bidi w:val="0"/>
              <w:jc w:val="left"/>
              <w:rPr>
                <w:rFonts w:hint="eastAsia" w:cs="Times New Roman"/>
                <w:kern w:val="2"/>
                <w:sz w:val="21"/>
                <w:szCs w:val="24"/>
                <w:lang w:val="en-US" w:eastAsia="zh-CN" w:bidi="ar-SA"/>
              </w:rPr>
            </w:pPr>
          </w:p>
          <w:p>
            <w:pPr>
              <w:bidi w:val="0"/>
              <w:ind w:firstLine="210" w:firstLineChars="100"/>
              <w:jc w:val="left"/>
              <w:rPr>
                <w:rFonts w:hint="eastAsia" w:cs="Times New Roman"/>
                <w:kern w:val="2"/>
                <w:sz w:val="21"/>
                <w:szCs w:val="24"/>
                <w:lang w:val="en-US" w:eastAsia="zh-CN" w:bidi="ar-SA"/>
              </w:rPr>
            </w:pPr>
            <w:r>
              <w:rPr>
                <w:rFonts w:hint="eastAsia" w:cs="Times New Roman"/>
                <w:kern w:val="2"/>
                <w:sz w:val="21"/>
                <w:szCs w:val="24"/>
                <w:lang w:val="en-US" w:eastAsia="zh-CN" w:bidi="ar-SA"/>
              </w:rPr>
              <w:t>4</w:t>
            </w:r>
          </w:p>
          <w:p>
            <w:pPr>
              <w:bidi w:val="0"/>
              <w:jc w:val="left"/>
              <w:rPr>
                <w:rFonts w:hint="default" w:cs="Times New Roman"/>
                <w:kern w:val="2"/>
                <w:sz w:val="21"/>
                <w:szCs w:val="24"/>
                <w:lang w:val="en-US" w:eastAsia="zh-CN" w:bidi="ar-SA"/>
              </w:rPr>
            </w:pP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实际到位资金与预算资金的比率，用以反映和考核资金落实情况对预算支出实施的总体保障程度。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资金到位率</w:t>
            </w:r>
            <w:r>
              <w:rPr>
                <w:rFonts w:ascii="宋体" w:hAnsi="宋体" w:cs="宋体"/>
              </w:rPr>
              <w:t>=</w:t>
            </w:r>
            <w:r>
              <w:rPr>
                <w:rFonts w:hint="eastAsia" w:ascii="宋体" w:hAnsi="宋体" w:cs="宋体"/>
              </w:rPr>
              <w:t>（实际到位资金</w:t>
            </w:r>
            <w:r>
              <w:rPr>
                <w:rFonts w:ascii="宋体" w:hAnsi="宋体" w:cs="宋体"/>
              </w:rPr>
              <w:t>/</w:t>
            </w:r>
            <w:r>
              <w:rPr>
                <w:rFonts w:hint="eastAsia" w:ascii="宋体" w:hAnsi="宋体" w:cs="宋体"/>
              </w:rPr>
              <w:t>预算资金）×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实际到位资金：一定时期（本年度或预算支出期）内落实到具体预算支出的资金。</w:t>
            </w:r>
          </w:p>
          <w:p>
            <w:pPr>
              <w:spacing w:line="240" w:lineRule="exact"/>
              <w:ind w:left="105" w:leftChars="50" w:right="105" w:rightChars="50"/>
              <w:rPr>
                <w:rFonts w:ascii="宋体"/>
              </w:rPr>
            </w:pPr>
            <w:r>
              <w:rPr>
                <w:rFonts w:hint="eastAsia" w:ascii="宋体" w:hAnsi="宋体" w:cs="宋体"/>
              </w:rPr>
              <w:t>预算资金：一定时期（本年度或预算支出期）内预算安排到具体预算支出的资金。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5" w:hRule="atLeast"/>
          <w:jc w:val="center"/>
        </w:trPr>
        <w:tc>
          <w:tcPr>
            <w:tcW w:w="314" w:type="pct"/>
            <w:vMerge w:val="continue"/>
            <w:vAlign w:val="center"/>
          </w:tcPr>
          <w:p>
            <w:pPr>
              <w:spacing w:line="240" w:lineRule="exact"/>
              <w:jc w:val="center"/>
              <w:rPr>
                <w:rFonts w:ascii="宋体"/>
              </w:rPr>
            </w:pPr>
          </w:p>
        </w:tc>
        <w:tc>
          <w:tcPr>
            <w:tcW w:w="254" w:type="pct"/>
            <w:vMerge w:val="continue"/>
            <w:tcMar>
              <w:top w:w="10" w:type="dxa"/>
              <w:left w:w="10" w:type="dxa"/>
              <w:bottom w:w="0" w:type="dxa"/>
              <w:right w:w="10" w:type="dxa"/>
            </w:tcMar>
            <w:vAlign w:val="center"/>
          </w:tcPr>
          <w:p>
            <w:pPr>
              <w:spacing w:line="240" w:lineRule="exact"/>
              <w:jc w:val="center"/>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预算</w:t>
            </w:r>
          </w:p>
          <w:p>
            <w:pPr>
              <w:spacing w:line="240" w:lineRule="exact"/>
              <w:ind w:left="105" w:leftChars="50" w:right="105" w:rightChars="50"/>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预算资金是否按照计划执行，用以反映或考核预算支出预算执行情况。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预算执行率</w:t>
            </w:r>
            <w:r>
              <w:rPr>
                <w:rFonts w:ascii="宋体" w:hAnsi="宋体" w:cs="宋体"/>
              </w:rPr>
              <w:t>=</w:t>
            </w:r>
            <w:r>
              <w:rPr>
                <w:rFonts w:hint="eastAsia" w:ascii="宋体" w:hAnsi="宋体" w:cs="宋体"/>
              </w:rPr>
              <w:t>（实际支出资金</w:t>
            </w:r>
            <w:r>
              <w:rPr>
                <w:rFonts w:ascii="宋体" w:hAnsi="宋体" w:cs="宋体"/>
              </w:rPr>
              <w:t>/</w:t>
            </w:r>
            <w:r>
              <w:rPr>
                <w:rFonts w:hint="eastAsia" w:ascii="宋体" w:hAnsi="宋体" w:cs="宋体"/>
              </w:rPr>
              <w:t>实际到位资金）×</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实际支出资金：一定时期（本年度或预算支出期）内预算支出实际拨付的资金。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jc w:val="center"/>
              <w:rPr>
                <w:rFonts w:ascii="宋体"/>
              </w:rPr>
            </w:pPr>
          </w:p>
        </w:tc>
        <w:tc>
          <w:tcPr>
            <w:tcW w:w="254" w:type="pct"/>
            <w:vMerge w:val="continue"/>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资金使用</w:t>
            </w:r>
          </w:p>
          <w:p>
            <w:pPr>
              <w:spacing w:line="240" w:lineRule="exact"/>
              <w:ind w:left="105" w:leftChars="50" w:right="105" w:rightChars="50"/>
              <w:jc w:val="center"/>
              <w:rPr>
                <w:rFonts w:ascii="宋体"/>
              </w:rPr>
            </w:pPr>
            <w:r>
              <w:rPr>
                <w:rFonts w:hint="eastAsia" w:ascii="宋体" w:hAnsi="宋体" w:cs="宋体"/>
              </w:rPr>
              <w:t>合规性（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预算资金使用是否符合相关的财务管理制度规定，用以反映和考核预算资金的规范运行情况。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评价要点：</w:t>
            </w:r>
          </w:p>
          <w:p>
            <w:pPr>
              <w:spacing w:line="240" w:lineRule="exact"/>
              <w:ind w:left="105" w:leftChars="50" w:right="105" w:rightChars="50"/>
              <w:rPr>
                <w:rFonts w:ascii="宋体"/>
              </w:rPr>
            </w:pPr>
            <w:r>
              <w:rPr>
                <w:rFonts w:hint="eastAsia" w:ascii="宋体" w:hAnsi="宋体" w:cs="宋体"/>
              </w:rPr>
              <w:t>①是否符合国家财经法规和财务管理制度以及有关专项资金管理办法的规定；</w:t>
            </w:r>
          </w:p>
          <w:p>
            <w:pPr>
              <w:spacing w:line="240" w:lineRule="exact"/>
              <w:ind w:right="105" w:rightChars="50" w:firstLine="105" w:firstLineChars="50"/>
              <w:rPr>
                <w:rFonts w:ascii="宋体"/>
              </w:rPr>
            </w:pPr>
            <w:r>
              <w:rPr>
                <w:rFonts w:hint="eastAsia" w:ascii="宋体" w:hAnsi="宋体" w:cs="宋体"/>
              </w:rPr>
              <w:t>②资金的拨付是否有完整的审批程序和手续；</w:t>
            </w:r>
          </w:p>
          <w:p>
            <w:pPr>
              <w:spacing w:line="240" w:lineRule="exact"/>
              <w:ind w:right="105" w:rightChars="50" w:firstLine="105" w:firstLineChars="50"/>
              <w:rPr>
                <w:rFonts w:ascii="宋体"/>
              </w:rPr>
            </w:pPr>
            <w:r>
              <w:rPr>
                <w:rFonts w:hint="eastAsia" w:ascii="宋体" w:hAnsi="宋体" w:cs="宋体"/>
              </w:rPr>
              <w:t>③是否符合预算支出预算批复或合同规定的用途；</w:t>
            </w:r>
          </w:p>
          <w:p>
            <w:pPr>
              <w:spacing w:line="240" w:lineRule="exact"/>
              <w:ind w:left="105" w:leftChars="50" w:right="105" w:rightChars="50"/>
              <w:rPr>
                <w:rFonts w:ascii="宋体"/>
              </w:rPr>
            </w:pPr>
            <w:r>
              <w:rPr>
                <w:rFonts w:hint="eastAsia" w:ascii="宋体" w:hAnsi="宋体" w:cs="宋体"/>
              </w:rPr>
              <w:t>④是否存在截留、挤占、挪用、虐列支出等情况。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vMerge w:val="restar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组织</w:t>
            </w:r>
          </w:p>
          <w:p>
            <w:pPr>
              <w:spacing w:line="240" w:lineRule="exact"/>
              <w:jc w:val="center"/>
              <w:rPr>
                <w:rFonts w:ascii="宋体"/>
              </w:rPr>
            </w:pPr>
            <w:r>
              <w:rPr>
                <w:rFonts w:hint="eastAsia" w:ascii="宋体" w:hAnsi="宋体" w:cs="宋体"/>
              </w:rPr>
              <w:t>实施（</w:t>
            </w:r>
            <w:r>
              <w:rPr>
                <w:rFonts w:ascii="宋体" w:hAnsi="宋体" w:cs="宋体"/>
              </w:rPr>
              <w:t>8</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管理制度</w:t>
            </w:r>
          </w:p>
          <w:p>
            <w:pPr>
              <w:spacing w:line="240" w:lineRule="exact"/>
              <w:ind w:left="105" w:leftChars="50" w:right="105" w:rightChars="50"/>
              <w:jc w:val="center"/>
              <w:rPr>
                <w:rFonts w:ascii="宋体"/>
              </w:rPr>
            </w:pPr>
            <w:r>
              <w:rPr>
                <w:rFonts w:hint="eastAsia" w:ascii="宋体" w:hAnsi="宋体" w:cs="宋体"/>
              </w:rPr>
              <w:t>健全性（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预算支出实施单位的财务和业务管理制度是否健全，用以反映和考核财务和业务管理制度对预算支出顺利实施的保障情况。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①是否已制定或具有相应的业务管理制度；</w:t>
            </w:r>
          </w:p>
          <w:p>
            <w:pPr>
              <w:spacing w:line="240" w:lineRule="exact"/>
              <w:ind w:left="105" w:leftChars="50" w:right="105" w:rightChars="50"/>
              <w:rPr>
                <w:rFonts w:ascii="宋体"/>
              </w:rPr>
            </w:pPr>
            <w:r>
              <w:rPr>
                <w:rFonts w:hint="eastAsia" w:ascii="宋体" w:hAnsi="宋体" w:cs="宋体"/>
              </w:rPr>
              <w:t>②财务和业务管理制度是否合法、合规、完整。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制度执行</w:t>
            </w:r>
          </w:p>
          <w:p>
            <w:pPr>
              <w:spacing w:line="240" w:lineRule="exact"/>
              <w:ind w:left="105" w:leftChars="50" w:right="105" w:rightChars="50"/>
              <w:jc w:val="center"/>
              <w:rPr>
                <w:rFonts w:ascii="宋体"/>
              </w:rPr>
            </w:pPr>
            <w:r>
              <w:rPr>
                <w:rFonts w:hint="eastAsia" w:ascii="宋体" w:hAnsi="宋体" w:cs="宋体"/>
              </w:rPr>
              <w:t>有效性（</w:t>
            </w:r>
            <w:r>
              <w:rPr>
                <w:rFonts w:ascii="宋体" w:hAnsi="宋体" w:cs="宋体"/>
              </w:rPr>
              <w:t>4</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4</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预算支出实施是否符合相关业务管理规定，用以反映和考核业务管理制度的有效执行情况。</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评价要点：</w:t>
            </w:r>
          </w:p>
          <w:p>
            <w:pPr>
              <w:spacing w:line="240" w:lineRule="exact"/>
              <w:ind w:left="105" w:leftChars="50" w:right="105" w:rightChars="50"/>
              <w:rPr>
                <w:rFonts w:ascii="宋体" w:hAnsi="宋体" w:cs="宋体"/>
              </w:rPr>
            </w:pPr>
            <w:r>
              <w:rPr>
                <w:rFonts w:hint="eastAsia" w:ascii="宋体" w:hAnsi="宋体" w:cs="宋体"/>
              </w:rPr>
              <w:t>①是否遵守相关法律法规和相关管理规定；</w:t>
            </w:r>
          </w:p>
          <w:p>
            <w:pPr>
              <w:spacing w:line="240" w:lineRule="exact"/>
              <w:ind w:left="105" w:leftChars="50" w:right="105" w:rightChars="50"/>
              <w:rPr>
                <w:rFonts w:ascii="宋体" w:hAnsi="宋体" w:cs="宋体"/>
              </w:rPr>
            </w:pPr>
            <w:r>
              <w:rPr>
                <w:rFonts w:hint="eastAsia" w:ascii="宋体" w:hAnsi="宋体" w:cs="宋体"/>
              </w:rPr>
              <w:t>②预算支出调整及支出调整手续是否完备；</w:t>
            </w:r>
          </w:p>
          <w:p>
            <w:pPr>
              <w:spacing w:line="240" w:lineRule="exact"/>
              <w:ind w:left="105" w:leftChars="50" w:right="105" w:rightChars="50"/>
              <w:rPr>
                <w:rFonts w:ascii="宋体" w:hAnsi="宋体" w:cs="宋体"/>
              </w:rPr>
            </w:pPr>
            <w:r>
              <w:rPr>
                <w:rFonts w:hint="eastAsia" w:ascii="宋体" w:hAnsi="宋体" w:cs="宋体"/>
              </w:rPr>
              <w:t>③预算支出合同书、验收报告、技术鉴定等资料是否齐全并及时归档；</w:t>
            </w:r>
          </w:p>
          <w:p>
            <w:pPr>
              <w:spacing w:line="240" w:lineRule="exact"/>
              <w:ind w:left="105" w:leftChars="50" w:right="105" w:rightChars="50"/>
              <w:rPr>
                <w:rFonts w:ascii="宋体"/>
              </w:rPr>
            </w:pPr>
            <w:r>
              <w:rPr>
                <w:rFonts w:hint="eastAsia" w:ascii="宋体" w:hAnsi="宋体" w:cs="宋体"/>
              </w:rPr>
              <w:t>④预算支出实施的人员条件、场地设备、信息支撑等是否落实到位。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81"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数量（</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实际</w:t>
            </w:r>
          </w:p>
          <w:p>
            <w:pPr>
              <w:spacing w:line="240" w:lineRule="exact"/>
              <w:ind w:left="105" w:leftChars="50" w:right="105" w:rightChars="50"/>
              <w:jc w:val="center"/>
              <w:rPr>
                <w:rFonts w:ascii="宋体"/>
              </w:rPr>
            </w:pPr>
            <w:r>
              <w:rPr>
                <w:rFonts w:hint="eastAsia" w:ascii="宋体" w:hAnsi="宋体" w:cs="宋体"/>
              </w:rPr>
              <w:t>完成率（</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预算支出实施的实际产出数与计划产出数的比率，用以反映和考核预算支出产出数量目标的实现程度。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实际完成率</w:t>
            </w:r>
            <w:r>
              <w:rPr>
                <w:rFonts w:ascii="宋体" w:hAnsi="宋体" w:cs="宋体"/>
              </w:rPr>
              <w:t>=</w:t>
            </w:r>
            <w:r>
              <w:rPr>
                <w:rFonts w:hint="eastAsia" w:ascii="宋体" w:hAnsi="宋体" w:cs="宋体"/>
              </w:rPr>
              <w:t>（实际产出数</w:t>
            </w:r>
            <w:r>
              <w:rPr>
                <w:rFonts w:ascii="宋体" w:hAnsi="宋体" w:cs="宋体"/>
              </w:rPr>
              <w:t>/</w:t>
            </w:r>
            <w:r>
              <w:rPr>
                <w:rFonts w:hint="eastAsia" w:ascii="宋体" w:hAnsi="宋体" w:cs="宋体"/>
              </w:rPr>
              <w:t>计划产出数）×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实际产出数：一定时期（本年度或预算支出期）内预算支出实际产出的产品或提供的服务数量。</w:t>
            </w:r>
          </w:p>
          <w:p>
            <w:pPr>
              <w:spacing w:line="240" w:lineRule="exact"/>
              <w:ind w:left="105" w:leftChars="50" w:right="105" w:rightChars="50"/>
              <w:rPr>
                <w:rFonts w:ascii="宋体"/>
              </w:rPr>
            </w:pPr>
            <w:r>
              <w:rPr>
                <w:rFonts w:hint="eastAsia" w:ascii="宋体" w:hAnsi="宋体" w:cs="宋体"/>
              </w:rPr>
              <w:t>计划产出数：预算支出绩效目标确定的在一定时期（本年度或预算支出期）内计划产出的产品或提供的服务数量。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4" w:hRule="atLeast"/>
          <w:jc w:val="center"/>
        </w:trPr>
        <w:tc>
          <w:tcPr>
            <w:tcW w:w="314" w:type="pct"/>
            <w:vMerge w:val="continue"/>
            <w:noWrap/>
            <w:tcMar>
              <w:top w:w="10" w:type="dxa"/>
              <w:left w:w="10" w:type="dxa"/>
              <w:bottom w:w="0" w:type="dxa"/>
              <w:right w:w="10" w:type="dxa"/>
            </w:tcMar>
            <w:textDirection w:val="tbRlV"/>
            <w:vAlign w:val="center"/>
          </w:tcPr>
          <w:p>
            <w:pPr>
              <w:spacing w:line="240" w:lineRule="exact"/>
              <w:jc w:val="center"/>
              <w:rPr>
                <w:rFonts w:ascii="宋体"/>
              </w:rPr>
            </w:pPr>
          </w:p>
        </w:tc>
        <w:tc>
          <w:tcPr>
            <w:tcW w:w="254" w:type="pct"/>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质量（</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质量</w:t>
            </w:r>
          </w:p>
          <w:p>
            <w:pPr>
              <w:spacing w:line="240" w:lineRule="exact"/>
              <w:ind w:left="105" w:leftChars="50" w:right="105" w:rightChars="50"/>
              <w:jc w:val="center"/>
              <w:rPr>
                <w:rFonts w:ascii="宋体"/>
              </w:rPr>
            </w:pPr>
            <w:r>
              <w:rPr>
                <w:rFonts w:hint="eastAsia" w:ascii="宋体" w:hAnsi="宋体" w:cs="宋体"/>
              </w:rPr>
              <w:t>达标率（</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预算支出完成的质量达标产出数与实际产出数的比率，用以反映和考核预算支出产出质量目标的实现程度。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质量达标率</w:t>
            </w:r>
            <w:r>
              <w:rPr>
                <w:rFonts w:ascii="宋体" w:hAnsi="宋体" w:cs="宋体"/>
              </w:rPr>
              <w:t>=</w:t>
            </w:r>
            <w:r>
              <w:rPr>
                <w:rFonts w:hint="eastAsia" w:ascii="宋体" w:hAnsi="宋体" w:cs="宋体"/>
              </w:rPr>
              <w:t>（质量达标产出数</w:t>
            </w:r>
            <w:r>
              <w:rPr>
                <w:rFonts w:ascii="宋体" w:hAnsi="宋体" w:cs="宋体"/>
              </w:rPr>
              <w:t>/</w:t>
            </w:r>
            <w:r>
              <w:rPr>
                <w:rFonts w:hint="eastAsia" w:ascii="宋体" w:hAnsi="宋体" w:cs="宋体"/>
              </w:rPr>
              <w:t>实际产出数）×</w:t>
            </w:r>
            <w:r>
              <w:rPr>
                <w:rFonts w:ascii="宋体" w:hAnsi="宋体" w:cs="宋体"/>
              </w:rPr>
              <w:t>100%</w:t>
            </w:r>
            <w:r>
              <w:rPr>
                <w:rFonts w:hint="eastAsia" w:ascii="宋体" w:hAnsi="宋体" w:cs="宋体"/>
              </w:rPr>
              <w:t>。</w:t>
            </w:r>
          </w:p>
          <w:p>
            <w:pPr>
              <w:spacing w:line="240" w:lineRule="exact"/>
              <w:ind w:left="105" w:leftChars="50" w:right="105" w:rightChars="50"/>
              <w:rPr>
                <w:rFonts w:ascii="宋体"/>
              </w:rPr>
            </w:pPr>
            <w:r>
              <w:rPr>
                <w:rFonts w:hint="eastAsia" w:ascii="宋体" w:hAnsi="宋体" w:cs="宋体"/>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5" w:hRule="atLeast"/>
          <w:jc w:val="center"/>
        </w:trPr>
        <w:tc>
          <w:tcPr>
            <w:tcW w:w="314" w:type="pct"/>
            <w:vMerge w:val="restart"/>
            <w:vAlign w:val="center"/>
          </w:tcPr>
          <w:p>
            <w:pPr>
              <w:spacing w:line="240" w:lineRule="exact"/>
              <w:ind w:left="113"/>
              <w:rPr>
                <w:rFonts w:ascii="宋体"/>
              </w:rPr>
            </w:pPr>
            <w:r>
              <w:rPr>
                <w:rFonts w:hint="eastAsia" w:ascii="宋体" w:hAnsi="宋体" w:cs="宋体"/>
              </w:rPr>
              <w:t>产</w:t>
            </w:r>
            <w:r>
              <w:rPr>
                <w:rFonts w:ascii="宋体" w:hAnsi="宋体" w:cs="宋体"/>
              </w:rPr>
              <w:t xml:space="preserve">   </w:t>
            </w:r>
            <w:r>
              <w:rPr>
                <w:rFonts w:hint="eastAsia" w:ascii="宋体" w:hAnsi="宋体" w:cs="宋体"/>
              </w:rPr>
              <w:t>出（</w:t>
            </w:r>
            <w:r>
              <w:rPr>
                <w:rFonts w:ascii="宋体" w:hAnsi="宋体" w:cs="宋体"/>
              </w:rPr>
              <w:t>40</w:t>
            </w:r>
            <w:r>
              <w:rPr>
                <w:rFonts w:hint="eastAsia" w:ascii="宋体" w:hAnsi="宋体" w:cs="宋体"/>
              </w:rPr>
              <w:t>分）</w:t>
            </w:r>
          </w:p>
        </w:tc>
        <w:tc>
          <w:tcPr>
            <w:tcW w:w="254"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时效（</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完成</w:t>
            </w:r>
          </w:p>
          <w:p>
            <w:pPr>
              <w:spacing w:line="240" w:lineRule="exact"/>
              <w:ind w:left="105" w:leftChars="50" w:right="105" w:rightChars="50"/>
              <w:jc w:val="center"/>
              <w:rPr>
                <w:rFonts w:ascii="宋体"/>
              </w:rPr>
            </w:pPr>
            <w:r>
              <w:rPr>
                <w:rFonts w:hint="eastAsia" w:ascii="宋体" w:hAnsi="宋体" w:cs="宋体"/>
              </w:rPr>
              <w:t>及时性（</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预算支出实际完成时间与计划完成时间的比较，用以反映和考核预算支出产出时效目标的实现程度。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实际完成时间：预算支出实施单位完成该预算支出实际所耗用的时间。</w:t>
            </w:r>
          </w:p>
          <w:p>
            <w:pPr>
              <w:spacing w:line="240" w:lineRule="exact"/>
              <w:ind w:left="105" w:leftChars="50" w:right="105" w:rightChars="50"/>
              <w:rPr>
                <w:rFonts w:ascii="宋体"/>
              </w:rPr>
            </w:pPr>
            <w:r>
              <w:rPr>
                <w:rFonts w:hint="eastAsia" w:ascii="宋体" w:hAnsi="宋体" w:cs="宋体"/>
              </w:rPr>
              <w:t>计划完成时间：按照预算支出实施计划或相关规定完成该预算支出所需的时间。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ind w:left="113"/>
              <w:rPr>
                <w:rFonts w:ascii="宋体"/>
              </w:rPr>
            </w:pPr>
          </w:p>
        </w:tc>
        <w:tc>
          <w:tcPr>
            <w:tcW w:w="254" w:type="pct"/>
            <w:vAlign w:val="center"/>
          </w:tcPr>
          <w:p>
            <w:pPr>
              <w:spacing w:line="240" w:lineRule="exact"/>
              <w:jc w:val="center"/>
              <w:rPr>
                <w:rFonts w:ascii="宋体"/>
              </w:rPr>
            </w:pPr>
            <w:r>
              <w:rPr>
                <w:rFonts w:hint="eastAsia" w:ascii="宋体" w:hAnsi="宋体" w:cs="宋体"/>
              </w:rPr>
              <w:t>产出</w:t>
            </w:r>
          </w:p>
          <w:p>
            <w:pPr>
              <w:spacing w:line="240" w:lineRule="exact"/>
              <w:jc w:val="center"/>
              <w:rPr>
                <w:rFonts w:ascii="宋体"/>
              </w:rPr>
            </w:pPr>
            <w:r>
              <w:rPr>
                <w:rFonts w:hint="eastAsia" w:ascii="宋体" w:hAnsi="宋体" w:cs="宋体"/>
              </w:rPr>
              <w:t>成本（</w:t>
            </w:r>
            <w:r>
              <w:rPr>
                <w:rFonts w:ascii="宋体" w:hAnsi="宋体" w:cs="宋体"/>
              </w:rPr>
              <w:t>10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成本</w:t>
            </w:r>
          </w:p>
          <w:p>
            <w:pPr>
              <w:spacing w:line="240" w:lineRule="exact"/>
              <w:ind w:left="105" w:leftChars="50" w:right="105" w:rightChars="50"/>
              <w:jc w:val="center"/>
              <w:rPr>
                <w:rFonts w:ascii="宋体"/>
              </w:rPr>
            </w:pPr>
            <w:r>
              <w:rPr>
                <w:rFonts w:hint="eastAsia" w:ascii="宋体" w:hAnsi="宋体" w:cs="宋体"/>
              </w:rPr>
              <w:t>节约率（</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完成预算支出计划工作目标的实际节约成本与计划成本的比率，用以反映和考核预算支出的成本节约程度。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hAnsi="宋体" w:cs="宋体"/>
              </w:rPr>
            </w:pPr>
            <w:r>
              <w:rPr>
                <w:rFonts w:hint="eastAsia" w:ascii="宋体" w:hAnsi="宋体" w:cs="宋体"/>
              </w:rPr>
              <w:t>成本节约率</w:t>
            </w:r>
            <w:r>
              <w:rPr>
                <w:rFonts w:ascii="宋体" w:hAnsi="宋体" w:cs="宋体"/>
              </w:rPr>
              <w:t>=[</w:t>
            </w:r>
            <w:r>
              <w:rPr>
                <w:rFonts w:hint="eastAsia" w:ascii="宋体" w:hAnsi="宋体" w:cs="宋体"/>
              </w:rPr>
              <w:t>（计划成本</w:t>
            </w:r>
            <w:r>
              <w:rPr>
                <w:rFonts w:ascii="宋体" w:cs="宋体"/>
              </w:rPr>
              <w:t>-</w:t>
            </w:r>
            <w:r>
              <w:rPr>
                <w:rFonts w:hint="eastAsia" w:ascii="宋体" w:hAnsi="宋体" w:cs="宋体"/>
              </w:rPr>
              <w:t>实际成本）</w:t>
            </w:r>
            <w:r>
              <w:rPr>
                <w:rFonts w:ascii="宋体" w:hAnsi="宋体" w:cs="宋体"/>
              </w:rPr>
              <w:t>/</w:t>
            </w:r>
            <w:r>
              <w:rPr>
                <w:rFonts w:hint="eastAsia" w:ascii="宋体" w:hAnsi="宋体" w:cs="宋体"/>
              </w:rPr>
              <w:t>计划成本</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w:t>
            </w:r>
          </w:p>
          <w:p>
            <w:pPr>
              <w:spacing w:line="240" w:lineRule="exact"/>
              <w:ind w:left="105" w:leftChars="50" w:right="105" w:rightChars="50"/>
              <w:rPr>
                <w:rFonts w:ascii="宋体" w:hAnsi="宋体" w:cs="宋体"/>
              </w:rPr>
            </w:pPr>
            <w:r>
              <w:rPr>
                <w:rFonts w:hint="eastAsia" w:ascii="宋体" w:hAnsi="宋体" w:cs="宋体"/>
              </w:rPr>
              <w:t>实际成本：预算支出实施单位如期、保质、保量完成既定工作目标实际所耗费的支出。</w:t>
            </w:r>
          </w:p>
          <w:p>
            <w:pPr>
              <w:spacing w:line="240" w:lineRule="exact"/>
              <w:ind w:left="105" w:leftChars="50" w:right="105" w:rightChars="50"/>
              <w:rPr>
                <w:rFonts w:ascii="宋体"/>
              </w:rPr>
            </w:pPr>
            <w:r>
              <w:rPr>
                <w:rFonts w:hint="eastAsia" w:ascii="宋体" w:hAnsi="宋体" w:cs="宋体"/>
              </w:rPr>
              <w:t>计划成本：预算支出实施单位为完成工作目标计划安排的支出，一般以预算支出预算为参考。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restart"/>
            <w:noWrap/>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w:t>
            </w:r>
            <w:r>
              <w:rPr>
                <w:rFonts w:ascii="宋体" w:hAnsi="宋体" w:cs="宋体"/>
              </w:rPr>
              <w:t xml:space="preserve">   </w:t>
            </w:r>
            <w:r>
              <w:rPr>
                <w:rFonts w:hint="eastAsia" w:ascii="宋体" w:hAnsi="宋体" w:cs="宋体"/>
              </w:rPr>
              <w:t>益（</w:t>
            </w:r>
            <w:r>
              <w:rPr>
                <w:rFonts w:ascii="宋体" w:hAnsi="宋体" w:cs="宋体"/>
              </w:rPr>
              <w:t>20</w:t>
            </w:r>
            <w:r>
              <w:rPr>
                <w:rFonts w:hint="eastAsia" w:ascii="宋体" w:hAnsi="宋体" w:cs="宋体"/>
              </w:rPr>
              <w:t>分）</w:t>
            </w:r>
          </w:p>
        </w:tc>
        <w:tc>
          <w:tcPr>
            <w:tcW w:w="254" w:type="pct"/>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预算支出</w:t>
            </w:r>
          </w:p>
          <w:p>
            <w:pPr>
              <w:spacing w:line="240" w:lineRule="exact"/>
              <w:jc w:val="center"/>
              <w:rPr>
                <w:rFonts w:ascii="宋体"/>
              </w:rPr>
            </w:pPr>
            <w:r>
              <w:rPr>
                <w:rFonts w:hint="eastAsia" w:ascii="宋体" w:hAnsi="宋体" w:cs="宋体"/>
              </w:rPr>
              <w:t>效益（</w:t>
            </w:r>
            <w:r>
              <w:rPr>
                <w:rFonts w:ascii="宋体" w:hAnsi="宋体" w:cs="宋体"/>
              </w:rPr>
              <w:t>20</w:t>
            </w:r>
            <w:r>
              <w:rPr>
                <w:rFonts w:hint="eastAsia" w:ascii="宋体" w:hAnsi="宋体" w:cs="宋体"/>
              </w:rPr>
              <w:t>分）</w:t>
            </w: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实施效益（</w:t>
            </w:r>
            <w:r>
              <w:rPr>
                <w:rFonts w:ascii="宋体" w:hAnsi="宋体" w:cs="宋体"/>
              </w:rPr>
              <w:t>10</w:t>
            </w:r>
            <w:r>
              <w:rPr>
                <w:rFonts w:hint="eastAsia" w:ascii="宋体" w:hAnsi="宋体" w:cs="宋体"/>
              </w:rPr>
              <w:t>分）</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hint="default" w:ascii="宋体" w:eastAsia="宋体"/>
                <w:lang w:val="en-US" w:eastAsia="zh-CN"/>
              </w:rPr>
            </w:pPr>
            <w:r>
              <w:rPr>
                <w:rFonts w:hint="eastAsia" w:ascii="宋体"/>
                <w:lang w:val="en-US" w:eastAsia="zh-CN"/>
              </w:rPr>
              <w:t>10</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预算支出实施所产生的效益。</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预算支出实施所产生的社会效益、经济效益、生态效益、可持续影响等。可根据预算支出实际情况有选择地设置和细化。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Merge w:val="continue"/>
            <w:vAlign w:val="center"/>
          </w:tcPr>
          <w:p>
            <w:pPr>
              <w:spacing w:line="240" w:lineRule="exact"/>
              <w:rPr>
                <w:rFonts w:ascii="宋体"/>
              </w:rPr>
            </w:pPr>
          </w:p>
        </w:tc>
        <w:tc>
          <w:tcPr>
            <w:tcW w:w="254" w:type="pct"/>
            <w:vMerge w:val="continue"/>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r>
              <w:rPr>
                <w:rFonts w:hint="eastAsia" w:ascii="宋体" w:hAnsi="宋体" w:cs="宋体"/>
              </w:rPr>
              <w:t>社会公众</w:t>
            </w:r>
          </w:p>
          <w:p>
            <w:pPr>
              <w:spacing w:line="240" w:lineRule="exact"/>
              <w:ind w:left="105" w:leftChars="50" w:right="105" w:rightChars="50"/>
              <w:jc w:val="center"/>
              <w:rPr>
                <w:rFonts w:ascii="宋体"/>
              </w:rPr>
            </w:pPr>
            <w:r>
              <w:rPr>
                <w:rFonts w:hint="eastAsia" w:ascii="宋体" w:hAnsi="宋体" w:cs="宋体"/>
              </w:rPr>
              <w:t>或服务（</w:t>
            </w:r>
            <w:r>
              <w:rPr>
                <w:rFonts w:ascii="宋体" w:hAnsi="宋体" w:cs="宋体"/>
              </w:rPr>
              <w:t>10</w:t>
            </w:r>
            <w:r>
              <w:rPr>
                <w:rFonts w:hint="eastAsia" w:ascii="宋体" w:hAnsi="宋体" w:cs="宋体"/>
              </w:rPr>
              <w:t>分）对</w:t>
            </w:r>
          </w:p>
          <w:p>
            <w:pPr>
              <w:spacing w:line="240" w:lineRule="exact"/>
              <w:ind w:left="105" w:leftChars="50" w:right="105" w:rightChars="50"/>
              <w:jc w:val="center"/>
              <w:rPr>
                <w:rFonts w:ascii="宋体"/>
              </w:rPr>
            </w:pPr>
            <w:r>
              <w:rPr>
                <w:rFonts w:hint="eastAsia" w:ascii="宋体" w:hAnsi="宋体" w:cs="宋体"/>
              </w:rPr>
              <w:t>象满意度</w:t>
            </w:r>
          </w:p>
        </w:tc>
        <w:tc>
          <w:tcPr>
            <w:tcW w:w="287" w:type="pct"/>
          </w:tcPr>
          <w:p>
            <w:pPr>
              <w:spacing w:line="240" w:lineRule="exact"/>
              <w:ind w:left="105" w:leftChars="50" w:right="105" w:rightChars="50"/>
              <w:rPr>
                <w:rFonts w:ascii="宋体"/>
              </w:rPr>
            </w:pPr>
          </w:p>
          <w:p>
            <w:pPr>
              <w:spacing w:line="240" w:lineRule="exact"/>
              <w:ind w:left="105" w:leftChars="50" w:right="105" w:rightChars="50"/>
              <w:rPr>
                <w:rFonts w:ascii="宋体"/>
              </w:rPr>
            </w:pPr>
          </w:p>
          <w:p>
            <w:pPr>
              <w:spacing w:line="240" w:lineRule="exact"/>
              <w:ind w:left="105" w:leftChars="50" w:right="105" w:rightChars="50"/>
              <w:rPr>
                <w:rFonts w:hint="eastAsia" w:ascii="宋体" w:eastAsia="宋体"/>
                <w:lang w:val="en-US" w:eastAsia="zh-CN"/>
              </w:rPr>
            </w:pPr>
            <w:r>
              <w:rPr>
                <w:rFonts w:hint="eastAsia" w:ascii="宋体"/>
                <w:lang w:val="en-US" w:eastAsia="zh-CN"/>
              </w:rPr>
              <w:t>9</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社会公众或服务对象对预算支出实施效果的满意程度。</w:t>
            </w: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r>
              <w:rPr>
                <w:rFonts w:hint="eastAsia" w:ascii="宋体" w:hAnsi="宋体" w:cs="宋体"/>
              </w:rPr>
              <w:t>社会公众或服务对象是指因该预算支出实施而受到影响的部门、群体或个人。一般采取社会调查的方式。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314" w:type="pct"/>
            <w:vAlign w:val="center"/>
          </w:tcPr>
          <w:p>
            <w:pPr>
              <w:spacing w:line="240" w:lineRule="exact"/>
              <w:rPr>
                <w:rFonts w:ascii="宋体"/>
              </w:rPr>
            </w:pPr>
            <w:r>
              <w:rPr>
                <w:rFonts w:hint="eastAsia" w:ascii="宋体" w:hAnsi="宋体" w:cs="宋体"/>
              </w:rPr>
              <w:t>总分</w:t>
            </w:r>
          </w:p>
        </w:tc>
        <w:tc>
          <w:tcPr>
            <w:tcW w:w="254" w:type="pct"/>
            <w:vAlign w:val="center"/>
          </w:tcPr>
          <w:p>
            <w:pPr>
              <w:spacing w:line="240" w:lineRule="exact"/>
              <w:rPr>
                <w:rFonts w:ascii="宋体"/>
              </w:rPr>
            </w:pPr>
          </w:p>
        </w:tc>
        <w:tc>
          <w:tcPr>
            <w:tcW w:w="447" w:type="pct"/>
            <w:tcMar>
              <w:top w:w="10" w:type="dxa"/>
              <w:left w:w="10" w:type="dxa"/>
              <w:bottom w:w="0" w:type="dxa"/>
              <w:right w:w="10" w:type="dxa"/>
            </w:tcMar>
            <w:vAlign w:val="center"/>
          </w:tcPr>
          <w:p>
            <w:pPr>
              <w:spacing w:line="240" w:lineRule="exact"/>
              <w:ind w:left="105" w:leftChars="50" w:right="105" w:rightChars="50"/>
              <w:jc w:val="center"/>
              <w:rPr>
                <w:rFonts w:ascii="宋体"/>
              </w:rPr>
            </w:pPr>
          </w:p>
        </w:tc>
        <w:tc>
          <w:tcPr>
            <w:tcW w:w="287" w:type="pct"/>
          </w:tcPr>
          <w:p>
            <w:pPr>
              <w:spacing w:line="240" w:lineRule="exact"/>
              <w:ind w:left="105" w:leftChars="50" w:right="105" w:rightChars="50"/>
              <w:rPr>
                <w:rFonts w:hint="default" w:ascii="宋体" w:eastAsia="宋体"/>
                <w:lang w:val="en-US" w:eastAsia="zh-CN"/>
              </w:rPr>
            </w:pPr>
            <w:r>
              <w:rPr>
                <w:rFonts w:hint="eastAsia" w:ascii="宋体"/>
                <w:lang w:val="en-US" w:eastAsia="zh-CN"/>
              </w:rPr>
              <w:t>99</w:t>
            </w:r>
          </w:p>
        </w:tc>
        <w:tc>
          <w:tcPr>
            <w:tcW w:w="1420" w:type="pct"/>
            <w:tcMar>
              <w:top w:w="10" w:type="dxa"/>
              <w:left w:w="10" w:type="dxa"/>
              <w:bottom w:w="0" w:type="dxa"/>
              <w:right w:w="10" w:type="dxa"/>
            </w:tcMar>
            <w:vAlign w:val="center"/>
          </w:tcPr>
          <w:p>
            <w:pPr>
              <w:spacing w:line="240" w:lineRule="exact"/>
              <w:ind w:left="105" w:leftChars="50" w:right="105" w:rightChars="50"/>
              <w:rPr>
                <w:rFonts w:ascii="宋体"/>
              </w:rPr>
            </w:pPr>
          </w:p>
        </w:tc>
        <w:tc>
          <w:tcPr>
            <w:tcW w:w="2275" w:type="pct"/>
            <w:tcMar>
              <w:top w:w="10" w:type="dxa"/>
              <w:left w:w="10" w:type="dxa"/>
              <w:bottom w:w="0" w:type="dxa"/>
              <w:right w:w="10" w:type="dxa"/>
            </w:tcMar>
            <w:vAlign w:val="center"/>
          </w:tcPr>
          <w:p>
            <w:pPr>
              <w:spacing w:line="240" w:lineRule="exact"/>
              <w:ind w:left="105" w:leftChars="50" w:right="105" w:rightChars="50"/>
              <w:rPr>
                <w:rFonts w:ascii="宋体"/>
              </w:rPr>
            </w:pPr>
          </w:p>
        </w:tc>
      </w:tr>
    </w:tbl>
    <w:p/>
    <w:p/>
    <w:p/>
    <w:p/>
    <w:p/>
    <w:p/>
    <w:p/>
    <w:p/>
    <w:p/>
    <w:p/>
    <w:p/>
    <w:p/>
    <w:p/>
    <w:p/>
    <w:p/>
    <w:p/>
    <w:p>
      <w:pPr>
        <w:spacing w:after="156" w:afterLines="50" w:line="400" w:lineRule="exact"/>
        <w:jc w:val="center"/>
        <w:rPr>
          <w:rFonts w:hint="eastAsia" w:ascii="方正小标宋简体" w:eastAsia="方正小标宋简体" w:cs="方正小标宋_GBK"/>
          <w:w w:val="95"/>
          <w:sz w:val="36"/>
          <w:szCs w:val="36"/>
          <w:lang w:eastAsia="zh-CN"/>
        </w:rPr>
      </w:pPr>
      <w:r>
        <w:rPr>
          <w:rFonts w:hint="eastAsia" w:ascii="方正小标宋简体" w:eastAsia="方正小标宋简体" w:cs="方正小标宋_GBK"/>
          <w:w w:val="95"/>
          <w:sz w:val="36"/>
          <w:szCs w:val="36"/>
        </w:rPr>
        <w:t>2022年度</w:t>
      </w:r>
      <w:r>
        <w:rPr>
          <w:rFonts w:hint="eastAsia" w:ascii="方正小标宋简体" w:eastAsia="方正小标宋简体" w:cs="方正小标宋_GBK"/>
          <w:w w:val="95"/>
          <w:sz w:val="36"/>
          <w:szCs w:val="36"/>
          <w:lang w:eastAsia="zh-CN"/>
        </w:rPr>
        <w:t>区农村经济经营服务站</w:t>
      </w:r>
      <w:r>
        <w:rPr>
          <w:rFonts w:hint="eastAsia" w:ascii="方正小标宋简体" w:eastAsia="方正小标宋简体" w:cs="方正小标宋_GBK"/>
          <w:w w:val="95"/>
          <w:sz w:val="36"/>
          <w:szCs w:val="36"/>
        </w:rPr>
        <w:t>项目支出绩效自评</w:t>
      </w:r>
      <w:r>
        <w:rPr>
          <w:rFonts w:hint="eastAsia" w:ascii="方正小标宋简体" w:eastAsia="方正小标宋简体" w:cs="方正小标宋_GBK"/>
          <w:w w:val="95"/>
          <w:sz w:val="36"/>
          <w:szCs w:val="36"/>
          <w:lang w:eastAsia="zh-CN"/>
        </w:rPr>
        <w:t>报告</w:t>
      </w:r>
    </w:p>
    <w:p>
      <w:pPr>
        <w:spacing w:after="156" w:afterLines="50" w:line="400" w:lineRule="exact"/>
        <w:jc w:val="center"/>
        <w:rPr>
          <w:rFonts w:hint="default" w:ascii="方正小标宋简体" w:eastAsia="方正小标宋简体" w:cs="方正小标宋_GBK"/>
          <w:w w:val="90"/>
          <w:sz w:val="36"/>
          <w:szCs w:val="36"/>
          <w:lang w:val="en-US" w:eastAsia="zh-CN"/>
        </w:rPr>
      </w:pPr>
      <w:r>
        <w:rPr>
          <w:rFonts w:hint="eastAsia" w:ascii="方正小标宋简体" w:eastAsia="方正小标宋简体" w:cs="方正小标宋_GBK"/>
          <w:w w:val="90"/>
          <w:sz w:val="36"/>
          <w:szCs w:val="36"/>
          <w:lang w:val="en-US" w:eastAsia="zh-CN"/>
        </w:rPr>
        <w:t>(</w:t>
      </w:r>
      <w:r>
        <w:rPr>
          <w:rFonts w:hint="eastAsia" w:ascii="黑体" w:hAnsi="黑体" w:eastAsia="黑体" w:cs="黑体"/>
          <w:w w:val="90"/>
          <w:lang w:val="en-US" w:eastAsia="zh-CN"/>
        </w:rPr>
        <w:t>2022年农业生产社会化服务试点项目资金624万元</w:t>
      </w:r>
      <w:r>
        <w:rPr>
          <w:rFonts w:hint="eastAsia" w:ascii="方正小标宋简体" w:eastAsia="方正小标宋简体" w:cs="方正小标宋_GBK"/>
          <w:w w:val="90"/>
          <w:sz w:val="36"/>
          <w:szCs w:val="36"/>
          <w:lang w:val="en-US" w:eastAsia="zh-CN"/>
        </w:rPr>
        <w:t>)</w:t>
      </w:r>
    </w:p>
    <w:p>
      <w:pPr>
        <w:tabs>
          <w:tab w:val="left" w:pos="3435"/>
        </w:tabs>
        <w:spacing w:line="480" w:lineRule="exact"/>
        <w:rPr>
          <w:rFonts w:eastAsia="黑体"/>
          <w:kern w:val="0"/>
          <w:sz w:val="32"/>
          <w:szCs w:val="32"/>
        </w:rPr>
      </w:pPr>
      <w:r>
        <w:rPr>
          <w:rFonts w:eastAsia="黑体"/>
          <w:kern w:val="0"/>
          <w:sz w:val="32"/>
          <w:szCs w:val="32"/>
        </w:rPr>
        <w:tab/>
      </w:r>
    </w:p>
    <w:p>
      <w:pPr>
        <w:spacing w:line="480" w:lineRule="exact"/>
        <w:ind w:firstLine="640" w:firstLineChars="200"/>
        <w:rPr>
          <w:rFonts w:eastAsia="黑体"/>
          <w:sz w:val="32"/>
          <w:szCs w:val="32"/>
        </w:rPr>
      </w:pPr>
      <w:r>
        <w:rPr>
          <w:rFonts w:hint="eastAsia" w:eastAsia="黑体" w:cs="黑体"/>
          <w:sz w:val="32"/>
          <w:szCs w:val="32"/>
        </w:rPr>
        <w:t>一、预算支出基本情况</w:t>
      </w:r>
    </w:p>
    <w:p>
      <w:pPr>
        <w:adjustRightInd w:val="0"/>
        <w:snapToGrid w:val="0"/>
        <w:spacing w:line="620" w:lineRule="exact"/>
        <w:ind w:firstLine="420" w:firstLineChars="0"/>
        <w:rPr>
          <w:rFonts w:hint="eastAsia" w:eastAsia="楷体_GB2312" w:cs="楷体_GB2312"/>
          <w:b/>
          <w:bCs/>
          <w:sz w:val="32"/>
          <w:szCs w:val="32"/>
        </w:rPr>
      </w:pPr>
      <w:r>
        <w:rPr>
          <w:rFonts w:hint="eastAsia" w:eastAsia="楷体_GB2312" w:cs="楷体_GB2312"/>
          <w:b/>
          <w:bCs/>
          <w:sz w:val="32"/>
          <w:szCs w:val="32"/>
        </w:rPr>
        <w:t>（一）预算支出概况。</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根据《湖南省农业农村厅办公室关于统筹落实农业社会化服务资金稳定发展粮食生产的通知》（湘农办函[2022]61号）文件精神和工作安排，2022年省农业厅下拨项目资金624万元，主要用于有序推进农业社会化服务整县试点和创新试点深翻耕、秸秆综合利用、统防统治、烘干仓储等农业生产社会化服务相关工作。</w:t>
      </w:r>
    </w:p>
    <w:p>
      <w:pPr>
        <w:numPr>
          <w:ilvl w:val="0"/>
          <w:numId w:val="1"/>
        </w:numPr>
        <w:adjustRightInd w:val="0"/>
        <w:snapToGrid w:val="0"/>
        <w:spacing w:line="620" w:lineRule="exact"/>
        <w:ind w:firstLine="420" w:firstLineChars="0"/>
        <w:rPr>
          <w:rFonts w:hint="eastAsia" w:eastAsia="楷体_GB2312" w:cs="楷体_GB2312"/>
          <w:b/>
          <w:bCs/>
          <w:sz w:val="32"/>
          <w:szCs w:val="32"/>
        </w:rPr>
      </w:pPr>
      <w:r>
        <w:rPr>
          <w:rFonts w:hint="eastAsia" w:eastAsia="楷体_GB2312" w:cs="楷体_GB2312"/>
          <w:b/>
          <w:bCs/>
          <w:sz w:val="32"/>
          <w:szCs w:val="32"/>
        </w:rPr>
        <w:t>预算资金使用管理情况。</w:t>
      </w:r>
    </w:p>
    <w:p>
      <w:pPr>
        <w:pStyle w:val="2"/>
        <w:ind w:firstLine="640" w:firstLineChars="20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2022年农业生产社会化服务试点项目资金624万元，该项目资金于2022年11月25日拨付至我单位。我站于12月14日下拨赫山区农业生产社会化服务创新试点项目资金552万元，工作经费72万元。552万资金下拨情况如下：</w:t>
      </w:r>
    </w:p>
    <w:p>
      <w:pPr>
        <w:numPr>
          <w:ilvl w:val="0"/>
          <w:numId w:val="2"/>
        </w:num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益阳市赫山区恒茂农机专业合作社40万元；</w:t>
      </w:r>
    </w:p>
    <w:p>
      <w:pPr>
        <w:numPr>
          <w:ilvl w:val="0"/>
          <w:numId w:val="2"/>
        </w:numPr>
        <w:ind w:left="0" w:leftChars="0" w:firstLine="0" w:firstLine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益阳市赫山区光伍农机专业合作社40万元；</w:t>
      </w:r>
    </w:p>
    <w:p>
      <w:pPr>
        <w:numPr>
          <w:ilvl w:val="0"/>
          <w:numId w:val="2"/>
        </w:numPr>
        <w:ind w:left="0" w:leftChars="0" w:firstLine="0" w:firstLineChars="0"/>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益阳欣田园赞歌种植专业合作社联社40万元；</w:t>
      </w:r>
    </w:p>
    <w:p>
      <w:pPr>
        <w:numPr>
          <w:ilvl w:val="0"/>
          <w:numId w:val="0"/>
        </w:numPr>
        <w:ind w:leftChars="0"/>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4、湖南中亿现代农业发展股份有限公司40万元；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5、湖南江南生态农业科技开发有限公司40万元；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6、益阳市乡约农牧农业科技开发有限公司40万元；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7、益阳市益民农业农民专业合作社40万元；</w:t>
      </w:r>
    </w:p>
    <w:p>
      <w:pPr>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8、益阳市赫山区岳好农机专业合作社40万元；</w:t>
      </w:r>
    </w:p>
    <w:p>
      <w:pPr>
        <w:rPr>
          <w:rFonts w:hint="eastAsia" w:ascii="仿宋" w:hAnsi="仿宋" w:eastAsia="仿宋" w:cs="仿宋"/>
          <w:b w:val="0"/>
          <w:bCs w:val="0"/>
          <w:color w:val="auto"/>
          <w:spacing w:val="-20"/>
          <w:w w:val="80"/>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9、</w:t>
      </w:r>
      <w:r>
        <w:rPr>
          <w:rFonts w:hint="eastAsia" w:ascii="仿宋" w:hAnsi="仿宋" w:eastAsia="仿宋" w:cs="仿宋"/>
          <w:b w:val="0"/>
          <w:bCs w:val="0"/>
          <w:color w:val="auto"/>
          <w:spacing w:val="-23"/>
          <w:w w:val="90"/>
          <w:kern w:val="2"/>
          <w:sz w:val="32"/>
          <w:szCs w:val="32"/>
          <w:lang w:val="en-US" w:eastAsia="zh-CN" w:bidi="ar-SA"/>
        </w:rPr>
        <w:t>湖南农田谋士现代农业集团有限公司（农田管家服务模式)40万元；</w:t>
      </w:r>
    </w:p>
    <w:p>
      <w:pPr>
        <w:rPr>
          <w:rFonts w:hint="eastAsia" w:ascii="仿宋" w:hAnsi="仿宋" w:eastAsia="仿宋" w:cs="仿宋"/>
          <w:b w:val="0"/>
          <w:bCs w:val="0"/>
          <w:color w:val="auto"/>
          <w:w w:val="80"/>
          <w:kern w:val="2"/>
          <w:sz w:val="32"/>
          <w:szCs w:val="32"/>
          <w:lang w:val="en-US" w:eastAsia="zh-CN" w:bidi="ar-SA"/>
        </w:rPr>
      </w:pPr>
      <w:r>
        <w:rPr>
          <w:rFonts w:hint="eastAsia" w:ascii="仿宋" w:hAnsi="仿宋" w:eastAsia="仿宋" w:cs="仿宋"/>
          <w:b w:val="0"/>
          <w:bCs w:val="0"/>
          <w:color w:val="auto"/>
          <w:kern w:val="2"/>
          <w:sz w:val="32"/>
          <w:szCs w:val="32"/>
          <w:lang w:val="en-US" w:eastAsia="zh-CN" w:bidi="ar-SA"/>
        </w:rPr>
        <w:t>10、</w:t>
      </w:r>
      <w:r>
        <w:rPr>
          <w:rFonts w:hint="eastAsia" w:ascii="仿宋" w:hAnsi="仿宋" w:eastAsia="仿宋" w:cs="仿宋"/>
          <w:b w:val="0"/>
          <w:bCs w:val="0"/>
          <w:color w:val="auto"/>
          <w:w w:val="80"/>
          <w:kern w:val="2"/>
          <w:sz w:val="32"/>
          <w:szCs w:val="32"/>
          <w:lang w:val="en-US" w:eastAsia="zh-CN" w:bidi="ar-SA"/>
        </w:rPr>
        <w:t>益阳市赫山区万亩良田水稻种植专业合作社联合社</w:t>
      </w:r>
      <w:bookmarkStart w:id="0" w:name="_GoBack"/>
      <w:bookmarkEnd w:id="0"/>
      <w:r>
        <w:rPr>
          <w:rFonts w:hint="eastAsia" w:ascii="仿宋" w:hAnsi="仿宋" w:eastAsia="仿宋" w:cs="仿宋"/>
          <w:b w:val="0"/>
          <w:bCs w:val="0"/>
          <w:color w:val="auto"/>
          <w:w w:val="80"/>
          <w:kern w:val="2"/>
          <w:sz w:val="32"/>
          <w:szCs w:val="32"/>
          <w:lang w:val="en-US" w:eastAsia="zh-CN" w:bidi="ar-SA"/>
        </w:rPr>
        <w:t>(联合社（合伙人）服务模式)40万元；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11、益阳市赫山区广联农机专业合作社15万元；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12、益阳市赫山区跃红农机专业合作社15万元；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13、益阳市赫山区龙兴农机专业合作社15万元；</w:t>
      </w:r>
    </w:p>
    <w:p>
      <w:pPr>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14、益阳市赫山区再良农机专业合作社15万元；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15、益阳市赫山区强民种养农民专业合作社10万元；</w:t>
      </w:r>
    </w:p>
    <w:p>
      <w:pPr>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16、益阳市湘豫农林业综合开发农民专业合作社10万元；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17、益阳市赫山区超胜农机专业合作社10万元；</w:t>
      </w:r>
    </w:p>
    <w:p>
      <w:pPr>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18、益阳市朝阳星飞农机专业合作社10万元；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19、益阳市赫山区欣湘种植专业合作社10万元；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20、益阳市高梁坪农机专业合作社10万元；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21、益阳市赫山区好宽农机专业合作社8万元；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22、益阳市赫山区岳家桥镇青松水稻种植专业合作5万元；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23、益阳市家强水稻种植专业合作社5万元；</w:t>
      </w:r>
    </w:p>
    <w:p>
      <w:pPr>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24、益阳福稻农业科技开发有限公司5万元；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25、益阳市赫山区定农农机专业合作社5万元；</w:t>
      </w:r>
    </w:p>
    <w:p>
      <w:pPr>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26、益阳市赫山区清明水稻种植专业合作社4万元；</w:t>
      </w:r>
    </w:p>
    <w:p>
      <w:pPr>
        <w:ind w:firstLine="640" w:firstLineChars="200"/>
        <w:rPr>
          <w:rFonts w:hint="default"/>
          <w:lang w:val="en-US" w:eastAsia="zh-CN"/>
        </w:rPr>
      </w:pPr>
      <w:r>
        <w:rPr>
          <w:rFonts w:hint="eastAsia" w:ascii="仿宋" w:hAnsi="仿宋" w:eastAsia="仿宋" w:cs="仿宋"/>
          <w:b w:val="0"/>
          <w:bCs w:val="0"/>
          <w:kern w:val="2"/>
          <w:sz w:val="32"/>
          <w:szCs w:val="32"/>
          <w:lang w:val="en-US" w:eastAsia="zh-CN" w:bidi="ar-SA"/>
        </w:rPr>
        <w:t>我单位严格按照《赫山区2022年农业生产社会化服务项目试点工作实施方案》使用，杜绝虚报冒领、骗取套取、挤占挪用项目资金行为。</w:t>
      </w:r>
    </w:p>
    <w:p>
      <w:pPr>
        <w:adjustRightInd w:val="0"/>
        <w:snapToGrid w:val="0"/>
        <w:spacing w:line="620" w:lineRule="exact"/>
        <w:ind w:firstLine="420" w:firstLineChars="0"/>
        <w:rPr>
          <w:rFonts w:hint="eastAsia" w:eastAsia="楷体_GB2312" w:cs="楷体_GB2312"/>
          <w:b/>
          <w:bCs/>
          <w:sz w:val="32"/>
          <w:szCs w:val="32"/>
          <w:lang w:val="en-US" w:eastAsia="zh-CN"/>
        </w:rPr>
      </w:pPr>
      <w:r>
        <w:rPr>
          <w:rFonts w:hint="eastAsia" w:eastAsia="楷体_GB2312" w:cs="楷体_GB2312"/>
          <w:b/>
          <w:bCs/>
          <w:sz w:val="32"/>
          <w:szCs w:val="32"/>
          <w:lang w:val="en-US" w:eastAsia="zh-CN"/>
        </w:rPr>
        <w:t>（三）预算支出绩效目标完成程度。</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区2022年列为全国农业生产社会化服务试点县之一，2022年春季开始正式实施。现阶段我区只实施水田深翻耕、病虫害监测和统防统治，水稻秸秆综合利用和粮食烘干仓储环节的试点补助。目前，各服务组织试点工作已全面完成。</w:t>
      </w:r>
    </w:p>
    <w:p>
      <w:pPr>
        <w:numPr>
          <w:ilvl w:val="0"/>
          <w:numId w:val="3"/>
        </w:numPr>
        <w:spacing w:line="480" w:lineRule="exact"/>
        <w:ind w:left="0" w:leftChars="0" w:firstLine="640" w:firstLineChars="200"/>
        <w:rPr>
          <w:rFonts w:hint="eastAsia" w:eastAsia="黑体" w:cs="黑体"/>
          <w:sz w:val="32"/>
          <w:szCs w:val="32"/>
          <w:lang w:val="en-US" w:eastAsia="zh-CN"/>
        </w:rPr>
      </w:pPr>
      <w:r>
        <w:rPr>
          <w:rFonts w:hint="eastAsia" w:eastAsia="黑体" w:cs="黑体"/>
          <w:sz w:val="32"/>
          <w:szCs w:val="32"/>
          <w:lang w:val="en-US" w:eastAsia="zh-CN"/>
        </w:rPr>
        <w:t>绩效评价工作情况</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lang w:val="en-US" w:eastAsia="zh-CN"/>
        </w:rPr>
      </w:pPr>
      <w:r>
        <w:rPr>
          <w:rFonts w:hint="eastAsia" w:ascii="仿宋" w:hAnsi="仿宋" w:eastAsia="仿宋" w:cs="仿宋"/>
          <w:sz w:val="32"/>
          <w:szCs w:val="32"/>
          <w:lang w:val="en-US" w:eastAsia="zh-CN"/>
        </w:rPr>
        <w:t>年初选取符合条件的农业生产社会化服务组织，年中下达任务目标，经过对服务组织项目任务执行情况的督促指导，定期调度和抽查，我站于11月15日至12月7日联合区纪委、财政、乡镇（街道）、村等相关单位对服务组织进行实地验收并公示。12月14日将农业生产社会化服务创新试点资金下拨至各专业合作社。</w:t>
      </w:r>
    </w:p>
    <w:p>
      <w:pPr>
        <w:numPr>
          <w:ilvl w:val="0"/>
          <w:numId w:val="3"/>
        </w:numPr>
        <w:spacing w:line="480" w:lineRule="exact"/>
        <w:ind w:left="0" w:leftChars="0" w:firstLine="640" w:firstLineChars="200"/>
        <w:rPr>
          <w:rFonts w:hint="eastAsia" w:eastAsia="黑体" w:cs="黑体"/>
          <w:sz w:val="32"/>
          <w:szCs w:val="32"/>
        </w:rPr>
      </w:pPr>
      <w:r>
        <w:rPr>
          <w:rFonts w:hint="eastAsia" w:eastAsia="黑体" w:cs="黑体"/>
          <w:sz w:val="32"/>
          <w:szCs w:val="32"/>
        </w:rPr>
        <w:t>预算支出主要绩效及评价结论</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通过开展了财政支持农业生产全程社会化服务试点工作，提高了全区农业生产全程社会化服务水平，创造了“十代”等农业生产全程社会化服务的典型。全区农民专业合作社由2013年203家增加到2022年底1282家，增加1079家，其中水稻专业种植合作社由2013年的34家发展到2020年底830家，增加796家。农机专业合作社由2013年的15家发展到2022年底148家，增加133家。</w:t>
      </w:r>
    </w:p>
    <w:p>
      <w:pPr>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创新农田管家模式社会化服务，欧江岔镇水稻农业联合社模式社会化服务。我区通过湖南农田谋士现代农业集团有限公司在泉交河镇开展的“十代”农田管家模式社会化服务，率先在全省树立了样板，为多个会议提供现场。接受“十代”服务的种粮大户反映经济效益明显提高。</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确定粮食为农业生产社会化服务的主导产业。赫山农业主导产业是水稻，常年粮食播种面积在120万亩左右。2021年全区水稻播种面积123.9万亩，优质稻率达95％，总产量达55万吨；区内兰溪米市是全国十大米市之一，现有大米加工厂200多家，年加工稻谷260万吨以上，形成了产供销一条龙，解决了农民卖粮难的问题，并重点打造了无公害稻米品牌，提高了经济效益和社会效益。被评为“全省粮食生产标兵县”、“湖南省农产品质量综合监管示范县”。</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支持粮食产业对全区经济的影响。一是促进了农民收入水平的提高。农业生产全程社会化服务试点项目实施后，预计高产示范片每亩两季可提高稻谷产量80公斤，推广提纯复壮种子，比市场销售的同名称种子每斤可以少0.5-1元，降低了农民购买种子成本。同时社会化服务组织的快速发展，改变了农户家庭小规模分散经营的格局，有效促进了劳动力、土地、资金等要素的合理流动，降低了农产品生产和流通成本。</w:t>
      </w:r>
    </w:p>
    <w:p>
      <w:pPr>
        <w:pStyle w:val="5"/>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突出重点支持方向。赫山区农业生产社会化服务项目资金重点补助一家一户小农户办不了，办不好或者办了不划算的农业生产环节，目前服务组织服务小农户普遍超过百分之60以上，服务带动撂荒地复垦476亩。鼓励发展大豆玉米带状复合种植，双季稻后的油菜种植，岳家桥镇恒茂农机合作社，沧水镇欣田园赞歌合作社在今年水稻服务完后，鼓励服务对象全部种植油菜，拓展服务领域，扩大服务覆盖面，保障粮食安全和农产品的有效供给，为提供农业综合效益与竞争力提供有效支撑。</w:t>
      </w:r>
    </w:p>
    <w:p>
      <w:pPr>
        <w:spacing w:line="480" w:lineRule="exact"/>
        <w:ind w:firstLine="640" w:firstLineChars="200"/>
        <w:rPr>
          <w:rFonts w:eastAsia="黑体"/>
          <w:sz w:val="32"/>
          <w:szCs w:val="32"/>
        </w:rPr>
      </w:pPr>
      <w:r>
        <w:rPr>
          <w:rFonts w:hint="eastAsia" w:eastAsia="黑体" w:cs="黑体"/>
          <w:sz w:val="32"/>
          <w:szCs w:val="32"/>
        </w:rPr>
        <w:t>四、绩效评价指标分析</w:t>
      </w:r>
    </w:p>
    <w:p>
      <w:pPr>
        <w:ind w:firstLine="640" w:firstLineChars="200"/>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1、产出指标完成情况分析。</w:t>
      </w:r>
    </w:p>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320" w:firstLineChars="100"/>
        <w:jc w:val="left"/>
        <w:textAlignment w:val="baseline"/>
        <w:rPr>
          <w:rFonts w:hint="default" w:ascii="仿宋_GB2312" w:hAnsi="仿宋" w:eastAsia="仿宋_GB2312" w:cs="仿宋"/>
          <w:color w:val="3D3D3D"/>
          <w:sz w:val="32"/>
          <w:szCs w:val="32"/>
          <w:shd w:val="clear" w:color="auto" w:fill="FFFFFF"/>
          <w:lang w:val="en-US" w:eastAsia="zh-CN"/>
        </w:rPr>
      </w:pPr>
      <w:r>
        <w:rPr>
          <w:rFonts w:hint="eastAsia" w:ascii="仿宋_GB2312" w:hAnsi="仿宋" w:eastAsia="仿宋_GB2312" w:cs="仿宋"/>
          <w:color w:val="3D3D3D"/>
          <w:sz w:val="32"/>
          <w:szCs w:val="32"/>
          <w:shd w:val="clear" w:color="auto" w:fill="FFFFFF"/>
        </w:rPr>
        <w:t>（1）数量指标：</w:t>
      </w:r>
      <w:r>
        <w:rPr>
          <w:rFonts w:hint="eastAsia" w:ascii="仿宋_GB2312" w:hAnsi="仿宋" w:eastAsia="仿宋_GB2312" w:cs="仿宋"/>
          <w:color w:val="3D3D3D"/>
          <w:kern w:val="0"/>
          <w:sz w:val="32"/>
          <w:szCs w:val="32"/>
          <w:shd w:val="clear" w:color="auto" w:fill="FFFFFF"/>
          <w:lang w:val="en-US" w:eastAsia="zh-CN" w:bidi="ar-SA"/>
        </w:rPr>
        <w:t>早稻集中育秧服务面积35.7万亩次；水稻机插机抛服务面积3.65万亩次；农业社会化服务试点县任务面积6万亩；创新试点服务组织承担任务面积6万亩；支持国家级和省级农业社会化服务创新试点县开展创新试点21个。</w:t>
      </w:r>
    </w:p>
    <w:p>
      <w:pPr>
        <w:pStyle w:val="7"/>
        <w:shd w:val="clear" w:color="auto" w:fill="FFFFFF"/>
        <w:snapToGrid w:val="0"/>
        <w:spacing w:before="0" w:beforeAutospacing="0" w:after="0" w:afterAutospacing="0" w:line="360" w:lineRule="auto"/>
        <w:ind w:firstLine="320" w:firstLineChars="100"/>
        <w:jc w:val="both"/>
        <w:rPr>
          <w:rFonts w:hint="eastAsia" w:ascii="仿宋_GB2312" w:hAnsi="仿宋" w:eastAsia="仿宋_GB2312" w:cs="仿宋"/>
          <w:color w:val="3D3D3D"/>
          <w:sz w:val="32"/>
          <w:szCs w:val="32"/>
          <w:shd w:val="clear" w:color="auto" w:fill="FFFFFF"/>
          <w:lang w:eastAsia="zh-CN"/>
        </w:rPr>
      </w:pPr>
      <w:r>
        <w:rPr>
          <w:rFonts w:hint="eastAsia" w:ascii="仿宋_GB2312" w:hAnsi="仿宋" w:eastAsia="仿宋_GB2312" w:cs="仿宋"/>
          <w:color w:val="3D3D3D"/>
          <w:sz w:val="32"/>
          <w:szCs w:val="32"/>
          <w:shd w:val="clear" w:color="auto" w:fill="FFFFFF"/>
        </w:rPr>
        <w:t>（2）质量指标：</w:t>
      </w:r>
      <w:r>
        <w:rPr>
          <w:rFonts w:hint="eastAsia" w:ascii="仿宋_GB2312" w:hAnsi="仿宋" w:eastAsia="仿宋_GB2312" w:cs="仿宋"/>
          <w:color w:val="3D3D3D"/>
          <w:sz w:val="32"/>
          <w:szCs w:val="32"/>
          <w:shd w:val="clear" w:color="auto" w:fill="FFFFFF"/>
          <w:lang w:eastAsia="zh-CN"/>
        </w:rPr>
        <w:t>提高农产品质量安全能力。</w:t>
      </w:r>
    </w:p>
    <w:p>
      <w:pPr>
        <w:pStyle w:val="7"/>
        <w:shd w:val="clear" w:color="auto" w:fill="FFFFFF"/>
        <w:snapToGrid w:val="0"/>
        <w:spacing w:before="0" w:beforeAutospacing="0" w:after="0" w:afterAutospacing="0" w:line="360" w:lineRule="auto"/>
        <w:ind w:firstLine="640" w:firstLineChars="200"/>
        <w:jc w:val="both"/>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2、效益指标完成情况分析。</w:t>
      </w:r>
    </w:p>
    <w:p>
      <w:pPr>
        <w:pStyle w:val="7"/>
        <w:shd w:val="clear" w:color="auto" w:fill="FFFFFF"/>
        <w:snapToGrid w:val="0"/>
        <w:spacing w:before="0" w:beforeAutospacing="0" w:after="0" w:afterAutospacing="0" w:line="360" w:lineRule="auto"/>
        <w:ind w:firstLine="320" w:firstLineChars="100"/>
        <w:jc w:val="both"/>
        <w:rPr>
          <w:rFonts w:hint="eastAsia" w:ascii="仿宋_GB2312" w:hAnsi="仿宋" w:eastAsia="仿宋_GB2312" w:cs="仿宋"/>
          <w:color w:val="3D3D3D"/>
          <w:sz w:val="32"/>
          <w:szCs w:val="32"/>
          <w:shd w:val="clear" w:color="auto" w:fill="FFFFFF"/>
          <w:lang w:eastAsia="zh-CN"/>
        </w:rPr>
      </w:pPr>
      <w:r>
        <w:rPr>
          <w:rFonts w:hint="eastAsia" w:ascii="仿宋_GB2312" w:hAnsi="仿宋" w:eastAsia="仿宋_GB2312" w:cs="仿宋"/>
          <w:color w:val="3D3D3D"/>
          <w:sz w:val="32"/>
          <w:szCs w:val="32"/>
          <w:shd w:val="clear" w:color="auto" w:fill="FFFFFF"/>
        </w:rPr>
        <w:t>（1）经济效益：</w:t>
      </w:r>
      <w:r>
        <w:rPr>
          <w:rFonts w:hint="eastAsia" w:ascii="仿宋_GB2312" w:hAnsi="仿宋" w:eastAsia="仿宋_GB2312" w:cs="仿宋"/>
          <w:color w:val="3D3D3D"/>
          <w:sz w:val="32"/>
          <w:szCs w:val="32"/>
          <w:shd w:val="clear" w:color="auto" w:fill="FFFFFF"/>
          <w:lang w:eastAsia="zh-CN"/>
        </w:rPr>
        <w:t>促进了农民收入水平的提高，为贫困家庭带来了收益；</w:t>
      </w:r>
    </w:p>
    <w:p>
      <w:pPr>
        <w:pStyle w:val="7"/>
        <w:shd w:val="clear" w:color="auto" w:fill="FFFFFF"/>
        <w:snapToGrid w:val="0"/>
        <w:spacing w:before="0" w:beforeAutospacing="0" w:after="0" w:afterAutospacing="0" w:line="360" w:lineRule="auto"/>
        <w:ind w:firstLine="320" w:firstLineChars="100"/>
        <w:jc w:val="both"/>
        <w:rPr>
          <w:rFonts w:hint="eastAsia" w:ascii="仿宋_GB2312" w:hAnsi="仿宋" w:eastAsia="仿宋_GB2312" w:cs="仿宋"/>
          <w:color w:val="3D3D3D"/>
          <w:sz w:val="32"/>
          <w:szCs w:val="32"/>
          <w:shd w:val="clear" w:color="auto" w:fill="FFFFFF"/>
          <w:lang w:val="en-US" w:eastAsia="zh-CN"/>
        </w:rPr>
      </w:pPr>
      <w:r>
        <w:rPr>
          <w:rFonts w:hint="eastAsia" w:ascii="仿宋_GB2312" w:hAnsi="仿宋" w:eastAsia="仿宋_GB2312" w:cs="仿宋"/>
          <w:color w:val="3D3D3D"/>
          <w:sz w:val="32"/>
          <w:szCs w:val="32"/>
          <w:shd w:val="clear" w:color="auto" w:fill="FFFFFF"/>
        </w:rPr>
        <w:t>（2）社会效益：</w:t>
      </w:r>
      <w:r>
        <w:rPr>
          <w:rFonts w:hint="eastAsia" w:ascii="仿宋_GB2312" w:hAnsi="仿宋" w:eastAsia="仿宋_GB2312" w:cs="仿宋"/>
          <w:color w:val="3D3D3D"/>
          <w:sz w:val="32"/>
          <w:szCs w:val="32"/>
          <w:shd w:val="clear" w:color="auto" w:fill="FFFFFF"/>
          <w:lang w:eastAsia="zh-CN"/>
        </w:rPr>
        <w:t>建立集约化程度较高的现代农业产业体系，根据湖区、山区不同特点，推动种养业区域化布局，优化产业空间布局;延伸产业链条，推动农产品精深加工;加大品牌整合与保护力度，推动同类品牌向强势品牌集聚;主导产业成为湖南有影响力的农业产业基地，推动优质产品向优势产业发展，若干特色产业逐步显现，产业分工合理;提高一二三产业融合度，拥有 2</w:t>
      </w:r>
      <w:r>
        <w:rPr>
          <w:rFonts w:hint="eastAsia" w:ascii="仿宋_GB2312" w:hAnsi="仿宋" w:eastAsia="仿宋_GB2312" w:cs="仿宋"/>
          <w:color w:val="3D3D3D"/>
          <w:sz w:val="32"/>
          <w:szCs w:val="32"/>
          <w:shd w:val="clear" w:color="auto" w:fill="FFFFFF"/>
          <w:lang w:val="en-US" w:eastAsia="zh-CN"/>
        </w:rPr>
        <w:t>-</w:t>
      </w:r>
      <w:r>
        <w:rPr>
          <w:rFonts w:hint="eastAsia" w:ascii="仿宋_GB2312" w:hAnsi="仿宋" w:eastAsia="仿宋_GB2312" w:cs="仿宋"/>
          <w:color w:val="3D3D3D"/>
          <w:sz w:val="32"/>
          <w:szCs w:val="32"/>
          <w:shd w:val="clear" w:color="auto" w:fill="FFFFFF"/>
          <w:lang w:eastAsia="zh-CN"/>
        </w:rPr>
        <w:t>3个具有国内竞争力的特色产品，打造赫山地理标志品牌。</w:t>
      </w:r>
    </w:p>
    <w:p>
      <w:pPr>
        <w:ind w:firstLine="640" w:firstLineChars="200"/>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3、满意度：群众满意度100%。</w:t>
      </w:r>
    </w:p>
    <w:p>
      <w:pPr>
        <w:ind w:firstLine="640" w:firstLineChars="200"/>
        <w:rPr>
          <w:rFonts w:hint="eastAsia" w:eastAsia="黑体" w:cs="黑体"/>
          <w:sz w:val="32"/>
          <w:szCs w:val="32"/>
          <w:lang w:val="en-US" w:eastAsia="zh-CN"/>
        </w:rPr>
      </w:pPr>
      <w:r>
        <w:rPr>
          <w:rFonts w:hint="eastAsia" w:eastAsia="黑体" w:cs="黑体"/>
          <w:sz w:val="32"/>
          <w:szCs w:val="32"/>
          <w:lang w:val="en-US" w:eastAsia="zh-CN"/>
        </w:rPr>
        <w:t>五、主要经验及做法、存在的问题及原因分析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项目实施中我们的原则：一是坚持服务小农户。把服务小农户作为政策支持的主要对象，引领小规模分散经营农户走向现代农业发展轨道，着力解决小农户的规模化生产难题。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二是坚持推进服务带动型规模经营。以支持农业生产托管为重点，充分尊重小农户独立经营主体地位，发挥村两委、集体经济组织的组织动员作用，推进小农户、家庭农场等农业适度规模经营主体，通过合作和联合实现耕地集中连片，统一接受耕、育、插、防、收等农业生产社会化服务，发展服务型规模经营。</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三是坚持服务粮食生产。把提升水稻生产效益作为支持开展农业生产社会化服务创新的目标，转变粮食生产方式，提高粮食生产综合效益和竞争力。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四是坚持以市场为主导。充分发挥市场配置资源的决定性作用，财政补助重在引导培育市场，领域集中在生产社会化服务的关键和薄弱环节；补助标准不能影响服务价格形成，不能干扰农业服务市场正常运行，引导农业生产社会化服务创新工作长期健康发展。</w:t>
      </w:r>
    </w:p>
    <w:p>
      <w:pPr>
        <w:pStyle w:val="2"/>
        <w:rPr>
          <w:rFonts w:hint="eastAsia"/>
          <w:lang w:val="en-US" w:eastAsia="zh-CN"/>
        </w:rPr>
      </w:pPr>
    </w:p>
    <w:p>
      <w:pPr>
        <w:numPr>
          <w:ilvl w:val="0"/>
          <w:numId w:val="4"/>
        </w:numPr>
        <w:spacing w:line="480" w:lineRule="exact"/>
        <w:ind w:firstLine="640" w:firstLineChars="200"/>
        <w:rPr>
          <w:rFonts w:hint="eastAsia" w:eastAsia="黑体" w:cs="黑体"/>
          <w:sz w:val="32"/>
          <w:szCs w:val="32"/>
        </w:rPr>
      </w:pPr>
      <w:r>
        <w:rPr>
          <w:rFonts w:hint="eastAsia" w:eastAsia="黑体" w:cs="黑体"/>
          <w:sz w:val="32"/>
          <w:szCs w:val="32"/>
        </w:rPr>
        <w:t>有关建议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bCs w:val="0"/>
          <w:kern w:val="2"/>
          <w:sz w:val="32"/>
          <w:szCs w:val="32"/>
          <w:lang w:val="en-US" w:eastAsia="zh-CN" w:bidi="ar-SA"/>
        </w:rPr>
      </w:pPr>
      <w:r>
        <w:rPr>
          <w:rFonts w:hint="eastAsia" w:ascii="仿宋" w:hAnsi="仿宋" w:eastAsia="仿宋" w:cs="仿宋"/>
          <w:bCs w:val="0"/>
          <w:kern w:val="2"/>
          <w:sz w:val="32"/>
          <w:szCs w:val="32"/>
          <w:lang w:val="en-US" w:eastAsia="zh-CN" w:bidi="ar-SA"/>
        </w:rPr>
        <w:t>1、加大对新型农业经营主体的扶持力度，提升新型农业经营主体的社会化服务能力，助力乡村振兴。</w:t>
      </w:r>
    </w:p>
    <w:p>
      <w:pPr>
        <w:keepNext w:val="0"/>
        <w:keepLines w:val="0"/>
        <w:pageBreakBefore w:val="0"/>
        <w:widowControl w:val="0"/>
        <w:kinsoku/>
        <w:wordWrap/>
        <w:overflowPunct/>
        <w:topLinePunct w:val="0"/>
        <w:autoSpaceDE/>
        <w:autoSpaceDN/>
        <w:bidi w:val="0"/>
        <w:adjustRightInd/>
        <w:snapToGrid/>
        <w:ind w:firstLine="640" w:firstLineChars="200"/>
        <w:textAlignment w:val="auto"/>
      </w:pPr>
      <w:r>
        <w:rPr>
          <w:rFonts w:hint="eastAsia" w:ascii="仿宋" w:hAnsi="仿宋" w:eastAsia="仿宋" w:cs="仿宋"/>
          <w:bCs w:val="0"/>
          <w:kern w:val="2"/>
          <w:sz w:val="32"/>
          <w:szCs w:val="32"/>
          <w:lang w:val="en-US" w:eastAsia="zh-CN" w:bidi="ar-SA"/>
        </w:rPr>
        <w:t>2、加强政策宣传力度，使得新型农业经营主体及时知道政策方向和内容。</w:t>
      </w:r>
    </w:p>
    <w:p>
      <w:pPr>
        <w:spacing w:line="480" w:lineRule="exact"/>
        <w:ind w:firstLine="640" w:firstLineChars="200"/>
        <w:rPr>
          <w:rFonts w:hint="eastAsia"/>
          <w:lang w:eastAsia="zh-CN"/>
        </w:rPr>
      </w:pPr>
      <w:r>
        <w:rPr>
          <w:rFonts w:hint="eastAsia" w:eastAsia="黑体" w:cs="黑体"/>
          <w:sz w:val="32"/>
          <w:szCs w:val="32"/>
        </w:rPr>
        <w:t>七、其他需要说明的</w:t>
      </w:r>
      <w:r>
        <w:rPr>
          <w:rFonts w:hint="eastAsia" w:eastAsia="黑体" w:cs="黑体"/>
          <w:sz w:val="32"/>
          <w:szCs w:val="32"/>
          <w:lang w:eastAsia="zh-CN"/>
        </w:rPr>
        <w:t>问题</w:t>
      </w:r>
    </w:p>
    <w:p>
      <w:pPr>
        <w:pStyle w:val="4"/>
        <w:rPr>
          <w:rFonts w:hint="eastAsia" w:eastAsia="仿宋_GB2312" w:cs="仿宋_GB2312"/>
          <w:kern w:val="2"/>
          <w:sz w:val="32"/>
          <w:szCs w:val="32"/>
          <w:lang w:val="en-US" w:eastAsia="zh-CN" w:bidi="ar-SA"/>
        </w:rPr>
      </w:pPr>
      <w:r>
        <w:rPr>
          <w:rFonts w:hint="eastAsia" w:ascii="Times New Roman" w:hAnsi="Times New Roman" w:eastAsia="仿宋_GB2312" w:cs="仿宋_GB2312"/>
          <w:kern w:val="2"/>
          <w:sz w:val="32"/>
          <w:szCs w:val="32"/>
          <w:lang w:val="en-US" w:eastAsia="zh-CN" w:bidi="ar-SA"/>
        </w:rPr>
        <w:t>无其他需要说明的问题</w:t>
      </w:r>
      <w:r>
        <w:rPr>
          <w:rFonts w:hint="eastAsia" w:eastAsia="仿宋_GB2312" w:cs="仿宋_GB2312"/>
          <w:kern w:val="2"/>
          <w:sz w:val="32"/>
          <w:szCs w:val="32"/>
          <w:lang w:val="en-US" w:eastAsia="zh-CN" w:bidi="ar-SA"/>
        </w:rPr>
        <w:t>。</w:t>
      </w:r>
    </w:p>
    <w:p>
      <w:pPr>
        <w:pStyle w:val="4"/>
        <w:rPr>
          <w:rFonts w:hint="eastAsia" w:eastAsia="仿宋_GB2312" w:cs="仿宋_GB2312"/>
          <w:kern w:val="2"/>
          <w:sz w:val="32"/>
          <w:szCs w:val="32"/>
          <w:lang w:val="en-US" w:eastAsia="zh-CN" w:bidi="ar-SA"/>
        </w:rPr>
      </w:pPr>
    </w:p>
    <w:p>
      <w:pPr>
        <w:pStyle w:val="4"/>
        <w:rPr>
          <w:rFonts w:hint="eastAsia" w:eastAsia="仿宋_GB2312" w:cs="仿宋_GB2312"/>
          <w:kern w:val="2"/>
          <w:sz w:val="32"/>
          <w:szCs w:val="32"/>
          <w:lang w:val="en-US" w:eastAsia="zh-CN" w:bidi="ar-SA"/>
        </w:rPr>
      </w:pPr>
    </w:p>
    <w:p>
      <w:pPr>
        <w:pStyle w:val="4"/>
        <w:rPr>
          <w:rFonts w:hint="eastAsia" w:eastAsia="仿宋_GB2312" w:cs="仿宋_GB2312"/>
          <w:kern w:val="2"/>
          <w:sz w:val="32"/>
          <w:szCs w:val="32"/>
          <w:lang w:val="en-US" w:eastAsia="zh-CN" w:bidi="ar-SA"/>
        </w:rPr>
      </w:pPr>
    </w:p>
    <w:p>
      <w:pPr>
        <w:pStyle w:val="4"/>
        <w:jc w:val="right"/>
        <w:rPr>
          <w:rFonts w:hint="eastAsia" w:eastAsia="仿宋_GB2312" w:cs="仿宋_GB2312"/>
          <w:kern w:val="2"/>
          <w:sz w:val="32"/>
          <w:szCs w:val="32"/>
          <w:lang w:val="en-US" w:eastAsia="zh-CN" w:bidi="ar-SA"/>
        </w:rPr>
      </w:pPr>
      <w:r>
        <w:rPr>
          <w:rFonts w:hint="eastAsia" w:eastAsia="仿宋_GB2312" w:cs="仿宋_GB2312"/>
          <w:kern w:val="2"/>
          <w:sz w:val="32"/>
          <w:szCs w:val="32"/>
          <w:lang w:val="en-US" w:eastAsia="zh-CN" w:bidi="ar-SA"/>
        </w:rPr>
        <w:t>益阳市赫山区农村经济经营服务站</w:t>
      </w:r>
    </w:p>
    <w:p>
      <w:pPr>
        <w:pStyle w:val="4"/>
        <w:jc w:val="center"/>
        <w:rPr>
          <w:rFonts w:hint="default" w:eastAsia="仿宋_GB2312" w:cs="仿宋_GB2312"/>
          <w:kern w:val="2"/>
          <w:sz w:val="32"/>
          <w:szCs w:val="32"/>
          <w:lang w:val="en-US" w:eastAsia="zh-CN" w:bidi="ar-SA"/>
        </w:rPr>
        <w:sectPr>
          <w:pgSz w:w="11906" w:h="16838"/>
          <w:pgMar w:top="1440" w:right="1800" w:bottom="1440" w:left="1800" w:header="851" w:footer="992" w:gutter="0"/>
          <w:cols w:space="425" w:num="1"/>
          <w:docGrid w:type="lines" w:linePitch="312" w:charSpace="0"/>
        </w:sectPr>
      </w:pPr>
      <w:r>
        <w:rPr>
          <w:rFonts w:hint="eastAsia" w:eastAsia="仿宋_GB2312" w:cs="仿宋_GB2312"/>
          <w:kern w:val="2"/>
          <w:sz w:val="32"/>
          <w:szCs w:val="32"/>
          <w:lang w:val="en-US" w:eastAsia="zh-CN" w:bidi="ar-SA"/>
        </w:rPr>
        <w:t xml:space="preserve">                 2023年6月12日</w:t>
      </w:r>
    </w:p>
    <w:p>
      <w:pPr>
        <w:spacing w:line="240" w:lineRule="auto"/>
        <w:rPr>
          <w:rFonts w:ascii="仿宋_GB2312" w:eastAsia="仿宋_GB231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3F0FAE"/>
    <w:multiLevelType w:val="singleLevel"/>
    <w:tmpl w:val="E03F0FAE"/>
    <w:lvl w:ilvl="0" w:tentative="0">
      <w:start w:val="6"/>
      <w:numFmt w:val="chineseCounting"/>
      <w:suff w:val="nothing"/>
      <w:lvlText w:val="%1、"/>
      <w:lvlJc w:val="left"/>
      <w:rPr>
        <w:rFonts w:hint="eastAsia"/>
      </w:rPr>
    </w:lvl>
  </w:abstractNum>
  <w:abstractNum w:abstractNumId="1">
    <w:nsid w:val="E276AF69"/>
    <w:multiLevelType w:val="singleLevel"/>
    <w:tmpl w:val="E276AF69"/>
    <w:lvl w:ilvl="0" w:tentative="0">
      <w:start w:val="2"/>
      <w:numFmt w:val="chineseCounting"/>
      <w:suff w:val="nothing"/>
      <w:lvlText w:val="%1、"/>
      <w:lvlJc w:val="left"/>
      <w:rPr>
        <w:rFonts w:hint="eastAsia"/>
      </w:rPr>
    </w:lvl>
  </w:abstractNum>
  <w:abstractNum w:abstractNumId="2">
    <w:nsid w:val="0C2A2726"/>
    <w:multiLevelType w:val="singleLevel"/>
    <w:tmpl w:val="0C2A2726"/>
    <w:lvl w:ilvl="0" w:tentative="0">
      <w:start w:val="2"/>
      <w:numFmt w:val="chineseCounting"/>
      <w:suff w:val="nothing"/>
      <w:lvlText w:val="（%1）"/>
      <w:lvlJc w:val="left"/>
      <w:rPr>
        <w:rFonts w:hint="eastAsia"/>
      </w:rPr>
    </w:lvl>
  </w:abstractNum>
  <w:abstractNum w:abstractNumId="3">
    <w:nsid w:val="5A17E79D"/>
    <w:multiLevelType w:val="singleLevel"/>
    <w:tmpl w:val="5A17E79D"/>
    <w:lvl w:ilvl="0" w:tentative="0">
      <w:start w:val="1"/>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5YjAwODYwYzllYzZlM2Y4NWMxZGEyNTE4Y2VjMmEifQ=="/>
  </w:docVars>
  <w:rsids>
    <w:rsidRoot w:val="00000000"/>
    <w:rsid w:val="011E52C2"/>
    <w:rsid w:val="082737A3"/>
    <w:rsid w:val="093C05FF"/>
    <w:rsid w:val="144E09DA"/>
    <w:rsid w:val="19EC0A79"/>
    <w:rsid w:val="1A3A61B1"/>
    <w:rsid w:val="1A9A04D5"/>
    <w:rsid w:val="1DCD471E"/>
    <w:rsid w:val="1FE12702"/>
    <w:rsid w:val="204C2272"/>
    <w:rsid w:val="23875D7D"/>
    <w:rsid w:val="36005467"/>
    <w:rsid w:val="38530D29"/>
    <w:rsid w:val="3B366CEA"/>
    <w:rsid w:val="5D33100E"/>
    <w:rsid w:val="5E7457CA"/>
    <w:rsid w:val="6D812CFD"/>
    <w:rsid w:val="707B290A"/>
    <w:rsid w:val="74645C29"/>
    <w:rsid w:val="7A6453A2"/>
    <w:rsid w:val="7F1430D0"/>
    <w:rsid w:val="7F1D28C3"/>
    <w:rsid w:val="7FDE7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semiHidden/>
    <w:unhideWhenUsed/>
    <w:qFormat/>
    <w:uiPriority w:val="0"/>
    <w:pPr>
      <w:outlineLvl w:val="1"/>
    </w:pPr>
    <w:rPr>
      <w:rFonts w:eastAsia="楷体"/>
      <w:bCs/>
      <w:sz w:val="36"/>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paragraph" w:customStyle="1" w:styleId="11">
    <w:name w:val="BodyText1I"/>
    <w:basedOn w:val="1"/>
    <w:qFormat/>
    <w:uiPriority w:val="99"/>
    <w:pPr>
      <w:snapToGrid w:val="0"/>
      <w:spacing w:line="360" w:lineRule="auto"/>
      <w:ind w:firstLine="420" w:firstLineChars="10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5603</Words>
  <Characters>5817</Characters>
  <Lines>0</Lines>
  <Paragraphs>0</Paragraphs>
  <TotalTime>2</TotalTime>
  <ScaleCrop>false</ScaleCrop>
  <LinksUpToDate>false</LinksUpToDate>
  <CharactersWithSpaces>7597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2023-06-08T03:41:00Z</dcterms:created>
  <dc:creator>Administrator</dc:creator>
  <cp:lastModifiedBy>Administrator</cp:lastModifiedBy>
  <dcterms:modified xsi:type="dcterms:W3CDTF">2023-06-13T00:50:44Z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D509D6C20320475085459B346AB6CB81_12</vt:lpwstr>
  </property>
</Properties>
</file>