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750" w:after="450"/>
        <w:jc w:val="center"/>
        <w:outlineLvl w:val="1"/>
        <w:rPr>
          <w:rFonts w:ascii="方正小标宋简体" w:hAnsi="Arial" w:eastAsia="方正小标宋简体" w:cs="Arial"/>
          <w:b/>
          <w:bCs/>
          <w:kern w:val="36"/>
          <w:sz w:val="44"/>
          <w:szCs w:val="44"/>
        </w:rPr>
      </w:pPr>
      <w:r>
        <w:rPr>
          <w:rFonts w:hint="eastAsia" w:ascii="方正小标宋简体" w:hAnsi="Arial" w:eastAsia="方正小标宋简体" w:cs="Arial"/>
          <w:b/>
          <w:bCs/>
          <w:kern w:val="36"/>
          <w:sz w:val="44"/>
          <w:szCs w:val="44"/>
        </w:rPr>
        <w:t>益阳市赫山区201</w:t>
      </w:r>
      <w:r>
        <w:rPr>
          <w:rFonts w:hint="eastAsia" w:ascii="方正小标宋简体" w:hAnsi="Arial" w:eastAsia="方正小标宋简体" w:cs="Arial"/>
          <w:b/>
          <w:bCs/>
          <w:kern w:val="36"/>
          <w:sz w:val="44"/>
          <w:szCs w:val="44"/>
          <w:lang w:val="en-US" w:eastAsia="zh-CN"/>
        </w:rPr>
        <w:t>9</w:t>
      </w:r>
      <w:r>
        <w:rPr>
          <w:rFonts w:hint="eastAsia" w:ascii="方正小标宋简体" w:hAnsi="Arial" w:eastAsia="方正小标宋简体" w:cs="Arial"/>
          <w:b/>
          <w:bCs/>
          <w:kern w:val="36"/>
          <w:sz w:val="44"/>
          <w:szCs w:val="44"/>
        </w:rPr>
        <w:t>年国民经济和社会发展统计公报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bCs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sz w:val="32"/>
          <w:szCs w:val="32"/>
        </w:rPr>
        <w:t>201</w:t>
      </w:r>
      <w:r>
        <w:rPr>
          <w:rFonts w:ascii="Times New Roman" w:hAnsi="Times New Roman" w:eastAsia="仿宋" w:cs="仿宋"/>
          <w:bCs/>
          <w:sz w:val="32"/>
          <w:szCs w:val="32"/>
        </w:rPr>
        <w:t>9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年，是推进</w:t>
      </w:r>
      <w:r>
        <w:rPr>
          <w:rFonts w:ascii="Times New Roman" w:hAnsi="Times New Roman" w:eastAsia="仿宋" w:cs="仿宋"/>
          <w:bCs/>
          <w:sz w:val="32"/>
          <w:szCs w:val="32"/>
        </w:rPr>
        <w:t>三大攻坚战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、</w:t>
      </w:r>
      <w:r>
        <w:rPr>
          <w:rFonts w:ascii="Times New Roman" w:hAnsi="Times New Roman" w:eastAsia="仿宋" w:cs="仿宋"/>
          <w:bCs/>
          <w:sz w:val="32"/>
          <w:szCs w:val="32"/>
        </w:rPr>
        <w:t>推动高质量发展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的关键之年。面对</w:t>
      </w:r>
      <w:r>
        <w:rPr>
          <w:rFonts w:hint="eastAsia" w:ascii="Times New Roman" w:hAnsi="Times New Roman" w:eastAsia="仿宋" w:cs="仿宋"/>
          <w:bCs/>
          <w:sz w:val="32"/>
          <w:szCs w:val="32"/>
          <w:lang w:val="en-US" w:eastAsia="zh-CN"/>
        </w:rPr>
        <w:t>持续加大的经济下行压力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和艰巨的</w:t>
      </w:r>
      <w:r>
        <w:rPr>
          <w:rFonts w:hint="eastAsia" w:ascii="Times New Roman" w:hAnsi="Times New Roman" w:eastAsia="仿宋" w:cs="仿宋"/>
          <w:bCs/>
          <w:sz w:val="32"/>
          <w:szCs w:val="32"/>
          <w:lang w:val="en-US" w:eastAsia="zh-CN"/>
        </w:rPr>
        <w:t>改革发展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任务，我们以习近平新时代中国特色社会主义思想为指引，</w:t>
      </w:r>
      <w:r>
        <w:rPr>
          <w:rFonts w:hint="eastAsia" w:ascii="Times New Roman" w:hAnsi="Times New Roman" w:eastAsia="仿宋" w:cs="仿宋"/>
          <w:bCs/>
          <w:sz w:val="32"/>
          <w:szCs w:val="32"/>
          <w:lang w:val="en-US" w:eastAsia="zh-CN"/>
        </w:rPr>
        <w:t>坚决落实中央、省委、市委各项决策部署，秉承干在实处、走在前列之精神，在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区委</w:t>
      </w:r>
      <w:r>
        <w:rPr>
          <w:rFonts w:hint="eastAsia" w:ascii="Times New Roman" w:hAnsi="Times New Roman" w:eastAsia="仿宋" w:cs="仿宋"/>
          <w:bCs/>
          <w:sz w:val="32"/>
          <w:szCs w:val="32"/>
          <w:lang w:val="en-US" w:eastAsia="zh-CN"/>
        </w:rPr>
        <w:t>区政府的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坚强领导下，</w:t>
      </w:r>
      <w:r>
        <w:rPr>
          <w:rFonts w:hint="eastAsia" w:ascii="Times New Roman" w:hAnsi="Times New Roman" w:eastAsia="仿宋" w:cs="仿宋"/>
          <w:bCs/>
          <w:sz w:val="32"/>
          <w:szCs w:val="32"/>
          <w:lang w:val="en-US" w:eastAsia="zh-CN"/>
        </w:rPr>
        <w:t>形成了奋发向上的强大合力，全区经济社会发展呈现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稳中</w:t>
      </w:r>
      <w:r>
        <w:rPr>
          <w:rFonts w:hint="eastAsia" w:ascii="Times New Roman" w:hAnsi="Times New Roman" w:eastAsia="仿宋" w:cs="仿宋"/>
          <w:bCs/>
          <w:sz w:val="32"/>
          <w:szCs w:val="32"/>
          <w:lang w:val="en-US" w:eastAsia="zh-CN"/>
        </w:rPr>
        <w:t>有进、进中向好、高质量发展的良好态势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，向新中国成立70周年献上</w:t>
      </w:r>
      <w:r>
        <w:rPr>
          <w:rFonts w:hint="eastAsia" w:ascii="Times New Roman" w:hAnsi="Times New Roman" w:eastAsia="仿宋" w:cs="仿宋"/>
          <w:bCs/>
          <w:sz w:val="32"/>
          <w:szCs w:val="32"/>
          <w:lang w:val="en-US" w:eastAsia="zh-CN"/>
        </w:rPr>
        <w:t>了满意的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“赫山答卷”。</w:t>
      </w:r>
    </w:p>
    <w:p>
      <w:pPr>
        <w:widowControl/>
        <w:spacing w:before="100" w:beforeAutospacing="1" w:after="100" w:afterAutospacing="1" w:line="450" w:lineRule="atLeast"/>
        <w:jc w:val="center"/>
        <w:rPr>
          <w:rFonts w:ascii="仿宋" w:hAnsi="仿宋" w:eastAsia="仿宋" w:cs="Arial"/>
          <w:b/>
          <w:color w:val="474747"/>
          <w:kern w:val="0"/>
          <w:sz w:val="32"/>
          <w:szCs w:val="32"/>
        </w:rPr>
      </w:pPr>
      <w:r>
        <w:rPr>
          <w:rFonts w:hint="eastAsia" w:ascii="仿宋" w:hAnsi="仿宋" w:eastAsia="仿宋" w:cs="Arial"/>
          <w:b/>
          <w:color w:val="474747"/>
          <w:kern w:val="0"/>
          <w:sz w:val="32"/>
          <w:szCs w:val="32"/>
        </w:rPr>
        <w:t xml:space="preserve">一、综 </w:t>
      </w:r>
      <w:r>
        <w:rPr>
          <w:rFonts w:hint="eastAsia" w:ascii="仿宋" w:hAnsi="仿宋" w:eastAsia="仿宋" w:cs="Arial"/>
          <w:b/>
          <w:color w:val="474747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Arial"/>
          <w:b/>
          <w:color w:val="474747"/>
          <w:kern w:val="0"/>
          <w:sz w:val="32"/>
          <w:szCs w:val="32"/>
        </w:rPr>
        <w:t>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50" w:lineRule="atLeast"/>
        <w:ind w:firstLine="630"/>
        <w:jc w:val="left"/>
        <w:textAlignment w:val="auto"/>
        <w:rPr>
          <w:rStyle w:val="12"/>
          <w:rFonts w:ascii="Times New Roman" w:hAnsi="Times New Roman" w:eastAsia="仿宋" w:cs="仿宋"/>
          <w:sz w:val="32"/>
          <w:szCs w:val="32"/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经济平稳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良性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发展。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全区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实现地区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生产总值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394.89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亿元，增长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7.5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%。其中第一产业增加值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42.28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亿元，增长3.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%；第二产业增加值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195.44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亿元，增长8.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%；第三产业增加值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157.17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亿元，增长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6.6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%。三次产业结构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比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由上年10.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∶4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9.5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∶4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0.2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调整为10.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∶4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9.5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∶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39.8</w:t>
      </w:r>
      <w:r>
        <w:rPr>
          <w:rFonts w:hint="eastAsia" w:ascii="仿宋" w:hAnsi="仿宋" w:eastAsia="仿宋" w:cs="Arial"/>
          <w:color w:val="474747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ascii="Times New Roman" w:hAnsi="Times New Roman" w:eastAsia="仿宋" w:cs="仿宋_GB2312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社会治理更加安民。</w:t>
      </w:r>
      <w:r>
        <w:rPr>
          <w:rFonts w:hint="eastAsia" w:ascii="Times New Roman" w:hAnsi="Times New Roman" w:eastAsia="仿宋" w:cs="仿宋_GB2312"/>
          <w:sz w:val="32"/>
          <w:szCs w:val="32"/>
        </w:rPr>
        <w:t>债务、金融、安全、稳定等风险统筹防控。区城投、龙岭投市场化转型到位，政府性债务规模适度、有序化解。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粮食安全责任制全面落实，</w:t>
      </w:r>
      <w:r>
        <w:rPr>
          <w:rFonts w:hint="eastAsia" w:ascii="Times New Roman" w:hAnsi="Times New Roman" w:eastAsia="仿宋" w:cs="仿宋_GB2312"/>
          <w:sz w:val="32"/>
          <w:szCs w:val="32"/>
        </w:rPr>
        <w:t>非洲猪瘟疫情有效防控，农村集中供水水质检测实现常态化，</w:t>
      </w:r>
      <w:r>
        <w:rPr>
          <w:rFonts w:hint="eastAsia" w:ascii="Times New Roman" w:hAnsi="Times New Roman" w:eastAsia="仿宋" w:cs="仿宋"/>
          <w:sz w:val="32"/>
          <w:szCs w:val="32"/>
        </w:rPr>
        <w:t>食品安全示范创建有序推进。</w:t>
      </w:r>
      <w:r>
        <w:rPr>
          <w:rFonts w:hint="eastAsia" w:ascii="Times New Roman" w:hAnsi="Times New Roman" w:eastAsia="仿宋" w:cs="仿宋_GB2312"/>
          <w:sz w:val="32"/>
          <w:szCs w:val="32"/>
        </w:rPr>
        <w:t>排查调解各类矛盾纠纷</w:t>
      </w:r>
      <w:r>
        <w:rPr>
          <w:rFonts w:ascii="Times New Roman" w:hAnsi="Times New Roman" w:eastAsia="仿宋" w:cs="仿宋_GB2312"/>
          <w:sz w:val="32"/>
          <w:szCs w:val="32"/>
        </w:rPr>
        <w:t>6755起</w:t>
      </w:r>
      <w:r>
        <w:rPr>
          <w:rFonts w:hint="eastAsia" w:ascii="Times New Roman" w:hAnsi="Times New Roman" w:eastAsia="仿宋" w:cs="仿宋_GB2312"/>
          <w:sz w:val="32"/>
          <w:szCs w:val="32"/>
        </w:rPr>
        <w:t>，办理法律援助案4</w:t>
      </w:r>
      <w:r>
        <w:rPr>
          <w:rFonts w:ascii="Times New Roman" w:hAnsi="Times New Roman" w:eastAsia="仿宋" w:cs="仿宋_GB2312"/>
          <w:sz w:val="32"/>
          <w:szCs w:val="32"/>
        </w:rPr>
        <w:t>45件</w:t>
      </w:r>
      <w:r>
        <w:rPr>
          <w:rFonts w:hint="eastAsia" w:ascii="Times New Roman" w:hAnsi="Times New Roman" w:eastAsia="仿宋" w:cs="仿宋_GB2312"/>
          <w:sz w:val="32"/>
          <w:szCs w:val="32"/>
        </w:rPr>
        <w:t>，化解重大信访积案6</w:t>
      </w:r>
      <w:r>
        <w:rPr>
          <w:rFonts w:ascii="Times New Roman" w:hAnsi="Times New Roman" w:eastAsia="仿宋" w:cs="仿宋_GB2312"/>
          <w:sz w:val="32"/>
          <w:szCs w:val="32"/>
        </w:rPr>
        <w:t>7件</w:t>
      </w:r>
      <w:r>
        <w:rPr>
          <w:rFonts w:hint="eastAsia" w:ascii="Times New Roman" w:hAnsi="Times New Roman" w:eastAsia="仿宋" w:cs="仿宋_GB2312"/>
          <w:sz w:val="32"/>
          <w:szCs w:val="32"/>
        </w:rPr>
        <w:t>。</w:t>
      </w:r>
      <w:r>
        <w:rPr>
          <w:rFonts w:hint="eastAsia" w:ascii="Times New Roman" w:hAnsi="Times New Roman" w:eastAsia="仿宋" w:cs="仿宋"/>
          <w:sz w:val="32"/>
          <w:szCs w:val="32"/>
        </w:rPr>
        <w:t>配备村（社区）辅警170</w:t>
      </w:r>
      <w:r>
        <w:rPr>
          <w:rFonts w:ascii="Times New Roman" w:hAnsi="Times New Roman" w:eastAsia="仿宋" w:cs="仿宋"/>
          <w:sz w:val="32"/>
          <w:szCs w:val="32"/>
        </w:rPr>
        <w:t>人</w:t>
      </w:r>
      <w:r>
        <w:rPr>
          <w:rFonts w:hint="eastAsia" w:ascii="Times New Roman" w:hAnsi="Times New Roman" w:eastAsia="仿宋" w:cs="仿宋"/>
          <w:sz w:val="32"/>
          <w:szCs w:val="32"/>
        </w:rPr>
        <w:t>，建成</w:t>
      </w:r>
      <w:r>
        <w:rPr>
          <w:rFonts w:ascii="Times New Roman" w:hAnsi="Times New Roman" w:eastAsia="仿宋" w:cs="仿宋"/>
          <w:sz w:val="32"/>
          <w:szCs w:val="32"/>
        </w:rPr>
        <w:t>城市快警平台</w:t>
      </w:r>
      <w:r>
        <w:rPr>
          <w:rFonts w:hint="eastAsia" w:ascii="Times New Roman" w:hAnsi="Times New Roman" w:eastAsia="仿宋" w:cs="仿宋"/>
          <w:sz w:val="32"/>
          <w:szCs w:val="32"/>
        </w:rPr>
        <w:t>4个。扫黑除恶专项斗争纵深推进，</w:t>
      </w:r>
      <w:r>
        <w:rPr>
          <w:rFonts w:hint="eastAsia" w:ascii="Times New Roman" w:hAnsi="Times New Roman" w:eastAsia="仿宋" w:cs="仿宋_GB2312"/>
          <w:sz w:val="32"/>
          <w:szCs w:val="32"/>
        </w:rPr>
        <w:t>宗教领域突出问题有</w:t>
      </w:r>
      <w:r>
        <w:rPr>
          <w:rFonts w:hint="eastAsia" w:ascii="Times New Roman" w:hAnsi="Times New Roman" w:eastAsia="仿宋" w:cs="仿宋_GB2312"/>
          <w:sz w:val="32"/>
          <w:szCs w:val="32"/>
          <w:lang w:val="en-US" w:eastAsia="zh-CN"/>
        </w:rPr>
        <w:t>效</w:t>
      </w:r>
      <w:r>
        <w:rPr>
          <w:rFonts w:hint="eastAsia" w:ascii="Times New Roman" w:hAnsi="Times New Roman" w:eastAsia="仿宋" w:cs="仿宋_GB2312"/>
          <w:sz w:val="32"/>
          <w:szCs w:val="32"/>
        </w:rPr>
        <w:t>整改，社区矫正扎实开展，非法集资陈年积案全面化解，</w:t>
      </w:r>
      <w:r>
        <w:rPr>
          <w:rFonts w:ascii="Times New Roman" w:hAnsi="Times New Roman" w:eastAsia="仿宋" w:cs="仿宋_GB2312"/>
          <w:sz w:val="32"/>
          <w:szCs w:val="32"/>
        </w:rPr>
        <w:t>城区资管委整顿规范</w:t>
      </w:r>
      <w:r>
        <w:rPr>
          <w:rFonts w:hint="eastAsia" w:ascii="Times New Roman" w:hAnsi="Times New Roman" w:eastAsia="仿宋" w:cs="仿宋_GB2312"/>
          <w:sz w:val="32"/>
          <w:szCs w:val="32"/>
        </w:rPr>
        <w:t>，安全隐患闭环机制严格落实。</w:t>
      </w:r>
      <w:r>
        <w:rPr>
          <w:rFonts w:hint="eastAsia" w:ascii="Times New Roman" w:hAnsi="Times New Roman" w:eastAsia="仿宋" w:cs="Times New Roman"/>
          <w:sz w:val="32"/>
          <w:szCs w:val="32"/>
        </w:rPr>
        <w:t>农村公安派出所兼管交通新模式全力推进</w:t>
      </w:r>
      <w:r>
        <w:rPr>
          <w:rFonts w:hint="eastAsia" w:ascii="Times New Roman" w:hAnsi="Times New Roman" w:eastAsia="仿宋" w:cs="仿宋_GB2312"/>
          <w:sz w:val="32"/>
          <w:szCs w:val="32"/>
        </w:rPr>
        <w:t>，治超工作和城区电动车整治成效显著。</w:t>
      </w:r>
      <w:r>
        <w:rPr>
          <w:rFonts w:ascii="Times New Roman" w:hAnsi="Times New Roman" w:eastAsia="仿宋" w:cs="仿宋_GB2312"/>
          <w:sz w:val="32"/>
          <w:szCs w:val="32"/>
        </w:rPr>
        <w:t>实施道路安防工程</w:t>
      </w:r>
      <w:r>
        <w:rPr>
          <w:rFonts w:hint="eastAsia" w:ascii="Times New Roman" w:hAnsi="Times New Roman" w:eastAsia="仿宋" w:cs="仿宋_GB2312"/>
          <w:sz w:val="32"/>
          <w:szCs w:val="32"/>
        </w:rPr>
        <w:t>7</w:t>
      </w:r>
      <w:r>
        <w:rPr>
          <w:rFonts w:ascii="Times New Roman" w:hAnsi="Times New Roman" w:eastAsia="仿宋" w:cs="仿宋_GB2312"/>
          <w:sz w:val="32"/>
          <w:szCs w:val="32"/>
        </w:rPr>
        <w:t>7公里</w:t>
      </w:r>
      <w:r>
        <w:rPr>
          <w:rFonts w:hint="eastAsia" w:ascii="Times New Roman" w:hAnsi="Times New Roman" w:eastAsia="仿宋" w:cs="仿宋_GB2312"/>
          <w:sz w:val="32"/>
          <w:szCs w:val="32"/>
        </w:rPr>
        <w:t>，改造危桥4座，整治马路市场6</w:t>
      </w:r>
      <w:r>
        <w:rPr>
          <w:rFonts w:ascii="Times New Roman" w:hAnsi="Times New Roman" w:eastAsia="仿宋" w:cs="仿宋_GB2312"/>
          <w:sz w:val="32"/>
          <w:szCs w:val="32"/>
        </w:rPr>
        <w:t>4处</w:t>
      </w:r>
      <w:r>
        <w:rPr>
          <w:rFonts w:hint="eastAsia" w:ascii="Times New Roman" w:hAnsi="Times New Roman" w:eastAsia="仿宋" w:cs="仿宋_GB2312"/>
          <w:sz w:val="32"/>
          <w:szCs w:val="32"/>
        </w:rPr>
        <w:t>。连续7年地质灾害“零伤亡”，连续18年农机安全无较大事故。安全生产、综合治理再次获评全省先进，跻身省级平安区（县）。</w:t>
      </w:r>
    </w:p>
    <w:p>
      <w:pPr>
        <w:widowControl/>
        <w:spacing w:before="100" w:beforeAutospacing="1" w:after="100" w:afterAutospacing="1" w:line="450" w:lineRule="atLeast"/>
        <w:jc w:val="center"/>
        <w:rPr>
          <w:rFonts w:ascii="仿宋" w:hAnsi="仿宋" w:eastAsia="仿宋" w:cs="Arial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Arial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二、农业和农村经济</w:t>
      </w:r>
    </w:p>
    <w:p>
      <w:pPr>
        <w:ind w:firstLine="480" w:firstLineChars="150"/>
        <w:jc w:val="left"/>
        <w:rPr>
          <w:rFonts w:hint="eastAsia" w:ascii="仿宋" w:hAnsi="仿宋" w:eastAsia="仿宋" w:cs="宋体"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农业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经济稳中向好</w:t>
      </w:r>
      <w:r>
        <w:rPr>
          <w:rFonts w:hint="eastAsia" w:ascii="仿宋" w:hAnsi="仿宋" w:eastAsia="仿宋"/>
          <w:color w:val="auto"/>
          <w:sz w:val="32"/>
          <w:szCs w:val="32"/>
        </w:rPr>
        <w:t>。全区实现农林牧渔总产值80.62亿元，比上年增长3.7%。耕地面积67.47万亩，全年农作物播种面积158.04万亩。粮食播种面积107.43万亩，其中稻谷播种面积104.12万亩，油料种植面积7.32万亩，蔬菜种植面积26.4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</w:rPr>
        <w:t>万亩。粮食总产量48.6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</w:rPr>
        <w:t>万吨，其中稻谷产量47.6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</w:rPr>
        <w:t>万吨。全年出栏牲猪58.12万头，下降19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.0</w:t>
      </w:r>
      <w:r>
        <w:rPr>
          <w:rFonts w:hint="eastAsia" w:ascii="仿宋" w:hAnsi="仿宋" w:eastAsia="仿宋"/>
          <w:color w:val="auto"/>
          <w:sz w:val="32"/>
          <w:szCs w:val="32"/>
        </w:rPr>
        <w:t>%；出笼家禽353.09万羽，增长4.6%；蛋品产量4.5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</w:rPr>
        <w:t>万吨，增长9.4%；水产品产量2.91万吨，增长4.9%。茶叶3820吨，蔬菜71.1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</w:rPr>
        <w:t>万吨，水果4.09万吨。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_GB2312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产业发展品牌更响。</w:t>
      </w:r>
      <w:r>
        <w:rPr>
          <w:rFonts w:ascii="Times New Roman" w:hAnsi="Times New Roman" w:eastAsia="仿宋" w:cs="仿宋_GB2312"/>
          <w:bCs/>
          <w:sz w:val="32"/>
          <w:szCs w:val="32"/>
        </w:rPr>
        <w:t>袁隆平院士亲临我区</w:t>
      </w:r>
      <w:r>
        <w:rPr>
          <w:rFonts w:hint="eastAsia" w:ascii="Times New Roman" w:hAnsi="Times New Roman" w:eastAsia="仿宋" w:cs="仿宋_GB2312"/>
          <w:bCs/>
          <w:sz w:val="32"/>
          <w:szCs w:val="32"/>
        </w:rPr>
        <w:t>视察指导。</w:t>
      </w:r>
      <w:r>
        <w:rPr>
          <w:rFonts w:ascii="Times New Roman" w:hAnsi="Times New Roman" w:eastAsia="仿宋" w:cs="仿宋_GB2312"/>
          <w:bCs/>
          <w:sz w:val="32"/>
          <w:szCs w:val="32"/>
        </w:rPr>
        <w:t>粮食总产再次突破</w:t>
      </w:r>
      <w:r>
        <w:rPr>
          <w:rFonts w:hint="eastAsia" w:ascii="Times New Roman" w:hAnsi="Times New Roman" w:eastAsia="仿宋" w:cs="仿宋_GB2312"/>
          <w:bCs/>
          <w:sz w:val="32"/>
          <w:szCs w:val="32"/>
        </w:rPr>
        <w:t>1</w:t>
      </w:r>
      <w:r>
        <w:rPr>
          <w:rFonts w:ascii="Times New Roman" w:hAnsi="Times New Roman" w:eastAsia="仿宋" w:cs="仿宋_GB2312"/>
          <w:bCs/>
          <w:sz w:val="32"/>
          <w:szCs w:val="32"/>
        </w:rPr>
        <w:t>0亿斤</w:t>
      </w:r>
      <w:r>
        <w:rPr>
          <w:rFonts w:hint="eastAsia" w:ascii="Times New Roman" w:hAnsi="Times New Roman" w:eastAsia="仿宋" w:cs="仿宋_GB2312"/>
          <w:bCs/>
          <w:sz w:val="32"/>
          <w:szCs w:val="32"/>
        </w:rPr>
        <w:t>。农村土地确权颁证全面完成，集体产权制度改革有序开展。</w:t>
      </w:r>
      <w:r>
        <w:rPr>
          <w:rFonts w:hint="eastAsia" w:ascii="Times New Roman" w:hAnsi="Times New Roman" w:eastAsia="仿宋" w:cs="仿宋_GB2312"/>
          <w:sz w:val="32"/>
          <w:szCs w:val="32"/>
        </w:rPr>
        <w:t>兰溪入选全国农业产业建设强镇，泥江口横堤村成为全国“一村一品”示范村，中亿农业</w:t>
      </w:r>
      <w:r>
        <w:rPr>
          <w:rFonts w:hint="eastAsia" w:ascii="Times New Roman" w:hAnsi="Times New Roman" w:eastAsia="仿宋" w:cs="仿宋_GB2312"/>
          <w:bCs/>
          <w:sz w:val="32"/>
          <w:szCs w:val="32"/>
        </w:rPr>
        <w:t>、佑林米业</w:t>
      </w:r>
      <w:r>
        <w:rPr>
          <w:rFonts w:hint="eastAsia" w:ascii="Times New Roman" w:hAnsi="Times New Roman" w:eastAsia="仿宋" w:cs="仿宋_GB2312"/>
          <w:sz w:val="32"/>
          <w:szCs w:val="32"/>
        </w:rPr>
        <w:t>在湖南股权交易所标准版挂牌，世林食品成为省级星创天地。“中国好粮油”行动国家示范县项目稳步实施，“赫山兰溪大米”国家地理标志产品形成质量溯源体系，智慧农业第一村获“</w:t>
      </w:r>
      <w:r>
        <w:rPr>
          <w:rFonts w:ascii="Times New Roman" w:hAnsi="Times New Roman" w:eastAsia="仿宋" w:cs="仿宋_GB2312"/>
          <w:sz w:val="32"/>
          <w:szCs w:val="32"/>
        </w:rPr>
        <w:t>美丽中国长江行</w:t>
      </w:r>
      <w:r>
        <w:rPr>
          <w:rFonts w:hint="eastAsia" w:ascii="Times New Roman" w:hAnsi="Times New Roman" w:eastAsia="仿宋" w:cs="仿宋_GB2312"/>
          <w:sz w:val="32"/>
          <w:szCs w:val="32"/>
        </w:rPr>
        <w:t>”媒体团点赞，泥江口竹筷畅销</w:t>
      </w:r>
      <w:r>
        <w:rPr>
          <w:rFonts w:ascii="Times New Roman" w:hAnsi="Times New Roman" w:eastAsia="仿宋" w:cs="仿宋_GB2312"/>
          <w:sz w:val="32"/>
          <w:szCs w:val="32"/>
        </w:rPr>
        <w:t>62</w:t>
      </w:r>
      <w:r>
        <w:rPr>
          <w:rFonts w:hint="eastAsia" w:ascii="Times New Roman" w:hAnsi="Times New Roman" w:eastAsia="仿宋" w:cs="仿宋_GB2312"/>
          <w:sz w:val="32"/>
          <w:szCs w:val="32"/>
        </w:rPr>
        <w:t>个国家和地区，</w:t>
      </w:r>
      <w:r>
        <w:rPr>
          <w:rFonts w:hint="eastAsia" w:ascii="Times New Roman" w:hAnsi="Times New Roman" w:eastAsia="仿宋" w:cs="仿宋_GB2312"/>
          <w:bCs/>
          <w:sz w:val="32"/>
          <w:szCs w:val="32"/>
        </w:rPr>
        <w:t>益阳现代农业嘉年华成为省级科普基地，</w:t>
      </w:r>
      <w:r>
        <w:rPr>
          <w:rFonts w:hint="eastAsia" w:ascii="Times New Roman" w:hAnsi="Times New Roman" w:eastAsia="仿宋" w:cs="仿宋_GB2312"/>
          <w:sz w:val="32"/>
          <w:szCs w:val="32"/>
        </w:rPr>
        <w:t>“赫山十品”声名远扬，我区获评</w:t>
      </w:r>
      <w:r>
        <w:rPr>
          <w:rFonts w:ascii="Times New Roman" w:hAnsi="Times New Roman" w:eastAsia="仿宋" w:cs="仿宋_GB2312"/>
          <w:sz w:val="32"/>
          <w:szCs w:val="32"/>
        </w:rPr>
        <w:t>国家农产品质量安全县</w:t>
      </w:r>
      <w:r>
        <w:rPr>
          <w:rFonts w:hint="eastAsia" w:ascii="Times New Roman" w:hAnsi="Times New Roman" w:eastAsia="仿宋" w:cs="仿宋_GB2312"/>
          <w:sz w:val="32"/>
          <w:szCs w:val="32"/>
        </w:rPr>
        <w:t>。</w:t>
      </w:r>
    </w:p>
    <w:p>
      <w:pPr>
        <w:widowControl/>
        <w:spacing w:before="100" w:beforeAutospacing="1" w:after="100" w:afterAutospacing="1" w:line="450" w:lineRule="atLeast"/>
        <w:jc w:val="center"/>
        <w:rPr>
          <w:rFonts w:ascii="仿宋" w:hAnsi="仿宋" w:eastAsia="仿宋" w:cs="Arial"/>
          <w:b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Arial"/>
          <w:b/>
          <w:color w:val="auto"/>
          <w:kern w:val="0"/>
          <w:sz w:val="32"/>
          <w:szCs w:val="32"/>
        </w:rPr>
        <w:t>三、工业和建筑业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工业经济持续快速增长。全区规模以上工业增加值同比增长9.2%。其中集体工业增加值增长5.9%；股份制工业增加值增长17.7%；外商及港澳台投资工业增加值增长4.2%；其他经济类型工业增加值下降10.4%。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/>
        <w:jc w:val="left"/>
        <w:textAlignment w:val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主要工业产品产量明显增加。据规模以上工业企业统计调查，大米加工增长8.3%；精制食用植物油增长9.5%；中成药增长17%；服装增长23%；电子元件增长18%。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50" w:lineRule="atLeast"/>
        <w:jc w:val="left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C00000"/>
          <w:sz w:val="32"/>
          <w:szCs w:val="32"/>
        </w:rPr>
        <w:t>　　</w:t>
      </w:r>
      <w:r>
        <w:rPr>
          <w:rFonts w:hint="eastAsia" w:ascii="仿宋" w:hAnsi="仿宋" w:eastAsia="仿宋"/>
          <w:color w:val="auto"/>
          <w:sz w:val="32"/>
          <w:szCs w:val="32"/>
        </w:rPr>
        <w:t>建筑业稳定发展。全区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资质以上</w:t>
      </w:r>
      <w:r>
        <w:rPr>
          <w:rFonts w:hint="eastAsia" w:ascii="仿宋" w:hAnsi="仿宋" w:eastAsia="仿宋"/>
          <w:color w:val="auto"/>
          <w:sz w:val="32"/>
          <w:szCs w:val="32"/>
        </w:rPr>
        <w:t>建筑业总产值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76.83</w:t>
      </w:r>
      <w:r>
        <w:rPr>
          <w:rFonts w:hint="eastAsia" w:ascii="仿宋" w:hAnsi="仿宋" w:eastAsia="仿宋"/>
          <w:color w:val="auto"/>
          <w:sz w:val="32"/>
          <w:szCs w:val="32"/>
        </w:rPr>
        <w:t>亿元，比上年增长1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32"/>
          <w:szCs w:val="32"/>
        </w:rPr>
        <w:t>%。实现建筑业增加值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22.44</w:t>
      </w:r>
      <w:r>
        <w:rPr>
          <w:rFonts w:hint="eastAsia" w:ascii="仿宋" w:hAnsi="仿宋" w:eastAsia="仿宋"/>
          <w:color w:val="auto"/>
          <w:sz w:val="32"/>
          <w:szCs w:val="32"/>
        </w:rPr>
        <w:t>亿元，增长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6.0</w:t>
      </w:r>
      <w:r>
        <w:rPr>
          <w:rFonts w:hint="eastAsia" w:ascii="仿宋" w:hAnsi="仿宋" w:eastAsia="仿宋"/>
          <w:color w:val="auto"/>
          <w:sz w:val="32"/>
          <w:szCs w:val="32"/>
        </w:rPr>
        <w:t>%。</w:t>
      </w:r>
    </w:p>
    <w:p>
      <w:pPr>
        <w:widowControl/>
        <w:spacing w:before="100" w:beforeAutospacing="1" w:after="100" w:afterAutospacing="1" w:line="450" w:lineRule="atLeast"/>
        <w:jc w:val="center"/>
        <w:rPr>
          <w:rFonts w:ascii="仿宋" w:hAnsi="仿宋" w:eastAsia="仿宋" w:cs="Arial"/>
          <w:b/>
          <w:color w:val="474747"/>
          <w:kern w:val="0"/>
          <w:sz w:val="32"/>
          <w:szCs w:val="32"/>
        </w:rPr>
      </w:pPr>
      <w:r>
        <w:rPr>
          <w:rFonts w:hint="eastAsia" w:ascii="仿宋" w:hAnsi="仿宋" w:eastAsia="仿宋" w:cs="Arial"/>
          <w:b/>
          <w:color w:val="474747"/>
          <w:kern w:val="0"/>
          <w:sz w:val="32"/>
          <w:szCs w:val="32"/>
        </w:rPr>
        <w:t>四、固定资产投资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50" w:lineRule="atLeast"/>
        <w:ind w:firstLine="645"/>
        <w:jc w:val="left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b w:val="0"/>
          <w:bCs/>
          <w:color w:val="auto"/>
          <w:sz w:val="32"/>
          <w:szCs w:val="32"/>
        </w:rPr>
        <w:t>投资总量持续扩大。</w:t>
      </w:r>
      <w:r>
        <w:rPr>
          <w:rFonts w:hint="eastAsia" w:ascii="仿宋" w:hAnsi="仿宋" w:eastAsia="仿宋"/>
          <w:color w:val="auto"/>
          <w:sz w:val="32"/>
          <w:szCs w:val="32"/>
        </w:rPr>
        <w:t>全区固定资产投资同比增长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12.4</w:t>
      </w:r>
      <w:r>
        <w:rPr>
          <w:rFonts w:hint="eastAsia" w:ascii="仿宋" w:hAnsi="仿宋" w:eastAsia="仿宋"/>
          <w:color w:val="auto"/>
          <w:sz w:val="32"/>
          <w:szCs w:val="32"/>
        </w:rPr>
        <w:t>%，其中工业投资增长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28.5</w:t>
      </w:r>
      <w:r>
        <w:rPr>
          <w:rFonts w:hint="eastAsia" w:ascii="仿宋" w:hAnsi="仿宋" w:eastAsia="仿宋"/>
          <w:color w:val="auto"/>
          <w:sz w:val="32"/>
          <w:szCs w:val="32"/>
        </w:rPr>
        <w:t>%，技术改造投资增长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28.7</w:t>
      </w:r>
      <w:r>
        <w:rPr>
          <w:rFonts w:hint="eastAsia" w:ascii="仿宋" w:hAnsi="仿宋" w:eastAsia="仿宋"/>
          <w:color w:val="auto"/>
          <w:sz w:val="32"/>
          <w:szCs w:val="32"/>
        </w:rPr>
        <w:t>%，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产业投资</w:t>
      </w:r>
      <w:r>
        <w:rPr>
          <w:rFonts w:hint="eastAsia" w:ascii="仿宋" w:hAnsi="仿宋" w:eastAsia="仿宋"/>
          <w:color w:val="auto"/>
          <w:sz w:val="32"/>
          <w:szCs w:val="32"/>
        </w:rPr>
        <w:t>增长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22.3</w:t>
      </w:r>
      <w:r>
        <w:rPr>
          <w:rFonts w:hint="eastAsia" w:ascii="仿宋" w:hAnsi="仿宋" w:eastAsia="仿宋"/>
          <w:color w:val="auto"/>
          <w:sz w:val="32"/>
          <w:szCs w:val="32"/>
        </w:rPr>
        <w:t>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ascii="Times New Roman" w:hAnsi="Times New Roman" w:eastAsia="仿宋" w:cs="仿宋_GB2312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项目支撑后劲更足。</w:t>
      </w:r>
      <w:r>
        <w:rPr>
          <w:rFonts w:hint="eastAsia" w:ascii="Times New Roman" w:hAnsi="Times New Roman" w:eastAsia="仿宋" w:cs="仿宋_GB2312"/>
          <w:sz w:val="32"/>
          <w:szCs w:val="32"/>
        </w:rPr>
        <w:t>产业项目建设年活动全力开展，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工业投资增速达</w:t>
      </w:r>
      <w:r>
        <w:rPr>
          <w:rFonts w:ascii="Times New Roman" w:hAnsi="Times New Roman" w:eastAsia="仿宋" w:cs="仿宋"/>
          <w:sz w:val="32"/>
          <w:szCs w:val="32"/>
        </w:rPr>
        <w:t>26.0</w:t>
      </w:r>
      <w:r>
        <w:rPr>
          <w:rFonts w:hint="eastAsia" w:ascii="Times New Roman" w:hAnsi="Times New Roman" w:eastAsia="仿宋" w:cs="仿宋"/>
          <w:sz w:val="32"/>
          <w:szCs w:val="32"/>
        </w:rPr>
        <w:t>%。铺排重点项目1</w:t>
      </w:r>
      <w:r>
        <w:rPr>
          <w:rFonts w:ascii="Times New Roman" w:hAnsi="Times New Roman" w:eastAsia="仿宋" w:cs="仿宋"/>
          <w:sz w:val="32"/>
          <w:szCs w:val="32"/>
        </w:rPr>
        <w:t>00个</w:t>
      </w:r>
      <w:r>
        <w:rPr>
          <w:rFonts w:hint="eastAsia" w:ascii="Times New Roman" w:hAnsi="Times New Roman" w:eastAsia="仿宋" w:cs="仿宋"/>
          <w:sz w:val="32"/>
          <w:szCs w:val="32"/>
        </w:rPr>
        <w:t>，</w:t>
      </w:r>
      <w:r>
        <w:rPr>
          <w:rFonts w:ascii="Times New Roman" w:hAnsi="Times New Roman" w:eastAsia="仿宋" w:cs="仿宋"/>
          <w:sz w:val="32"/>
          <w:szCs w:val="32"/>
        </w:rPr>
        <w:t>完成投资</w:t>
      </w:r>
      <w:r>
        <w:rPr>
          <w:rFonts w:hint="eastAsia" w:ascii="Times New Roman" w:hAnsi="Times New Roman" w:eastAsia="仿宋" w:cs="仿宋"/>
          <w:sz w:val="32"/>
          <w:szCs w:val="32"/>
        </w:rPr>
        <w:t>1</w:t>
      </w:r>
      <w:r>
        <w:rPr>
          <w:rFonts w:ascii="Times New Roman" w:hAnsi="Times New Roman" w:eastAsia="仿宋" w:cs="仿宋"/>
          <w:sz w:val="32"/>
          <w:szCs w:val="32"/>
        </w:rPr>
        <w:t>58亿</w:t>
      </w:r>
      <w:r>
        <w:rPr>
          <w:rFonts w:ascii="Times New Roman" w:hAnsi="Times New Roman" w:eastAsia="仿宋" w:cs="仿宋"/>
          <w:bCs/>
          <w:sz w:val="32"/>
          <w:szCs w:val="32"/>
        </w:rPr>
        <w:t>元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。</w:t>
      </w:r>
      <w:r>
        <w:rPr>
          <w:rFonts w:ascii="Times New Roman" w:hAnsi="Times New Roman" w:eastAsia="仿宋" w:cs="仿宋"/>
          <w:bCs/>
          <w:sz w:val="32"/>
          <w:szCs w:val="32"/>
        </w:rPr>
        <w:t>40个省级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、</w:t>
      </w:r>
      <w:r>
        <w:rPr>
          <w:rFonts w:ascii="Times New Roman" w:hAnsi="Times New Roman" w:eastAsia="仿宋" w:cs="仿宋"/>
          <w:bCs/>
          <w:sz w:val="32"/>
          <w:szCs w:val="32"/>
        </w:rPr>
        <w:t>市级重点项目和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1</w:t>
      </w:r>
      <w:r>
        <w:rPr>
          <w:rFonts w:ascii="Times New Roman" w:hAnsi="Times New Roman" w:eastAsia="仿宋" w:cs="仿宋"/>
          <w:bCs/>
          <w:sz w:val="32"/>
          <w:szCs w:val="32"/>
        </w:rPr>
        <w:t>1个列入全省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“5个1</w:t>
      </w:r>
      <w:r>
        <w:rPr>
          <w:rFonts w:ascii="Times New Roman" w:hAnsi="Times New Roman" w:eastAsia="仿宋" w:cs="仿宋"/>
          <w:bCs/>
          <w:sz w:val="32"/>
          <w:szCs w:val="32"/>
        </w:rPr>
        <w:t>00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”、全市“6个1</w:t>
      </w:r>
      <w:r>
        <w:rPr>
          <w:rFonts w:ascii="Times New Roman" w:hAnsi="Times New Roman" w:eastAsia="仿宋" w:cs="仿宋"/>
          <w:bCs/>
          <w:sz w:val="32"/>
          <w:szCs w:val="32"/>
        </w:rPr>
        <w:t>0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”工程项目超额完成年度投资计划。</w:t>
      </w:r>
      <w:r>
        <w:rPr>
          <w:rFonts w:hint="eastAsia" w:ascii="Times New Roman" w:hAnsi="Times New Roman" w:eastAsia="仿宋" w:cs="仿宋_GB2312"/>
          <w:sz w:val="32"/>
          <w:szCs w:val="32"/>
        </w:rPr>
        <w:t>艾华二期、吉祥家纺、万京源电子等项目加快建设，</w:t>
      </w:r>
      <w:r>
        <w:rPr>
          <w:rFonts w:hint="eastAsia" w:ascii="Times New Roman" w:hAnsi="Times New Roman" w:eastAsia="仿宋" w:cs="仿宋"/>
          <w:sz w:val="32"/>
          <w:szCs w:val="32"/>
          <w:lang w:val="zh-CN"/>
        </w:rPr>
        <w:t>鼎一致远</w:t>
      </w:r>
      <w:r>
        <w:rPr>
          <w:rFonts w:hint="eastAsia" w:ascii="Times New Roman" w:hAnsi="Times New Roman" w:eastAsia="仿宋" w:cs="仿宋_GB2312"/>
          <w:sz w:val="32"/>
          <w:szCs w:val="32"/>
        </w:rPr>
        <w:t>、五夷光电、新越沥青、华慧新能源等</w:t>
      </w:r>
      <w:r>
        <w:rPr>
          <w:rFonts w:ascii="Times New Roman" w:hAnsi="Times New Roman" w:eastAsia="仿宋" w:cs="仿宋_GB2312"/>
          <w:sz w:val="32"/>
          <w:szCs w:val="32"/>
        </w:rPr>
        <w:t>40</w:t>
      </w:r>
      <w:r>
        <w:rPr>
          <w:rFonts w:hint="eastAsia" w:ascii="Times New Roman" w:hAnsi="Times New Roman" w:eastAsia="仿宋" w:cs="仿宋_GB2312"/>
          <w:sz w:val="32"/>
          <w:szCs w:val="32"/>
        </w:rPr>
        <w:t>个项目建成投产。</w:t>
      </w:r>
    </w:p>
    <w:p>
      <w:pPr>
        <w:widowControl/>
        <w:spacing w:before="100" w:beforeAutospacing="1" w:after="100" w:afterAutospacing="1" w:line="450" w:lineRule="atLeast"/>
        <w:jc w:val="center"/>
        <w:rPr>
          <w:rFonts w:ascii="仿宋" w:hAnsi="仿宋" w:eastAsia="仿宋" w:cs="Arial"/>
          <w:b/>
          <w:kern w:val="0"/>
          <w:sz w:val="32"/>
          <w:szCs w:val="32"/>
        </w:rPr>
      </w:pPr>
      <w:r>
        <w:rPr>
          <w:rFonts w:hint="eastAsia" w:ascii="仿宋" w:hAnsi="仿宋" w:eastAsia="仿宋" w:cs="Arial"/>
          <w:b/>
          <w:kern w:val="0"/>
          <w:sz w:val="32"/>
          <w:szCs w:val="32"/>
        </w:rPr>
        <w:t>五、内外贸易和物价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50" w:lineRule="atLeast"/>
        <w:ind w:firstLine="645"/>
        <w:jc w:val="left"/>
        <w:textAlignment w:val="auto"/>
        <w:rPr>
          <w:rFonts w:hint="eastAsia" w:ascii="Times New Roman" w:hAnsi="Times New Roman" w:eastAsia="仿宋" w:cs="仿宋_GB2312"/>
          <w:bCs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商品市场繁荣活跃。全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社会消费品零售总额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148.14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亿元，比上年增长10.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%。</w:t>
      </w:r>
      <w:r>
        <w:rPr>
          <w:rFonts w:hint="eastAsia" w:ascii="Times New Roman" w:hAnsi="Times New Roman" w:eastAsia="仿宋" w:cs="仿宋_GB2312"/>
          <w:bCs/>
          <w:sz w:val="32"/>
          <w:szCs w:val="32"/>
        </w:rPr>
        <w:t>衡龙</w:t>
      </w:r>
      <w:r>
        <w:rPr>
          <w:rFonts w:ascii="Times New Roman" w:hAnsi="Times New Roman" w:eastAsia="仿宋" w:cs="仿宋_GB2312"/>
          <w:bCs/>
          <w:sz w:val="32"/>
          <w:szCs w:val="32"/>
        </w:rPr>
        <w:t>新区公共保税仓</w:t>
      </w:r>
      <w:r>
        <w:rPr>
          <w:rFonts w:hint="eastAsia" w:ascii="Times New Roman" w:hAnsi="Times New Roman" w:eastAsia="仿宋" w:cs="仿宋_GB2312"/>
          <w:bCs/>
          <w:sz w:val="32"/>
          <w:szCs w:val="32"/>
        </w:rPr>
        <w:t>、</w:t>
      </w:r>
      <w:r>
        <w:rPr>
          <w:rFonts w:ascii="Times New Roman" w:hAnsi="Times New Roman" w:eastAsia="仿宋" w:cs="仿宋_GB2312"/>
          <w:bCs/>
          <w:sz w:val="32"/>
          <w:szCs w:val="32"/>
        </w:rPr>
        <w:t>出口监管仓</w:t>
      </w:r>
      <w:r>
        <w:rPr>
          <w:rFonts w:hint="eastAsia" w:ascii="Times New Roman" w:hAnsi="Times New Roman" w:eastAsia="仿宋" w:cs="仿宋_GB2312"/>
          <w:bCs/>
          <w:sz w:val="32"/>
          <w:szCs w:val="32"/>
        </w:rPr>
        <w:t>挂牌运营。加工贸易企业2</w:t>
      </w:r>
      <w:r>
        <w:rPr>
          <w:rFonts w:ascii="Times New Roman" w:hAnsi="Times New Roman" w:eastAsia="仿宋" w:cs="仿宋_GB2312"/>
          <w:bCs/>
          <w:sz w:val="32"/>
          <w:szCs w:val="32"/>
        </w:rPr>
        <w:t>4家</w:t>
      </w:r>
      <w:r>
        <w:rPr>
          <w:rFonts w:hint="eastAsia" w:ascii="Times New Roman" w:hAnsi="Times New Roman" w:eastAsia="仿宋" w:cs="仿宋_GB2312"/>
          <w:bCs/>
          <w:sz w:val="32"/>
          <w:szCs w:val="32"/>
        </w:rPr>
        <w:t>破零，外贸进出口总额</w:t>
      </w:r>
      <w:r>
        <w:rPr>
          <w:rFonts w:ascii="Times New Roman" w:hAnsi="Times New Roman" w:eastAsia="仿宋" w:cs="仿宋_GB2312"/>
          <w:bCs/>
          <w:sz w:val="32"/>
          <w:szCs w:val="32"/>
        </w:rPr>
        <w:t>7.5</w:t>
      </w:r>
      <w:r>
        <w:rPr>
          <w:rFonts w:hint="eastAsia" w:ascii="Times New Roman" w:hAnsi="Times New Roman" w:eastAsia="仿宋" w:cs="仿宋_GB2312"/>
          <w:bCs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hint="eastAsia" w:ascii="Times New Roman" w:hAnsi="Times New Roman" w:eastAsia="仿宋" w:cs="仿宋_GB2312"/>
          <w:bCs/>
          <w:sz w:val="32"/>
          <w:szCs w:val="32"/>
        </w:rPr>
        <w:t>亿美</w:t>
      </w:r>
      <w:r>
        <w:rPr>
          <w:rFonts w:hint="eastAsia" w:ascii="Times New Roman" w:hAnsi="Times New Roman" w:eastAsia="仿宋" w:cs="仿宋_GB2312"/>
          <w:sz w:val="32"/>
          <w:szCs w:val="32"/>
        </w:rPr>
        <w:t>元</w:t>
      </w:r>
      <w:r>
        <w:rPr>
          <w:rFonts w:hint="eastAsia" w:ascii="Times New Roman" w:hAnsi="Times New Roman" w:eastAsia="仿宋" w:cs="仿宋_GB2312"/>
          <w:bCs/>
          <w:sz w:val="32"/>
          <w:szCs w:val="32"/>
        </w:rPr>
        <w:t>。新增限额以上商贸企业16家，发展省级电商企业35家，电商销售总额超过20亿元。在全市率先建成文旅智能服务平台，文旅产业融合发展呈现新气象。桥南、桃花仑、赫山庙、万达海洋城等商圈持续活跃。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50" w:lineRule="atLeast"/>
        <w:ind w:firstLine="645"/>
        <w:jc w:val="left"/>
        <w:textAlignment w:val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市场物价上升趋缓。居民消费价格总指数为10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3.1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%，商品零售价格总指数为102.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%。工业生产者出厂价格指数为9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9.0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%，固定资产投资价格指数为10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1.7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firstLine="640" w:firstLineChars="200"/>
        <w:textAlignment w:val="auto"/>
        <w:rPr>
          <w:rFonts w:hint="eastAsia" w:ascii="Times New Roman" w:hAnsi="Times New Roman" w:eastAsia="仿宋" w:cs="仿宋"/>
          <w:bCs/>
          <w:sz w:val="32"/>
          <w:szCs w:val="32"/>
        </w:rPr>
      </w:pPr>
      <w:r>
        <w:rPr>
          <w:rFonts w:hint="eastAsia" w:ascii="Times New Roman" w:hAnsi="Times New Roman" w:eastAsia="仿宋" w:cs="仿宋_GB2312"/>
          <w:sz w:val="32"/>
          <w:szCs w:val="32"/>
        </w:rPr>
        <w:t>引资争资成绩斐然。全面融入、热情服务湘商大会，全年引进客天下、江丰电子、海铝铝材、鸿图制造、万洋众创城、中交一公局、步步高综合体等</w:t>
      </w:r>
      <w:r>
        <w:rPr>
          <w:rFonts w:ascii="Times New Roman" w:hAnsi="Times New Roman" w:eastAsia="仿宋" w:cs="仿宋_GB2312"/>
          <w:bCs/>
          <w:sz w:val="32"/>
          <w:szCs w:val="32"/>
        </w:rPr>
        <w:t>项目</w:t>
      </w:r>
      <w:r>
        <w:rPr>
          <w:rFonts w:hint="eastAsia" w:ascii="Times New Roman" w:hAnsi="Times New Roman" w:eastAsia="仿宋" w:cs="仿宋_GB2312"/>
          <w:bCs/>
          <w:sz w:val="32"/>
          <w:szCs w:val="32"/>
        </w:rPr>
        <w:t>4</w:t>
      </w:r>
      <w:r>
        <w:rPr>
          <w:rFonts w:ascii="Times New Roman" w:hAnsi="Times New Roman" w:eastAsia="仿宋" w:cs="仿宋_GB2312"/>
          <w:bCs/>
          <w:sz w:val="32"/>
          <w:szCs w:val="32"/>
        </w:rPr>
        <w:t>5个</w:t>
      </w:r>
      <w:r>
        <w:rPr>
          <w:rFonts w:hint="eastAsia" w:ascii="Times New Roman" w:hAnsi="Times New Roman" w:eastAsia="仿宋" w:cs="仿宋_GB2312"/>
          <w:bCs/>
          <w:sz w:val="32"/>
          <w:szCs w:val="32"/>
        </w:rPr>
        <w:t>，一批</w:t>
      </w:r>
      <w:r>
        <w:rPr>
          <w:rFonts w:ascii="Times New Roman" w:hAnsi="Times New Roman" w:eastAsia="仿宋" w:cs="仿宋"/>
          <w:sz w:val="32"/>
          <w:szCs w:val="32"/>
        </w:rPr>
        <w:t>投资大、质量高、后劲足</w:t>
      </w:r>
      <w:r>
        <w:rPr>
          <w:rFonts w:hint="eastAsia" w:ascii="Times New Roman" w:hAnsi="Times New Roman" w:eastAsia="仿宋" w:cs="仿宋"/>
          <w:sz w:val="32"/>
          <w:szCs w:val="32"/>
        </w:rPr>
        <w:t>的</w:t>
      </w:r>
      <w:r>
        <w:rPr>
          <w:rFonts w:ascii="Times New Roman" w:hAnsi="Times New Roman" w:eastAsia="仿宋" w:cs="仿宋"/>
          <w:sz w:val="32"/>
          <w:szCs w:val="32"/>
        </w:rPr>
        <w:t>项目</w:t>
      </w:r>
      <w:r>
        <w:rPr>
          <w:rFonts w:hint="eastAsia" w:ascii="Times New Roman" w:hAnsi="Times New Roman" w:eastAsia="仿宋" w:cs="仿宋"/>
          <w:sz w:val="32"/>
          <w:szCs w:val="32"/>
        </w:rPr>
        <w:t>落地开建，</w:t>
      </w:r>
      <w:r>
        <w:rPr>
          <w:rFonts w:ascii="Times New Roman" w:hAnsi="Times New Roman" w:eastAsia="仿宋" w:cs="仿宋_GB2312"/>
          <w:bCs/>
          <w:sz w:val="32"/>
          <w:szCs w:val="32"/>
        </w:rPr>
        <w:t>引进市域外资金形成固定资产</w:t>
      </w:r>
      <w:r>
        <w:rPr>
          <w:rFonts w:hint="eastAsia" w:ascii="Times New Roman" w:hAnsi="Times New Roman" w:eastAsia="仿宋" w:cs="仿宋_GB2312"/>
          <w:bCs/>
          <w:sz w:val="32"/>
          <w:szCs w:val="32"/>
        </w:rPr>
        <w:t>1</w:t>
      </w:r>
      <w:r>
        <w:rPr>
          <w:rFonts w:ascii="Times New Roman" w:hAnsi="Times New Roman" w:eastAsia="仿宋" w:cs="仿宋_GB2312"/>
          <w:bCs/>
          <w:sz w:val="32"/>
          <w:szCs w:val="32"/>
        </w:rPr>
        <w:t>10亿元</w:t>
      </w:r>
      <w:r>
        <w:rPr>
          <w:rFonts w:hint="eastAsia" w:ascii="Times New Roman" w:hAnsi="Times New Roman" w:eastAsia="仿宋" w:cs="仿宋_GB2312"/>
          <w:bCs/>
          <w:sz w:val="32"/>
          <w:szCs w:val="32"/>
        </w:rPr>
        <w:t>。精准包装、主动争取，到位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上级各类项目资金3</w:t>
      </w:r>
      <w:r>
        <w:rPr>
          <w:rFonts w:ascii="Times New Roman" w:hAnsi="Times New Roman" w:eastAsia="仿宋" w:cs="仿宋"/>
          <w:bCs/>
          <w:sz w:val="32"/>
          <w:szCs w:val="32"/>
        </w:rPr>
        <w:t>2.8亿元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540" w:lineRule="exact"/>
        <w:jc w:val="center"/>
        <w:textAlignment w:val="auto"/>
        <w:rPr>
          <w:rFonts w:ascii="仿宋" w:hAnsi="仿宋" w:eastAsia="仿宋" w:cs="Arial"/>
          <w:b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Arial"/>
          <w:b/>
          <w:color w:val="auto"/>
          <w:kern w:val="0"/>
          <w:sz w:val="32"/>
          <w:szCs w:val="32"/>
        </w:rPr>
        <w:t>六、财政和金融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财政收入平稳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增长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严格落实减税降费政策后，</w:t>
      </w:r>
      <w:r>
        <w:rPr>
          <w:rFonts w:hint="eastAsia" w:ascii="仿宋" w:hAnsi="仿宋" w:eastAsia="仿宋"/>
          <w:sz w:val="32"/>
          <w:szCs w:val="32"/>
        </w:rPr>
        <w:t>全区完成一般公共预算收入220117万元，比上年同期增加1801万元，增长0.82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。其中：地方财政收入123305万元，增长5.41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；上划省级收入19681万元，下降7.32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；上划中央收入77131万元，下降3.71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从收入结构来看，</w:t>
      </w:r>
      <w:r>
        <w:rPr>
          <w:rFonts w:hint="eastAsia" w:ascii="仿宋" w:hAnsi="仿宋" w:eastAsia="仿宋"/>
          <w:sz w:val="32"/>
          <w:szCs w:val="32"/>
        </w:rPr>
        <w:t>税收收入完成192068万元，比上年同期增加3991万元，增长2.12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。非税收入完成28049万元，比上年同期减少2190万元，下降7.24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。税收收入占一般公共预算收入的比重为87.26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，比上年同期增长1.11个百分点。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财政支出结构更优。</w:t>
      </w:r>
      <w:r>
        <w:rPr>
          <w:rFonts w:hint="eastAsia" w:ascii="仿宋" w:hAnsi="仿宋" w:eastAsia="仿宋"/>
          <w:sz w:val="32"/>
          <w:szCs w:val="32"/>
        </w:rPr>
        <w:t>全区完成一般公共预算支出530802万元，增长2.89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。其中：一般公共服务支出67116万元，增长6.41%；公共安全支出6538万元，增长9.11%；教育支出104935万元，增长3.48%；科学技术支出8001万元，增长17.08%；文化体育与传媒支出6496万元，下降36.72%；社会保障和就业支出111404万元，增长11.71%；卫生健康支出74190万元，增长12.16%；节能环保支出16720万元，增长162.03%；城乡社区服务支出39655万元，增长19.90%；农林水事务支出94095万元，增长40.99%；交通运输支出254万元，下降97.96%；资源斟探信息支出356万元，下降91.48%；商业服务业支出84万元，下降94.16%；自然资源海洋气象等支出180万元，下降93.38%；住房保障支出778万元，下降96.40%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50" w:lineRule="atLeast"/>
        <w:jc w:val="left"/>
        <w:textAlignment w:val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金融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市场充满活力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金融机构存贷款明显增加，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年末我区金融机构本外币各项贷款余额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403.11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亿元，比年初增加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53.60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亿元。</w:t>
      </w:r>
    </w:p>
    <w:p>
      <w:pPr>
        <w:widowControl/>
        <w:spacing w:before="100" w:beforeAutospacing="1" w:after="100" w:afterAutospacing="1" w:line="450" w:lineRule="atLeast"/>
        <w:jc w:val="center"/>
        <w:rPr>
          <w:rFonts w:ascii="仿宋" w:hAnsi="仿宋" w:eastAsia="仿宋" w:cs="Arial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Arial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七、科学技术和教育</w:t>
      </w:r>
    </w:p>
    <w:p>
      <w:pPr>
        <w:spacing w:line="594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科技创新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不断突破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eastAsia="仿宋_GB2312"/>
          <w:sz w:val="32"/>
          <w:szCs w:val="32"/>
        </w:rPr>
        <w:t>汉森制药等12家企业争取研发经费财政奖补资金381.9万元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33个市级项目获批立项，获资金555万元</w:t>
      </w:r>
      <w:r>
        <w:rPr>
          <w:rFonts w:hint="eastAsia" w:ascii="仿宋_GB2312" w:eastAsia="仿宋_GB2312"/>
          <w:sz w:val="32"/>
          <w:szCs w:val="32"/>
          <w:lang w:eastAsia="zh-CN"/>
        </w:rPr>
        <w:t>。风河竹木获省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科技</w:t>
      </w:r>
      <w:r>
        <w:rPr>
          <w:rFonts w:hint="eastAsia" w:ascii="仿宋_GB2312" w:eastAsia="仿宋_GB2312"/>
          <w:sz w:val="32"/>
          <w:szCs w:val="32"/>
          <w:lang w:eastAsia="zh-CN"/>
        </w:rPr>
        <w:t>厅创新创业技术投资项目立项支持200万元。</w:t>
      </w:r>
      <w:r>
        <w:rPr>
          <w:rFonts w:hint="eastAsia" w:ascii="仿宋_GB2312" w:eastAsia="仿宋_GB2312"/>
          <w:sz w:val="32"/>
          <w:szCs w:val="32"/>
        </w:rPr>
        <w:t>全市唯一一个科技重大专项由我区企业承担，获经费支持100万元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组织12家企业参加创新创业大赛，其中6个项目获市州赛优秀奖，5个项目获省赛优秀奖，2个项目晋级省行业总决赛，3</w:t>
      </w:r>
      <w:r>
        <w:rPr>
          <w:rFonts w:hint="eastAsia" w:ascii="仿宋_GB2312" w:eastAsia="仿宋_GB2312"/>
          <w:sz w:val="32"/>
          <w:szCs w:val="32"/>
          <w:lang w:eastAsia="zh-CN"/>
        </w:rPr>
        <w:t>个项目</w:t>
      </w:r>
      <w:r>
        <w:rPr>
          <w:rFonts w:hint="eastAsia" w:ascii="仿宋_GB2312" w:eastAsia="仿宋_GB2312"/>
          <w:sz w:val="32"/>
          <w:szCs w:val="32"/>
        </w:rPr>
        <w:t>晋级国家总决赛，1个项目在省决赛中获三等奖，获奖数为历年最多。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教育事业协调发展。</w:t>
      </w:r>
      <w:r>
        <w:rPr>
          <w:rFonts w:hint="eastAsia" w:ascii="仿宋_GB2312" w:hAnsi="仿宋" w:eastAsia="仿宋_GB2312"/>
          <w:sz w:val="32"/>
          <w:szCs w:val="32"/>
        </w:rPr>
        <w:t>完成</w:t>
      </w:r>
      <w:r>
        <w:rPr>
          <w:rFonts w:hint="eastAsia" w:ascii="仿宋_GB2312" w:hAnsi="仿宋" w:eastAsia="仿宋_GB2312"/>
          <w:bCs/>
          <w:sz w:val="32"/>
          <w:szCs w:val="32"/>
        </w:rPr>
        <w:t>新建丁香小学和改扩建三里桥小学、桃花仑小学、志溪河学校、</w:t>
      </w:r>
      <w:r>
        <w:rPr>
          <w:rFonts w:hint="eastAsia" w:ascii="仿宋_GB2312" w:hAnsi="仿宋" w:eastAsia="仿宋_GB2312"/>
          <w:sz w:val="32"/>
          <w:szCs w:val="32"/>
        </w:rPr>
        <w:t>沧水铺镇中心学校等建设项目；消除大班额班级204个，大班额比例降至3.31%，超额完成既定目标；高考发展性评价跃居全市第二，中考九科一次性合格率、优秀率均排名全市第一；未成年人思想道德建设获评全市先进，梓山湖学校获评省级文明校园，教育系统</w:t>
      </w:r>
      <w:r>
        <w:rPr>
          <w:rFonts w:hint="eastAsia" w:ascii="仿宋_GB2312" w:hAnsi="仿宋" w:eastAsia="仿宋_GB2312"/>
          <w:bCs/>
          <w:sz w:val="32"/>
          <w:szCs w:val="32"/>
        </w:rPr>
        <w:t>创文工作考评连续排名全市、全区第一。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600" w:lineRule="exact"/>
        <w:ind w:firstLine="643" w:firstLineChars="200"/>
        <w:jc w:val="center"/>
        <w:textAlignment w:val="auto"/>
        <w:rPr>
          <w:rFonts w:hint="eastAsia" w:ascii="仿宋" w:hAnsi="仿宋" w:eastAsia="仿宋" w:cs="Arial"/>
          <w:b/>
          <w:color w:val="474747"/>
          <w:kern w:val="0"/>
          <w:sz w:val="32"/>
          <w:szCs w:val="32"/>
        </w:rPr>
      </w:pPr>
      <w:r>
        <w:rPr>
          <w:rFonts w:hint="eastAsia" w:ascii="仿宋" w:hAnsi="仿宋" w:eastAsia="仿宋" w:cs="Arial"/>
          <w:b/>
          <w:color w:val="474747"/>
          <w:kern w:val="0"/>
          <w:sz w:val="32"/>
          <w:szCs w:val="32"/>
        </w:rPr>
        <w:t>文化、卫生和体育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文化事业蒸蒸日上。</w:t>
      </w:r>
      <w:r>
        <w:rPr>
          <w:rFonts w:hint="eastAsia" w:ascii="Times New Roman" w:hAnsi="Times New Roman" w:eastAsia="仿宋" w:cs="仿宋_GB2312"/>
          <w:sz w:val="32"/>
          <w:szCs w:val="32"/>
        </w:rPr>
        <w:t>公共文化服务体系建设通过省级验收，群众文体活动不断丰富。胡林翼故居恢复建设获批，周谷城故居成为中国农工党教育基地，“一碑五馆”成为全市党建、爱国主义教育和新时代文明实践示范基地。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我区益阳故城遗址位列第八批全国重点文物保护单位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益阳兔子山遗址、益阳茶厂早期建筑群列入湖南省第十批省级文物保护单位。</w:t>
      </w:r>
      <w:r>
        <w:rPr>
          <w:rFonts w:hint="eastAsia" w:ascii="仿宋_GB2312" w:hAnsi="仿宋_GB2312" w:eastAsia="仿宋_GB2312" w:cs="仿宋_GB2312"/>
          <w:sz w:val="32"/>
        </w:rPr>
        <w:t>“赫山文旅云”智能平台正式上线运营，2019全球湘商大会益阳美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食</w:t>
      </w:r>
      <w:r>
        <w:rPr>
          <w:rFonts w:hint="eastAsia" w:ascii="仿宋_GB2312" w:hAnsi="仿宋_GB2312" w:eastAsia="仿宋_GB2312" w:cs="仿宋_GB2312"/>
          <w:sz w:val="32"/>
        </w:rPr>
        <w:t>文化旅游节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圆满收官</w:t>
      </w:r>
      <w:r>
        <w:rPr>
          <w:rFonts w:hint="eastAsia" w:ascii="仿宋_GB2312" w:hAnsi="仿宋_GB2312" w:eastAsia="仿宋_GB2312" w:cs="仿宋_GB2312"/>
          <w:sz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 w:val="0"/>
          <w:bCs/>
          <w:color w:val="auto"/>
          <w:sz w:val="32"/>
          <w:szCs w:val="32"/>
        </w:rPr>
        <w:t>医药卫生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  <w:t>取得新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</w:rPr>
        <w:t>突破。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  <w:t>全区</w:t>
      </w:r>
      <w:r>
        <w:rPr>
          <w:rFonts w:hint="eastAsia" w:ascii="仿宋_GB2312" w:hAnsi="宋体" w:eastAsia="仿宋_GB2312"/>
          <w:color w:val="000000"/>
          <w:spacing w:val="2"/>
          <w:sz w:val="32"/>
          <w:szCs w:val="32"/>
        </w:rPr>
        <w:t>参</w:t>
      </w:r>
      <w:r>
        <w:rPr>
          <w:rFonts w:hint="eastAsia" w:ascii="仿宋_GB2312" w:hAnsi="宋体" w:eastAsia="仿宋_GB2312"/>
          <w:color w:val="000000"/>
          <w:spacing w:val="2"/>
          <w:sz w:val="32"/>
          <w:szCs w:val="32"/>
          <w:lang w:val="en-US" w:eastAsia="zh-CN"/>
        </w:rPr>
        <w:t>加医疗保险共</w:t>
      </w:r>
      <w:r>
        <w:rPr>
          <w:rFonts w:hint="eastAsia" w:ascii="仿宋_GB2312" w:hAnsi="宋体" w:eastAsia="仿宋_GB2312"/>
          <w:color w:val="000000"/>
          <w:spacing w:val="2"/>
          <w:sz w:val="32"/>
          <w:szCs w:val="32"/>
        </w:rPr>
        <w:t>727024人，其中：居民707543人；高校大学生19481人，参保率99%。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城镇职工参保人数37626人，基金收入总额19300万元。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医疗机构共完成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门诊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71.21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人次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同比增长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4.5%；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住院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9.5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万人次，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同比增长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2.8%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巩固拓展公立医院改革成果，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全区公立医院医疗费用总量增长幅度控制在15%以内。医药卫生体制改革取得新突破，市第三人民医院与泉交河镇卫生院建成紧密型医共体。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50" w:lineRule="atLeast"/>
        <w:ind w:firstLine="642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</w:rPr>
        <w:t>群众体育活动不断丰富。成</w:t>
      </w:r>
      <w:r>
        <w:rPr>
          <w:rFonts w:hint="eastAsia" w:ascii="仿宋_GB2312" w:hAnsi="仿宋_GB2312" w:eastAsia="仿宋_GB2312" w:cs="仿宋_GB2312"/>
          <w:sz w:val="32"/>
        </w:rPr>
        <w:t>功举办第十八届大众运动会，</w:t>
      </w:r>
      <w:r>
        <w:rPr>
          <w:rFonts w:hint="eastAsia" w:ascii="仿宋_GB2312" w:hAnsi="仿宋_GB2312" w:eastAsia="仿宋_GB2312" w:cs="仿宋_GB2312"/>
          <w:sz w:val="32"/>
          <w:szCs w:val="32"/>
        </w:rPr>
        <w:t>共完成比赛项目十余项，参与人数达5000人，属历年之最。组织队伍参加市大众运动会，我区代表队获得排球比赛区县组第一名；在“庆祝新中国成立70周年”益阳市中心城区社区篮球比赛中，我区四支代表队包揽了区县组的前三名。体育健身场地设施不断完善，争取传统路径健身器材21套，多功能室外健身场地设施3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伞型路径健身器材1套。</w:t>
      </w:r>
    </w:p>
    <w:p>
      <w:pPr>
        <w:widowControl/>
        <w:spacing w:before="100" w:beforeAutospacing="1" w:after="100" w:afterAutospacing="1" w:line="450" w:lineRule="atLeast"/>
        <w:ind w:firstLine="642"/>
        <w:jc w:val="center"/>
        <w:rPr>
          <w:rFonts w:ascii="仿宋" w:hAnsi="仿宋" w:eastAsia="仿宋" w:cs="Arial"/>
          <w:b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Arial"/>
          <w:b/>
          <w:color w:val="auto"/>
          <w:kern w:val="0"/>
          <w:sz w:val="32"/>
          <w:szCs w:val="32"/>
        </w:rPr>
        <w:t>九、人民生活和社会保障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" w:cs="仿宋_GB2312"/>
          <w:sz w:val="32"/>
          <w:szCs w:val="32"/>
        </w:rPr>
      </w:pPr>
      <w:r>
        <w:rPr>
          <w:rFonts w:hint="eastAsia" w:ascii="Times New Roman" w:hAnsi="Times New Roman" w:eastAsia="仿宋" w:cs="仿宋_GB2312"/>
          <w:sz w:val="32"/>
          <w:szCs w:val="32"/>
          <w:lang w:val="en-US" w:eastAsia="zh-CN"/>
        </w:rPr>
        <w:t>脱贫攻坚成效明显。</w:t>
      </w:r>
      <w:r>
        <w:rPr>
          <w:rFonts w:hint="eastAsia" w:ascii="Times New Roman" w:hAnsi="Times New Roman" w:eastAsia="仿宋" w:cs="仿宋_GB2312"/>
          <w:sz w:val="32"/>
          <w:szCs w:val="32"/>
        </w:rPr>
        <w:t>聚焦“两不愁三保障”，</w:t>
      </w:r>
      <w:r>
        <w:rPr>
          <w:rFonts w:hint="eastAsia" w:ascii="Times New Roman" w:hAnsi="Times New Roman" w:eastAsia="仿宋" w:cs="Times New Roman"/>
          <w:sz w:val="32"/>
          <w:szCs w:val="32"/>
        </w:rPr>
        <w:t>产业扶贫、行业扶贫、驻村</w:t>
      </w:r>
      <w:r>
        <w:rPr>
          <w:rFonts w:hint="eastAsia" w:ascii="Times New Roman" w:hAnsi="Times New Roman" w:eastAsia="仿宋" w:cs="仿宋_GB2312"/>
          <w:sz w:val="32"/>
          <w:szCs w:val="32"/>
        </w:rPr>
        <w:t>帮扶、干部和</w:t>
      </w:r>
      <w:r>
        <w:rPr>
          <w:rFonts w:ascii="Times New Roman" w:hAnsi="Times New Roman" w:eastAsia="仿宋" w:cs="仿宋_GB2312"/>
          <w:sz w:val="32"/>
          <w:szCs w:val="32"/>
        </w:rPr>
        <w:t>企业</w:t>
      </w:r>
      <w:r>
        <w:rPr>
          <w:rFonts w:hint="eastAsia" w:ascii="Times New Roman" w:hAnsi="Times New Roman" w:eastAsia="仿宋" w:cs="仿宋_GB2312"/>
          <w:sz w:val="32"/>
          <w:szCs w:val="32"/>
        </w:rPr>
        <w:t>结对</w:t>
      </w:r>
      <w:r>
        <w:rPr>
          <w:rFonts w:ascii="Times New Roman" w:hAnsi="Times New Roman" w:eastAsia="仿宋" w:cs="仿宋_GB2312"/>
          <w:sz w:val="32"/>
          <w:szCs w:val="32"/>
        </w:rPr>
        <w:t>帮扶</w:t>
      </w:r>
      <w:r>
        <w:rPr>
          <w:rFonts w:hint="eastAsia" w:ascii="Times New Roman" w:hAnsi="Times New Roman" w:eastAsia="仿宋" w:cs="仿宋_GB2312"/>
          <w:sz w:val="32"/>
          <w:szCs w:val="32"/>
        </w:rPr>
        <w:t>扎实有效，贫困户易地扶贫搬迁全部入住，2</w:t>
      </w:r>
      <w:r>
        <w:rPr>
          <w:rFonts w:ascii="Times New Roman" w:hAnsi="Times New Roman" w:eastAsia="仿宋" w:cs="仿宋_GB2312"/>
          <w:sz w:val="32"/>
          <w:szCs w:val="32"/>
        </w:rPr>
        <w:t>834户</w:t>
      </w:r>
      <w:r>
        <w:rPr>
          <w:rFonts w:hint="eastAsia" w:ascii="Times New Roman" w:hAnsi="Times New Roman" w:eastAsia="仿宋" w:cs="仿宋_GB2312"/>
          <w:sz w:val="32"/>
          <w:szCs w:val="32"/>
        </w:rPr>
        <w:t>7</w:t>
      </w:r>
      <w:r>
        <w:rPr>
          <w:rFonts w:ascii="Times New Roman" w:hAnsi="Times New Roman" w:eastAsia="仿宋" w:cs="仿宋_GB2312"/>
          <w:sz w:val="32"/>
          <w:szCs w:val="32"/>
        </w:rPr>
        <w:t>559人脱贫</w:t>
      </w:r>
      <w:r>
        <w:rPr>
          <w:rFonts w:hint="eastAsia" w:ascii="Times New Roman" w:hAnsi="Times New Roman" w:eastAsia="仿宋" w:cs="仿宋_GB2312"/>
          <w:sz w:val="32"/>
          <w:szCs w:val="32"/>
        </w:rPr>
        <w:t>，3个贫困村出列，贫困发生率降至0.35%。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居民收入稳步增长。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城乡居民可支配收入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32402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元，比上年增长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8.7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%；城镇居民人均可支配收入3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9777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元，增长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8.5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%；农村居民人均可支配收入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20657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元，增长9.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_GB2312"/>
          <w:sz w:val="32"/>
          <w:szCs w:val="32"/>
          <w:lang w:val="en-US" w:eastAsia="zh-CN"/>
        </w:rPr>
        <w:t>社会保障更加有力。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全区城镇新增就业65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15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人，下岗失业人员再就业340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人，帮助“4050”等就业困难人员实现就业95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人。新增农村劳动力转移就业2610人，同比去年增长0.4%,其中新增贫困劳动力转移4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15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人，城镇登记失业率控制在3.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42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%。各类职业培训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6337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人。</w:t>
      </w:r>
      <w:r>
        <w:rPr>
          <w:rFonts w:hint="eastAsia" w:ascii="仿宋" w:hAnsi="仿宋" w:eastAsia="仿宋" w:cs="仿宋"/>
          <w:sz w:val="32"/>
          <w:szCs w:val="32"/>
        </w:rPr>
        <w:t>全区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共有参保企业685家，参保职工23007人，征缴基金31554万元；共有机关事业单位参保291家，实际缴费人数12811人，征缴基金20069万元，征缴职业年金8878万元。城乡居保共有参保人员39.35万人，征缴基金2711万元。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失业保险参保总人数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24213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人，征缴基金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141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工伤保险参保单位733家，参保人数36800人，征缴工伤保险基金1815万元。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企业养老保险同级财政补助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1428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万元，基本养老保险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发放率和社会化发放率均为100%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" w:cs="仿宋_GB2312"/>
          <w:sz w:val="32"/>
          <w:szCs w:val="32"/>
        </w:rPr>
        <w:t>城乡低保清理整顿、动态管理，累计发放各类救助1</w:t>
      </w:r>
      <w:r>
        <w:rPr>
          <w:rFonts w:ascii="Times New Roman" w:hAnsi="Times New Roman" w:eastAsia="仿宋" w:cs="仿宋_GB2312"/>
          <w:sz w:val="32"/>
          <w:szCs w:val="32"/>
        </w:rPr>
        <w:t>.</w:t>
      </w:r>
      <w:r>
        <w:rPr>
          <w:rFonts w:hint="eastAsia" w:ascii="Times New Roman" w:hAnsi="Times New Roman" w:eastAsia="仿宋" w:cs="仿宋_GB2312"/>
          <w:sz w:val="32"/>
          <w:szCs w:val="32"/>
        </w:rPr>
        <w:t>6</w:t>
      </w:r>
      <w:r>
        <w:rPr>
          <w:rFonts w:ascii="Times New Roman" w:hAnsi="Times New Roman" w:eastAsia="仿宋" w:cs="仿宋_GB2312"/>
          <w:sz w:val="32"/>
          <w:szCs w:val="32"/>
        </w:rPr>
        <w:t>亿元</w:t>
      </w:r>
      <w:r>
        <w:rPr>
          <w:rFonts w:hint="eastAsia" w:ascii="Times New Roman" w:hAnsi="Times New Roman" w:eastAsia="仿宋" w:cs="仿宋_GB2312"/>
          <w:sz w:val="32"/>
          <w:szCs w:val="32"/>
        </w:rPr>
        <w:t>。残疾人保障、农民工工资支付保障严格落实。改造棚户区1</w:t>
      </w:r>
      <w:r>
        <w:rPr>
          <w:rFonts w:ascii="Times New Roman" w:hAnsi="Times New Roman" w:eastAsia="仿宋" w:cs="仿宋_GB2312"/>
          <w:sz w:val="32"/>
          <w:szCs w:val="32"/>
        </w:rPr>
        <w:t>096户</w:t>
      </w:r>
      <w:r>
        <w:rPr>
          <w:rFonts w:hint="eastAsia" w:ascii="Times New Roman" w:hAnsi="Times New Roman" w:eastAsia="仿宋" w:cs="仿宋_GB2312"/>
          <w:sz w:val="32"/>
          <w:szCs w:val="32"/>
        </w:rPr>
        <w:t>、</w:t>
      </w:r>
      <w:r>
        <w:rPr>
          <w:rFonts w:ascii="Times New Roman" w:hAnsi="Times New Roman" w:eastAsia="仿宋" w:cs="仿宋_GB2312"/>
          <w:sz w:val="32"/>
          <w:szCs w:val="32"/>
        </w:rPr>
        <w:t>农村危房</w:t>
      </w:r>
      <w:r>
        <w:rPr>
          <w:rFonts w:hint="eastAsia" w:ascii="Times New Roman" w:hAnsi="Times New Roman" w:eastAsia="仿宋" w:cs="仿宋_GB2312"/>
          <w:sz w:val="32"/>
          <w:szCs w:val="32"/>
        </w:rPr>
        <w:t>4</w:t>
      </w:r>
      <w:r>
        <w:rPr>
          <w:rFonts w:ascii="Times New Roman" w:hAnsi="Times New Roman" w:eastAsia="仿宋" w:cs="仿宋_GB2312"/>
          <w:sz w:val="32"/>
          <w:szCs w:val="32"/>
        </w:rPr>
        <w:t>07户</w:t>
      </w:r>
      <w:r>
        <w:rPr>
          <w:rFonts w:hint="eastAsia" w:ascii="Times New Roman" w:hAnsi="Times New Roman" w:eastAsia="仿宋" w:cs="仿宋_GB2312"/>
          <w:sz w:val="32"/>
          <w:szCs w:val="32"/>
        </w:rPr>
        <w:t>。退役军人形成区乡村三级服务保障体系，信息采集和光荣牌更换悬挂全面完成，发放优抚资金</w:t>
      </w:r>
      <w:r>
        <w:rPr>
          <w:rFonts w:ascii="Times New Roman" w:hAnsi="Times New Roman" w:eastAsia="仿宋" w:cs="仿宋_GB2312"/>
          <w:sz w:val="32"/>
          <w:szCs w:val="32"/>
        </w:rPr>
        <w:t>7949</w:t>
      </w:r>
      <w:r>
        <w:rPr>
          <w:rFonts w:hint="eastAsia" w:ascii="Times New Roman" w:hAnsi="Times New Roman" w:eastAsia="仿宋" w:cs="仿宋_GB2312"/>
          <w:sz w:val="32"/>
          <w:szCs w:val="32"/>
        </w:rPr>
        <w:t>万元。</w:t>
      </w:r>
    </w:p>
    <w:p>
      <w:pPr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注：1、本公报数据为初步预计数。</w:t>
      </w:r>
    </w:p>
    <w:p>
      <w:pPr>
        <w:numPr>
          <w:ilvl w:val="0"/>
          <w:numId w:val="2"/>
        </w:numPr>
        <w:ind w:firstLine="640" w:firstLineChars="200"/>
        <w:jc w:val="left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地区生产总值、各行业增加值按现价计算，增长速度按可比价计算。</w:t>
      </w:r>
    </w:p>
    <w:p>
      <w:pPr>
        <w:numPr>
          <w:ilvl w:val="0"/>
          <w:numId w:val="0"/>
        </w:numPr>
        <w:jc w:val="right"/>
        <w:rPr>
          <w:rFonts w:hint="default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jc w:val="right"/>
        <w:rPr>
          <w:rFonts w:hint="default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301658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14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01E1"/>
    <w:multiLevelType w:val="singleLevel"/>
    <w:tmpl w:val="108801E1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85BFAF6"/>
    <w:multiLevelType w:val="singleLevel"/>
    <w:tmpl w:val="685BFAF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6D8"/>
    <w:rsid w:val="00042FFF"/>
    <w:rsid w:val="000447F2"/>
    <w:rsid w:val="000754E4"/>
    <w:rsid w:val="00095301"/>
    <w:rsid w:val="00117DA4"/>
    <w:rsid w:val="001244DE"/>
    <w:rsid w:val="00140FE8"/>
    <w:rsid w:val="00166B3D"/>
    <w:rsid w:val="00167734"/>
    <w:rsid w:val="001A0EA1"/>
    <w:rsid w:val="001C40EC"/>
    <w:rsid w:val="001D72CA"/>
    <w:rsid w:val="00224C61"/>
    <w:rsid w:val="002331B7"/>
    <w:rsid w:val="00237A80"/>
    <w:rsid w:val="002552B1"/>
    <w:rsid w:val="00266EAE"/>
    <w:rsid w:val="00273DF6"/>
    <w:rsid w:val="002D35B6"/>
    <w:rsid w:val="00316229"/>
    <w:rsid w:val="00325508"/>
    <w:rsid w:val="00332AF5"/>
    <w:rsid w:val="00352D90"/>
    <w:rsid w:val="003725DF"/>
    <w:rsid w:val="003A79BC"/>
    <w:rsid w:val="003A7B97"/>
    <w:rsid w:val="003C4D2A"/>
    <w:rsid w:val="003E78BC"/>
    <w:rsid w:val="00401C02"/>
    <w:rsid w:val="0040517A"/>
    <w:rsid w:val="00440560"/>
    <w:rsid w:val="0045319F"/>
    <w:rsid w:val="004557AB"/>
    <w:rsid w:val="00471E87"/>
    <w:rsid w:val="004969E7"/>
    <w:rsid w:val="004A5397"/>
    <w:rsid w:val="004C4142"/>
    <w:rsid w:val="00512ECD"/>
    <w:rsid w:val="00517888"/>
    <w:rsid w:val="00585C4A"/>
    <w:rsid w:val="005C79DD"/>
    <w:rsid w:val="00601455"/>
    <w:rsid w:val="006107EA"/>
    <w:rsid w:val="00646417"/>
    <w:rsid w:val="0064652F"/>
    <w:rsid w:val="00654DF1"/>
    <w:rsid w:val="006C5C4F"/>
    <w:rsid w:val="006C5E3F"/>
    <w:rsid w:val="006D76DB"/>
    <w:rsid w:val="006F7E6A"/>
    <w:rsid w:val="00700F51"/>
    <w:rsid w:val="00726299"/>
    <w:rsid w:val="00771AE3"/>
    <w:rsid w:val="00776676"/>
    <w:rsid w:val="0085791D"/>
    <w:rsid w:val="008725D1"/>
    <w:rsid w:val="00885F20"/>
    <w:rsid w:val="00887DDF"/>
    <w:rsid w:val="00891F89"/>
    <w:rsid w:val="008A7F07"/>
    <w:rsid w:val="00933F7C"/>
    <w:rsid w:val="009540AB"/>
    <w:rsid w:val="00966FB0"/>
    <w:rsid w:val="00984BDE"/>
    <w:rsid w:val="00A20060"/>
    <w:rsid w:val="00A21B76"/>
    <w:rsid w:val="00A34780"/>
    <w:rsid w:val="00A56C86"/>
    <w:rsid w:val="00A73E8F"/>
    <w:rsid w:val="00AF625E"/>
    <w:rsid w:val="00B35F72"/>
    <w:rsid w:val="00B66FF0"/>
    <w:rsid w:val="00B90E1D"/>
    <w:rsid w:val="00B92468"/>
    <w:rsid w:val="00BE2E28"/>
    <w:rsid w:val="00C24550"/>
    <w:rsid w:val="00C327C0"/>
    <w:rsid w:val="00C97BE2"/>
    <w:rsid w:val="00CB6318"/>
    <w:rsid w:val="00CC16D8"/>
    <w:rsid w:val="00D60D7B"/>
    <w:rsid w:val="00D660A8"/>
    <w:rsid w:val="00DC1950"/>
    <w:rsid w:val="00E009C2"/>
    <w:rsid w:val="00E0263E"/>
    <w:rsid w:val="00E56700"/>
    <w:rsid w:val="00E64FB8"/>
    <w:rsid w:val="00E8361A"/>
    <w:rsid w:val="00E84342"/>
    <w:rsid w:val="00E849DB"/>
    <w:rsid w:val="00EA4F37"/>
    <w:rsid w:val="00EE2790"/>
    <w:rsid w:val="00EE62F3"/>
    <w:rsid w:val="00EF1C00"/>
    <w:rsid w:val="00F06259"/>
    <w:rsid w:val="00F121FD"/>
    <w:rsid w:val="00F12B80"/>
    <w:rsid w:val="00F3466A"/>
    <w:rsid w:val="00F5510C"/>
    <w:rsid w:val="00F5742E"/>
    <w:rsid w:val="00F60BDE"/>
    <w:rsid w:val="00F63536"/>
    <w:rsid w:val="00F64224"/>
    <w:rsid w:val="00F676C5"/>
    <w:rsid w:val="00FB21A7"/>
    <w:rsid w:val="08F80591"/>
    <w:rsid w:val="27587B87"/>
    <w:rsid w:val="46A848DC"/>
    <w:rsid w:val="4FAF70DA"/>
    <w:rsid w:val="51C718C4"/>
    <w:rsid w:val="55C92F0A"/>
    <w:rsid w:val="5FC309A3"/>
    <w:rsid w:val="66EE4D86"/>
    <w:rsid w:val="67372EB2"/>
    <w:rsid w:val="6B74565C"/>
    <w:rsid w:val="7ABB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nhideWhenUsed="0" w:uiPriority="0" w:semiHidden="0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adjustRightInd w:val="0"/>
      <w:snapToGrid w:val="0"/>
      <w:spacing w:line="580" w:lineRule="exact"/>
      <w:ind w:firstLine="200" w:firstLineChars="200"/>
    </w:pPr>
    <w:rPr>
      <w:rFonts w:ascii="仿宋_GB2312" w:hAnsi="Times New Roman" w:eastAsia="仿宋_GB2312" w:cs="Times New Roman"/>
      <w:sz w:val="32"/>
      <w:szCs w:val="32"/>
    </w:r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tys-main-zt-aa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1080</Words>
  <Characters>6157</Characters>
  <Lines>51</Lines>
  <Paragraphs>14</Paragraphs>
  <TotalTime>9</TotalTime>
  <ScaleCrop>false</ScaleCrop>
  <LinksUpToDate>false</LinksUpToDate>
  <CharactersWithSpaces>7223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2019-02-20T08:58:00Z</dcterms:created>
  <dc:creator>Administrator</dc:creator>
  <cp:lastModifiedBy>LENVOV1</cp:lastModifiedBy>
  <cp:lastPrinted>2020-03-03T00:54:00Z</cp:lastPrinted>
  <dcterms:modified xsi:type="dcterms:W3CDTF">2020-03-10T09:10:33Z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