
<file path=[Content_Types].xml><?xml version="1.0" encoding="utf-8"?>
<Types xmlns="http://schemas.openxmlformats.org/package/2006/content-types">
  <Default Extension="bmp" ContentType="image/bmp"/>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仿宋" w:hAnsi="仿宋" w:eastAsia="仿宋" w:cs="仿宋"/>
          <w:b/>
          <w:bCs/>
          <w:sz w:val="40"/>
          <w:szCs w:val="40"/>
          <w:lang w:eastAsia="zh-CN"/>
        </w:rPr>
      </w:pPr>
    </w:p>
    <w:p>
      <w:pPr>
        <w:snapToGrid w:val="0"/>
        <w:spacing w:line="360" w:lineRule="auto"/>
        <w:jc w:val="center"/>
        <w:rPr>
          <w:rFonts w:hint="eastAsia" w:ascii="仿宋" w:hAnsi="仿宋" w:eastAsia="仿宋" w:cs="仿宋"/>
          <w:b/>
          <w:bCs/>
          <w:sz w:val="40"/>
          <w:szCs w:val="40"/>
          <w:lang w:eastAsia="zh-CN"/>
        </w:rPr>
      </w:pPr>
    </w:p>
    <w:p>
      <w:pPr>
        <w:snapToGrid w:val="0"/>
        <w:spacing w:line="360" w:lineRule="auto"/>
        <w:jc w:val="center"/>
        <w:rPr>
          <w:rFonts w:hint="eastAsia" w:ascii="仿宋" w:hAnsi="仿宋" w:eastAsia="仿宋" w:cs="仿宋"/>
          <w:b/>
          <w:bCs/>
          <w:sz w:val="40"/>
          <w:szCs w:val="40"/>
          <w:lang w:eastAsia="zh-CN"/>
        </w:rPr>
      </w:pPr>
    </w:p>
    <w:p>
      <w:pPr>
        <w:snapToGrid w:val="0"/>
        <w:spacing w:line="360" w:lineRule="auto"/>
        <w:jc w:val="center"/>
        <w:rPr>
          <w:rFonts w:hint="eastAsia" w:ascii="仿宋" w:hAnsi="仿宋" w:eastAsia="仿宋" w:cs="仿宋"/>
          <w:b/>
          <w:bCs/>
          <w:sz w:val="40"/>
          <w:szCs w:val="40"/>
          <w:lang w:eastAsia="zh-CN"/>
        </w:rPr>
      </w:pPr>
    </w:p>
    <w:p>
      <w:pPr>
        <w:snapToGrid w:val="0"/>
        <w:spacing w:line="360" w:lineRule="auto"/>
        <w:jc w:val="center"/>
        <w:rPr>
          <w:rFonts w:hint="eastAsia" w:ascii="仿宋" w:hAnsi="仿宋" w:eastAsia="仿宋" w:cs="仿宋"/>
          <w:b/>
          <w:bCs/>
          <w:sz w:val="40"/>
          <w:szCs w:val="40"/>
          <w:lang w:eastAsia="zh-CN"/>
        </w:rPr>
      </w:pPr>
      <w:bookmarkStart w:id="0" w:name="_GoBack"/>
      <w:bookmarkEnd w:id="0"/>
    </w:p>
    <w:p>
      <w:pPr>
        <w:snapToGrid w:val="0"/>
        <w:spacing w:line="360" w:lineRule="auto"/>
        <w:jc w:val="both"/>
        <w:rPr>
          <w:rFonts w:hint="eastAsia" w:ascii="仿宋" w:hAnsi="仿宋" w:eastAsia="仿宋" w:cs="仿宋"/>
          <w:b/>
          <w:bCs/>
          <w:sz w:val="40"/>
          <w:szCs w:val="40"/>
          <w:lang w:eastAsia="zh-CN"/>
        </w:rPr>
      </w:pPr>
      <w:r>
        <w:rPr>
          <w:rFonts w:hint="eastAsia" w:ascii="仿宋" w:hAnsi="仿宋" w:eastAsia="仿宋" w:cs="仿宋"/>
          <w:b/>
          <w:bCs/>
          <w:sz w:val="40"/>
          <w:szCs w:val="40"/>
          <w:lang w:eastAsia="zh-CN"/>
        </w:rPr>
        <w:t>《</w:t>
      </w:r>
      <w:r>
        <w:rPr>
          <w:rFonts w:hint="eastAsia" w:ascii="仿宋" w:hAnsi="仿宋" w:eastAsia="仿宋" w:cs="仿宋"/>
          <w:b/>
          <w:bCs/>
          <w:sz w:val="40"/>
          <w:szCs w:val="40"/>
        </w:rPr>
        <w:t>泥江口镇国土空间规划（2021-2035</w:t>
      </w:r>
      <w:r>
        <w:rPr>
          <w:rFonts w:hint="eastAsia" w:ascii="仿宋" w:hAnsi="仿宋" w:eastAsia="仿宋" w:cs="仿宋"/>
          <w:b/>
          <w:bCs/>
          <w:sz w:val="40"/>
          <w:szCs w:val="40"/>
          <w:lang w:val="en-US" w:eastAsia="zh-CN"/>
        </w:rPr>
        <w:t>年</w:t>
      </w:r>
      <w:r>
        <w:rPr>
          <w:rFonts w:hint="eastAsia" w:ascii="仿宋" w:hAnsi="仿宋" w:eastAsia="仿宋" w:cs="仿宋"/>
          <w:b/>
          <w:bCs/>
          <w:sz w:val="40"/>
          <w:szCs w:val="40"/>
        </w:rPr>
        <w:t>）</w:t>
      </w:r>
      <w:r>
        <w:rPr>
          <w:rFonts w:hint="eastAsia" w:ascii="仿宋" w:hAnsi="仿宋" w:eastAsia="仿宋" w:cs="仿宋"/>
          <w:b/>
          <w:bCs/>
          <w:sz w:val="40"/>
          <w:szCs w:val="40"/>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r>
        <w:rPr>
          <w:rFonts w:hint="eastAsia" w:ascii="仿宋" w:hAnsi="仿宋" w:eastAsia="仿宋" w:cs="仿宋"/>
          <w:b/>
          <w:bCs/>
          <w:sz w:val="40"/>
          <w:szCs w:val="40"/>
          <w:lang w:eastAsia="zh-CN"/>
        </w:rPr>
        <w:t>公示稿</w:t>
      </w: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sz w:val="40"/>
          <w:szCs w:val="40"/>
          <w:lang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一、规划范围与期限</w:t>
      </w:r>
    </w:p>
    <w:p>
      <w:p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1、规划期限</w:t>
      </w:r>
    </w:p>
    <w:p>
      <w:pPr>
        <w:spacing w:line="360" w:lineRule="auto"/>
        <w:ind w:firstLine="480" w:firstLineChars="200"/>
        <w:rPr>
          <w:rFonts w:hint="eastAsia" w:ascii="仿宋" w:hAnsi="仿宋" w:eastAsia="仿宋" w:cs="仿宋"/>
          <w:b w:val="0"/>
          <w:bCs w:val="0"/>
          <w:sz w:val="28"/>
          <w:szCs w:val="28"/>
          <w:lang w:val="en-US" w:eastAsia="zh-CN"/>
        </w:rPr>
      </w:pPr>
      <w:r>
        <w:rPr>
          <w:rFonts w:hint="eastAsia" w:ascii="仿宋" w:hAnsi="仿宋" w:eastAsia="仿宋" w:cs="仿宋"/>
          <w:color w:val="auto"/>
        </w:rPr>
        <w:t>本次规划期限为2021年－2035年</w:t>
      </w:r>
      <w:r>
        <w:rPr>
          <w:rFonts w:hint="eastAsia" w:ascii="仿宋" w:hAnsi="仿宋" w:eastAsia="仿宋" w:cs="仿宋"/>
          <w:bCs/>
          <w:color w:val="auto"/>
        </w:rPr>
        <w:t>，</w:t>
      </w:r>
      <w:r>
        <w:rPr>
          <w:rFonts w:hint="eastAsia" w:ascii="仿宋" w:hAnsi="仿宋" w:eastAsia="仿宋" w:cs="仿宋"/>
          <w:color w:val="auto"/>
        </w:rPr>
        <w:t>以2020年为规划基期年，规划目标年为2035年，近期年为2025年。</w:t>
      </w:r>
    </w:p>
    <w:p>
      <w:pPr>
        <w:rPr>
          <w:rFonts w:hint="eastAsia"/>
          <w:lang w:val="en-US" w:eastAsia="zh-CN"/>
        </w:rPr>
      </w:pPr>
    </w:p>
    <w:p>
      <w:pPr>
        <w:numPr>
          <w:ilvl w:val="0"/>
          <w:numId w:val="1"/>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规划范围</w:t>
      </w:r>
    </w:p>
    <w:p>
      <w:pPr>
        <w:wordWrap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本次规划范围为泥江口镇行政辖区全部国土空间，包括镇域全部、泥江口镇政府驻地两个层次。</w:t>
      </w:r>
    </w:p>
    <w:p>
      <w:pPr>
        <w:wordWrap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镇域规划范围：总面积</w:t>
      </w:r>
      <w:r>
        <w:rPr>
          <w:rFonts w:hint="eastAsia" w:ascii="仿宋" w:hAnsi="仿宋" w:eastAsia="仿宋" w:cs="仿宋"/>
          <w:color w:val="auto"/>
          <w:highlight w:val="none"/>
          <w:lang w:val="en-US" w:eastAsia="zh-CN"/>
        </w:rPr>
        <w:t>137.80平方公里</w:t>
      </w:r>
      <w:r>
        <w:rPr>
          <w:rFonts w:hint="eastAsia" w:ascii="仿宋" w:hAnsi="仿宋" w:eastAsia="仿宋" w:cs="仿宋"/>
          <w:color w:val="auto"/>
          <w:highlight w:val="none"/>
        </w:rPr>
        <w:t>，下辖</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rPr>
        <w:t>个行政村</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个社区</w:t>
      </w:r>
      <w:r>
        <w:rPr>
          <w:rFonts w:hint="eastAsia" w:ascii="仿宋" w:hAnsi="仿宋" w:eastAsia="仿宋" w:cs="仿宋"/>
          <w:color w:val="auto"/>
          <w:highlight w:val="none"/>
        </w:rPr>
        <w:t>；</w:t>
      </w:r>
    </w:p>
    <w:p>
      <w:pPr>
        <w:wordWrap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泥江口镇</w:t>
      </w:r>
      <w:r>
        <w:rPr>
          <w:rFonts w:hint="eastAsia" w:ascii="仿宋" w:hAnsi="仿宋" w:eastAsia="仿宋" w:cs="仿宋"/>
          <w:color w:val="auto"/>
          <w:highlight w:val="none"/>
        </w:rPr>
        <w:t>政府驻地：总面积为</w:t>
      </w:r>
      <w:r>
        <w:rPr>
          <w:rFonts w:hint="eastAsia" w:ascii="仿宋" w:hAnsi="仿宋" w:eastAsia="仿宋" w:cs="仿宋"/>
          <w:color w:val="auto"/>
          <w:highlight w:val="none"/>
          <w:lang w:val="en-US" w:eastAsia="zh-CN"/>
        </w:rPr>
        <w:t>2.58</w:t>
      </w:r>
      <w:r>
        <w:rPr>
          <w:rFonts w:hint="eastAsia" w:ascii="仿宋" w:hAnsi="仿宋" w:eastAsia="仿宋" w:cs="仿宋"/>
          <w:color w:val="auto"/>
          <w:highlight w:val="none"/>
        </w:rPr>
        <w:t>平方公里，</w:t>
      </w:r>
      <w:r>
        <w:rPr>
          <w:rFonts w:hint="eastAsia" w:ascii="仿宋" w:hAnsi="仿宋" w:eastAsia="仿宋" w:cs="仿宋"/>
          <w:color w:val="auto"/>
          <w:highlight w:val="none"/>
          <w:lang w:val="en-US" w:eastAsia="zh-CN"/>
        </w:rPr>
        <w:t>其中城镇开发边界1.77平方公里，</w:t>
      </w:r>
      <w:r>
        <w:rPr>
          <w:rFonts w:hint="eastAsia" w:ascii="仿宋" w:hAnsi="仿宋" w:eastAsia="仿宋" w:cs="仿宋"/>
          <w:color w:val="auto"/>
          <w:highlight w:val="none"/>
        </w:rPr>
        <w:t>涉及</w:t>
      </w:r>
      <w:r>
        <w:rPr>
          <w:rFonts w:hint="eastAsia" w:ascii="仿宋" w:hAnsi="仿宋" w:eastAsia="仿宋" w:cs="仿宋"/>
          <w:color w:val="auto"/>
          <w:highlight w:val="none"/>
          <w:lang w:eastAsia="zh-CN"/>
        </w:rPr>
        <w:t>九二五社区、</w:t>
      </w:r>
      <w:r>
        <w:rPr>
          <w:rFonts w:hint="eastAsia" w:ascii="仿宋" w:hAnsi="仿宋" w:eastAsia="仿宋" w:cs="仿宋"/>
          <w:color w:val="auto"/>
          <w:highlight w:val="none"/>
          <w:lang w:val="en-US" w:eastAsia="zh-CN"/>
        </w:rPr>
        <w:t>灰矿农业工区</w:t>
      </w:r>
      <w:r>
        <w:rPr>
          <w:rFonts w:hint="eastAsia" w:ascii="仿宋" w:hAnsi="仿宋" w:eastAsia="仿宋" w:cs="仿宋"/>
          <w:color w:val="auto"/>
          <w:highlight w:val="none"/>
          <w:lang w:eastAsia="zh-CN"/>
        </w:rPr>
        <w:t>及岩子潭</w:t>
      </w:r>
      <w:r>
        <w:rPr>
          <w:rFonts w:hint="eastAsia" w:ascii="仿宋" w:hAnsi="仿宋" w:eastAsia="仿宋" w:cs="仿宋"/>
          <w:color w:val="auto"/>
          <w:highlight w:val="none"/>
        </w:rPr>
        <w:t>村、</w:t>
      </w:r>
      <w:r>
        <w:rPr>
          <w:rFonts w:hint="eastAsia" w:ascii="仿宋" w:hAnsi="仿宋" w:eastAsia="仿宋" w:cs="仿宋"/>
          <w:color w:val="auto"/>
          <w:highlight w:val="none"/>
          <w:lang w:eastAsia="zh-CN"/>
        </w:rPr>
        <w:t>横堤</w:t>
      </w:r>
      <w:r>
        <w:rPr>
          <w:rFonts w:hint="eastAsia" w:ascii="仿宋" w:hAnsi="仿宋" w:eastAsia="仿宋" w:cs="仿宋"/>
          <w:color w:val="auto"/>
          <w:highlight w:val="none"/>
        </w:rPr>
        <w:t>村、</w:t>
      </w:r>
      <w:r>
        <w:rPr>
          <w:rFonts w:hint="eastAsia" w:ascii="仿宋" w:hAnsi="仿宋" w:eastAsia="仿宋" w:cs="仿宋"/>
          <w:color w:val="auto"/>
          <w:highlight w:val="none"/>
          <w:lang w:eastAsia="zh-CN"/>
        </w:rPr>
        <w:t>七里江</w:t>
      </w:r>
      <w:r>
        <w:rPr>
          <w:rFonts w:hint="eastAsia" w:ascii="仿宋" w:hAnsi="仿宋" w:eastAsia="仿宋" w:cs="仿宋"/>
          <w:color w:val="auto"/>
          <w:highlight w:val="none"/>
        </w:rPr>
        <w:t>村</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个行政村。</w:t>
      </w:r>
    </w:p>
    <w:p>
      <w:pPr>
        <w:pStyle w:val="2"/>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hint="eastAsia" w:eastAsia="宋体"/>
          <w:lang w:eastAsia="zh-CN"/>
        </w:rPr>
      </w:pPr>
      <w:r>
        <w:rPr>
          <w:rFonts w:ascii="宋体" w:hAnsi="宋体" w:eastAsia="宋体" w:cs="宋体"/>
          <w:sz w:val="24"/>
          <w:szCs w:val="24"/>
        </w:rPr>
        <w:drawing>
          <wp:inline distT="0" distB="0" distL="114300" distR="114300">
            <wp:extent cx="5029835" cy="3440430"/>
            <wp:effectExtent l="0" t="0" r="18415" b="7620"/>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4"/>
                    <a:stretch>
                      <a:fillRect/>
                    </a:stretch>
                  </pic:blipFill>
                  <pic:spPr>
                    <a:xfrm>
                      <a:off x="0" y="0"/>
                      <a:ext cx="5029835" cy="3440430"/>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outlineLvl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规划范围图</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二、发展定位与战略目标</w:t>
      </w:r>
    </w:p>
    <w:p>
      <w:p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1、发展定位</w:t>
      </w:r>
    </w:p>
    <w:p>
      <w:pPr>
        <w:snapToGrid w:val="0"/>
        <w:spacing w:line="360" w:lineRule="auto"/>
        <w:ind w:firstLine="480" w:firstLineChars="200"/>
        <w:jc w:val="left"/>
        <w:rPr>
          <w:rFonts w:hint="eastAsia"/>
          <w:lang w:val="en-US" w:eastAsia="zh-CN"/>
        </w:rPr>
      </w:pPr>
      <w:r>
        <w:rPr>
          <w:rFonts w:hint="eastAsia" w:ascii="仿宋" w:hAnsi="仿宋" w:eastAsia="仿宋" w:cs="仿宋"/>
          <w:color w:val="auto"/>
          <w:highlight w:val="none"/>
          <w:lang w:val="en-US" w:eastAsia="zh-CN"/>
        </w:rPr>
        <w:t>坚持生态绿色发展，以“国家级农业产业强镇、湖南省竹制品产业强镇、益阳市重点发展镇、赫山区西部地区工矿大镇”为主要定位的产业发展型乡镇。</w:t>
      </w:r>
    </w:p>
    <w:p>
      <w:pPr>
        <w:numPr>
          <w:ilvl w:val="0"/>
          <w:numId w:val="0"/>
        </w:numPr>
        <w:snapToGrid w:val="0"/>
        <w:spacing w:line="360" w:lineRule="auto"/>
        <w:ind w:firstLine="560" w:firstLineChars="200"/>
        <w:jc w:val="left"/>
        <w:outlineLvl w:val="1"/>
        <w:rPr>
          <w:rFonts w:hint="eastAsia"/>
          <w:highlight w:val="none"/>
          <w:lang w:val="en-US" w:eastAsia="zh-CN"/>
        </w:rPr>
      </w:pPr>
      <w:r>
        <w:rPr>
          <w:rFonts w:hint="eastAsia" w:ascii="仿宋" w:hAnsi="仿宋" w:eastAsia="仿宋" w:cs="仿宋"/>
          <w:b w:val="0"/>
          <w:bCs w:val="0"/>
          <w:sz w:val="28"/>
          <w:szCs w:val="28"/>
          <w:highlight w:val="none"/>
          <w:lang w:val="en-US" w:eastAsia="zh-CN"/>
        </w:rPr>
        <w:t>2、发展目标</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u w:val="none"/>
          <w:lang w:val="en-US" w:eastAsia="zh-CN"/>
        </w:rPr>
      </w:pPr>
      <w:r>
        <w:rPr>
          <w:rFonts w:hint="eastAsia" w:ascii="仿宋" w:hAnsi="仿宋" w:eastAsia="仿宋" w:cs="仿宋"/>
          <w:color w:val="auto"/>
          <w:u w:val="none"/>
          <w:lang w:val="en-US" w:eastAsia="zh-CN"/>
        </w:rPr>
        <w:t>总体目标：以发展特色农产品规模种植与加工、矿产资源开发、乡村旅游为主的现代休闲、体验、生态小镇。</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u w:val="none"/>
          <w:lang w:val="en-US" w:eastAsia="zh-CN"/>
        </w:rPr>
      </w:pPr>
      <w:r>
        <w:rPr>
          <w:rFonts w:hint="eastAsia" w:ascii="仿宋" w:hAnsi="仿宋" w:eastAsia="仿宋" w:cs="仿宋"/>
          <w:color w:val="auto"/>
          <w:u w:val="none"/>
          <w:lang w:val="en-US" w:eastAsia="zh-CN"/>
        </w:rPr>
        <w:t>社会发展目标：建立起经济社会发展需要相适应的现代化教育机制和医疗水平，使教育、医疗水平领先益阳地区前列；加强基础设施、公共服务设施建设力度，落实“以人为本”发展目标；逐步建立完善的社会保障体系和社会服务体系。</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u w:val="none"/>
          <w:lang w:val="en-US" w:eastAsia="zh-CN"/>
        </w:rPr>
      </w:pPr>
      <w:r>
        <w:rPr>
          <w:rFonts w:hint="eastAsia" w:ascii="仿宋" w:hAnsi="仿宋" w:eastAsia="仿宋" w:cs="仿宋"/>
          <w:color w:val="auto"/>
          <w:u w:val="none"/>
          <w:lang w:val="en-US" w:eastAsia="zh-CN"/>
        </w:rPr>
        <w:t xml:space="preserve"> 经济发展目标：进一步优化泥江口镇一二三产产业结构，提高居民收入，增加可支配收入，合理利用闲置用地，优化产业布局结构，引进先进产业、企业，提高人均GDP。</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rPr>
      </w:pPr>
      <w:r>
        <w:rPr>
          <w:rFonts w:hint="eastAsia" w:ascii="仿宋" w:hAnsi="仿宋" w:eastAsia="仿宋" w:cs="仿宋"/>
          <w:color w:val="auto"/>
          <w:u w:val="none"/>
          <w:lang w:val="en-US" w:eastAsia="zh-CN"/>
        </w:rPr>
        <w:t>文化发展目标：乡镇文化设施配置齐全、文化产业相对繁荣。</w:t>
      </w:r>
      <w:r>
        <w:rPr>
          <w:rFonts w:hint="eastAsia" w:ascii="仿宋" w:hAnsi="仿宋" w:eastAsia="仿宋" w:cs="仿宋"/>
          <w:color w:val="auto"/>
        </w:rPr>
        <w:t>城镇文化创造力、传播力、影响力持续提升，市民文化参与感、获得感、幸福感不断增强</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ascii="仿宋" w:hAnsi="仿宋" w:eastAsia="仿宋" w:cs="仿宋"/>
          <w:color w:val="auto"/>
          <w:u w:val="none"/>
          <w:lang w:val="en-US" w:eastAsia="zh-CN"/>
        </w:rPr>
        <w:t>生态发展目标：加强生态建设和环境保护，发展循环经济，提高资源利用效率，</w:t>
      </w:r>
      <w:r>
        <w:rPr>
          <w:rFonts w:hint="eastAsia" w:ascii="仿宋" w:hAnsi="仿宋" w:eastAsia="仿宋" w:cs="仿宋"/>
          <w:color w:val="auto"/>
        </w:rPr>
        <w:t>增强可持续发展能力，促进区域经济、社会、环境的协调发展</w:t>
      </w:r>
      <w:r>
        <w:rPr>
          <w:rFonts w:hint="eastAsia" w:ascii="仿宋" w:hAnsi="仿宋" w:eastAsia="仿宋" w:cs="仿宋"/>
          <w:color w:val="auto"/>
          <w:lang w:eastAsia="zh-CN"/>
        </w:rPr>
        <w:t>，</w:t>
      </w:r>
      <w:r>
        <w:rPr>
          <w:rFonts w:hint="eastAsia" w:ascii="仿宋" w:hAnsi="仿宋" w:eastAsia="仿宋" w:cs="仿宋"/>
          <w:color w:val="auto"/>
        </w:rPr>
        <w:t>使泥江口镇成为人民生活富裕、生态环境良好、人居环境优美舒适、人与自然和谐相处、经济发展步入良性循环、社会文明进步的可持续发展城镇。</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3、发展战略</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生态本底保护战略：始终坚持“生态立镇”基本原则，落实国土空间规划确定的“三区三线”管控要求，加强山体生态保护，确保生态功能不退化。区域协调发展战略：积极融入益阳市重点发展镇，抢抓重大战略机遇，努力实现区域协同、融合发展。</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绿色产业发展战略：改造提升传统产业，构建竹制品产业、生态农业、矿产资源、休闲文旅等四大主导产业。以生态农业为基础，以竹制品产业为龙头，带动发展休闲旅游，推进产业升级；打造泥江口益娄高速互通口，建设竹木专业物流园；着力培育发展新型业态，积极发展矿产资源，打造益阳市重点发展镇。城镇空间优化战略：加快完善城镇发展结构体系，优化产业职能、带动镇域城镇化水平不断提升；结合交通设施、居住空间和产业集聚，加快产业聚集和人口聚集，以辐射周边乡镇与村庄。</w:t>
      </w:r>
    </w:p>
    <w:p>
      <w:pPr>
        <w:numPr>
          <w:ilvl w:val="0"/>
          <w:numId w:val="0"/>
        </w:numPr>
        <w:snapToGrid w:val="0"/>
        <w:spacing w:line="360" w:lineRule="auto"/>
        <w:ind w:firstLine="560" w:firstLineChars="200"/>
        <w:jc w:val="left"/>
        <w:outlineLvl w:val="1"/>
        <w:rPr>
          <w:rFonts w:hint="default"/>
          <w:lang w:val="en-US" w:eastAsia="zh-CN"/>
        </w:rPr>
      </w:pPr>
      <w:r>
        <w:rPr>
          <w:rFonts w:hint="eastAsia" w:ascii="仿宋" w:hAnsi="仿宋" w:eastAsia="仿宋" w:cs="仿宋"/>
          <w:b w:val="0"/>
          <w:bCs w:val="0"/>
          <w:sz w:val="28"/>
          <w:szCs w:val="28"/>
          <w:lang w:val="en-US" w:eastAsia="zh-CN"/>
        </w:rPr>
        <w:t>4、全域主要发展指标</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根据泥江口镇实际情况，从镇域、镇政府驻地两个层级方面制定规划近远期规划指标。明确落实9规划指标，其中4个约束性指标，5个预期性指标。</w:t>
      </w:r>
    </w:p>
    <w:p>
      <w:pPr>
        <w:pStyle w:val="2"/>
        <w:rPr>
          <w:rFonts w:hint="eastAsia"/>
          <w:lang w:val="en-US" w:eastAsia="zh-CN"/>
        </w:rPr>
      </w:pP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基础评估分析</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1、现状评估</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（1）现状分析</w:t>
      </w:r>
    </w:p>
    <w:p>
      <w:pPr>
        <w:snapToGrid w:val="0"/>
        <w:spacing w:line="360" w:lineRule="auto"/>
        <w:ind w:firstLine="480" w:firstLineChars="200"/>
        <w:jc w:val="left"/>
        <w:outlineLvl w:val="2"/>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泥江口镇自然资源禀赋丰富，公共服务与基础设施齐全，区位优势明显，对外交通便利，产业发展基础好，一产种类丰富，其中艾叶的一二三产融合发展已初见雏形，二产竹制品加工发展势头好。同时，泥江口镇产业结构相对单一，三产发展相对滞后，环境保护与耕地保护的压力较大。</w:t>
      </w:r>
    </w:p>
    <w:p>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（2）双评价</w:t>
      </w:r>
    </w:p>
    <w:p>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生态保护等级评价：泥江口镇生态保护中等重要及中等重要以上占主要部分。农业开发适宜性评价：泥江口镇农业开发较低度适宜区占主要部分。</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2、风险评估</w:t>
      </w:r>
    </w:p>
    <w:p>
      <w:pPr>
        <w:keepNext w:val="0"/>
        <w:keepLines w:val="0"/>
        <w:pageBreakBefore w:val="0"/>
        <w:widowControl/>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泥江口镇自然灾害主要为地质灾害，以滑坡为主，地质灾害点5处，中风险及以上切坡建房点859处，建房与重点项目选址均需避让。</w:t>
      </w: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国土空间格局</w:t>
      </w:r>
    </w:p>
    <w:p>
      <w:p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1、统筹优化国土空间功能分区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结合泥江口镇发展定位，坚持底线思维，统筹“山水林田湖草沙”等保护要素和文化、产业、交通等发展类要素布局，构建泥江口镇“一心两轴一平台、一廊多点两片区”的国土空间开发保护总体格局。</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一心：以镇政府驻地公共服务中心为核心，集行政办公、商业贸易、餐饮购物、休闲娱乐、舒适居住、电子商务、工业仓储等复合功能于一体，联动周边村庄，形成城镇服务与产业发展核心。</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两轴：以华常高速S71为南北向对外发展轴；以省道S321与国道G234为东西向镇域内外联动发展轴。</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一平台：镇政府驻地工业产业发展平台。</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廊：以志溪河以及支流为核心的休闲生态防护廊道。通过“水-岸-底”系统构建生态环境，控制沿河两岸建设，科学合理设置亲水场所、游憩平台，整体打造具有文化、休闲、观赏等多功能于一体的生态景观廊道。</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多点：以镇域内大型水库为饮水水源的保护点。</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两片区：特色农业发展示范片区、天然山林生态保育片区。</w:t>
      </w:r>
      <w:r>
        <w:rPr>
          <w:rFonts w:hint="eastAsia" w:ascii="仿宋" w:hAnsi="仿宋" w:eastAsia="仿宋" w:cs="仿宋"/>
          <w:color w:val="auto"/>
          <w:highlight w:val="none"/>
          <w:lang w:val="en-US" w:eastAsia="zh-CN"/>
        </w:rPr>
        <w:drawing>
          <wp:inline distT="0" distB="0" distL="114300" distR="114300">
            <wp:extent cx="5273040" cy="3785870"/>
            <wp:effectExtent l="0" t="0" r="3810" b="508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5"/>
                    <a:stretch>
                      <a:fillRect/>
                    </a:stretch>
                  </pic:blipFill>
                  <pic:spPr>
                    <a:xfrm>
                      <a:off x="0" y="0"/>
                      <a:ext cx="5273040" cy="37858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国土空间总体格局</w:t>
      </w:r>
    </w:p>
    <w:p>
      <w:pPr>
        <w:pStyle w:val="2"/>
        <w:rPr>
          <w:rFonts w:hint="eastAsia"/>
          <w:lang w:val="en-US" w:eastAsia="zh-CN"/>
        </w:rPr>
      </w:pP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2、划定“三线”指引国土空间优化</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落实永久基本农田保护面积2063.84公顷（30957.66亩）。</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泥江口镇不涉及生态保护红线。</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落实城镇开发边界线面积225.31公顷。</w:t>
      </w:r>
    </w:p>
    <w:p>
      <w:pPr>
        <w:pStyle w:val="2"/>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lang w:val="en-US" w:eastAsia="zh-CN"/>
        </w:rPr>
      </w:pPr>
      <w:r>
        <w:rPr>
          <w:rFonts w:hint="eastAsia"/>
          <w:lang w:val="en-US" w:eastAsia="zh-CN"/>
        </w:rPr>
        <w:drawing>
          <wp:inline distT="0" distB="0" distL="114300" distR="114300">
            <wp:extent cx="5265420" cy="3724275"/>
            <wp:effectExtent l="0" t="0" r="11430" b="9525"/>
            <wp:docPr id="3" name="图片 3" descr="03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国土空间控制线规划图"/>
                    <pic:cNvPicPr>
                      <a:picLocks noChangeAspect="1"/>
                    </pic:cNvPicPr>
                  </pic:nvPicPr>
                  <pic:blipFill>
                    <a:blip r:embed="rId6"/>
                    <a:stretch>
                      <a:fillRect/>
                    </a:stretch>
                  </pic:blipFill>
                  <pic:spPr>
                    <a:xfrm>
                      <a:off x="0" y="0"/>
                      <a:ext cx="5265420" cy="37242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0"/>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国土空间控制线规划图</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aps/>
          <w:color w:val="auto"/>
          <w:kern w:val="2"/>
          <w:sz w:val="24"/>
          <w:szCs w:val="24"/>
          <w:highlight w:val="none"/>
          <w:lang w:val="en-US" w:eastAsia="zh-CN" w:bidi="ar-SA"/>
        </w:rPr>
      </w:pP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国土空间保护</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1、生态环境保护</w:t>
      </w:r>
    </w:p>
    <w:p>
      <w:pPr>
        <w:pStyle w:val="2"/>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ascii="仿宋" w:hAnsi="仿宋" w:eastAsia="仿宋" w:cs="仿宋"/>
          <w:b w:val="0"/>
          <w:bCs w:val="0"/>
          <w:caps w:val="0"/>
          <w:color w:val="auto"/>
          <w:kern w:val="2"/>
          <w:sz w:val="24"/>
          <w:szCs w:val="21"/>
          <w:u w:val="none"/>
          <w:lang w:val="en-US" w:eastAsia="zh-CN" w:bidi="ar-SA"/>
        </w:rPr>
      </w:pPr>
      <w:r>
        <w:rPr>
          <w:rFonts w:hint="eastAsia" w:ascii="仿宋" w:hAnsi="仿宋" w:eastAsia="仿宋" w:cs="仿宋"/>
          <w:b w:val="0"/>
          <w:bCs w:val="0"/>
          <w:caps w:val="0"/>
          <w:color w:val="auto"/>
          <w:kern w:val="2"/>
          <w:sz w:val="24"/>
          <w:szCs w:val="21"/>
          <w:u w:val="none"/>
          <w:lang w:val="en-US" w:eastAsia="zh-CN" w:bidi="ar-SA"/>
        </w:rPr>
        <w:t>落实生态公益林范围，面积3653.69公顷，落实河湖划界管控线范围，面积371.95公顷，落实饮用水源保护区，面积660.36公顷（含水域和陆域保护面积），落实益阳市山体水体保护区，面积2071.76公顷，落实《益阳市人民政府关于实施“三线一单”生态环境分区管控的意见》，泥江口镇属于重点管控单元，重点管控水、大气、土壤、自然资源等资源环境要素。</w:t>
      </w:r>
    </w:p>
    <w:p>
      <w:pPr>
        <w:numPr>
          <w:ilvl w:val="0"/>
          <w:numId w:val="0"/>
        </w:numPr>
        <w:snapToGrid w:val="0"/>
        <w:spacing w:line="360" w:lineRule="auto"/>
        <w:ind w:firstLine="560" w:firstLineChars="200"/>
        <w:jc w:val="left"/>
        <w:outlineLvl w:val="1"/>
        <w:rPr>
          <w:rFonts w:hint="default"/>
          <w:lang w:val="en-US" w:eastAsia="zh-CN"/>
        </w:rPr>
      </w:pPr>
      <w:r>
        <w:rPr>
          <w:rFonts w:hint="eastAsia" w:ascii="仿宋" w:hAnsi="仿宋" w:eastAsia="仿宋" w:cs="仿宋"/>
          <w:b w:val="0"/>
          <w:bCs w:val="0"/>
          <w:sz w:val="28"/>
          <w:szCs w:val="28"/>
          <w:lang w:val="en-US" w:eastAsia="zh-CN"/>
        </w:rPr>
        <w:t>2、耕地资源保护</w:t>
      </w:r>
    </w:p>
    <w:p>
      <w:pPr>
        <w:widowControl w:val="0"/>
        <w:autoSpaceDE w:val="0"/>
        <w:autoSpaceDN w:val="0"/>
        <w:adjustRightInd w:val="0"/>
        <w:spacing w:line="360" w:lineRule="auto"/>
        <w:ind w:firstLine="480" w:firstLineChars="200"/>
        <w:jc w:val="left"/>
        <w:rPr>
          <w:rFonts w:hint="eastAsia" w:ascii="仿宋" w:hAnsi="仿宋" w:eastAsia="仿宋" w:cs="仿宋"/>
          <w:b w:val="0"/>
          <w:bCs w:val="0"/>
          <w:caps w:val="0"/>
          <w:color w:val="auto"/>
          <w:kern w:val="2"/>
          <w:sz w:val="24"/>
          <w:szCs w:val="21"/>
          <w:u w:val="none"/>
          <w:lang w:val="en-US" w:eastAsia="zh-CN" w:bidi="ar-SA"/>
        </w:rPr>
      </w:pPr>
      <w:r>
        <w:rPr>
          <w:rFonts w:hint="eastAsia" w:ascii="仿宋" w:hAnsi="仿宋" w:eastAsia="仿宋" w:cs="仿宋"/>
          <w:b w:val="0"/>
          <w:bCs w:val="0"/>
          <w:caps w:val="0"/>
          <w:color w:val="auto"/>
          <w:kern w:val="2"/>
          <w:sz w:val="24"/>
          <w:szCs w:val="21"/>
          <w:u w:val="none"/>
          <w:lang w:val="en-US" w:eastAsia="zh-CN" w:bidi="ar-SA"/>
        </w:rPr>
        <w:t>落实上位规划确定的永久基本农田保护面积的目标与任务，至2035年泥江口镇永久基本农田保护目标为2063.84公顷（约30957.66亩）；落实上位规划确定的耕地保护目标，规划至2035年，全镇耕地保护目标不低于2861.43公顷（约42921.38亩）。</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3、历史文化资源保护</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重点保护七里江狮子桥历史文保单位、跃进车站旧址历史文保单位、呇山桥历史文保单位、曾士峨故居历史文保单位、周家大院—人民公社食堂旧址5处历史文保单位，以建筑为中心，四向各延伸20米为保护范围，以保护范围之外，四向各延伸50米为建设控制地带，其余尚未核定为文物保护单位的古建筑、遗址等实施原址保护。</w:t>
      </w:r>
    </w:p>
    <w:p>
      <w:pPr>
        <w:rPr>
          <w:rFonts w:hint="eastAsia"/>
          <w:lang w:val="en-US" w:eastAsia="zh-CN"/>
        </w:rPr>
      </w:pP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镇域空间规划</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1、人口与城镇化发展</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（1）城镇人口规模</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至2025年，泥江口镇总人口59777万人；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至2035年，泥江口镇总人口57660万人；</w:t>
      </w:r>
    </w:p>
    <w:p>
      <w:pPr>
        <w:numPr>
          <w:ilvl w:val="0"/>
          <w:numId w:val="3"/>
        </w:num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镇域城镇水平</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2025年常住人口城镇化水平39.64%；</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2035年常住人口城镇化水平53.20%；</w:t>
      </w:r>
    </w:p>
    <w:p>
      <w:pPr>
        <w:numPr>
          <w:ilvl w:val="0"/>
          <w:numId w:val="0"/>
        </w:numPr>
        <w:snapToGrid w:val="0"/>
        <w:spacing w:line="360" w:lineRule="auto"/>
        <w:ind w:firstLine="560" w:firstLineChars="200"/>
        <w:jc w:val="left"/>
        <w:outlineLvl w:val="1"/>
        <w:rPr>
          <w:rFonts w:hint="default"/>
          <w:lang w:val="en-US" w:eastAsia="zh-CN"/>
        </w:rPr>
      </w:pPr>
      <w:r>
        <w:rPr>
          <w:rFonts w:hint="eastAsia" w:ascii="仿宋" w:hAnsi="仿宋" w:eastAsia="仿宋" w:cs="仿宋"/>
          <w:b w:val="0"/>
          <w:bCs w:val="0"/>
          <w:sz w:val="28"/>
          <w:szCs w:val="28"/>
          <w:lang w:val="en-US" w:eastAsia="zh-CN"/>
        </w:rPr>
        <w:t>2、镇域用地规划</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2035年，镇域城乡建设用地规模为1236.79公顷，建设用地总规模为1698.47公顷，镇域国土总面积达13780.42公顷，村庄建设用地总规模控制在1264.28公顷。</w:t>
      </w:r>
    </w:p>
    <w:p>
      <w:pPr>
        <w:snapToGrid w:val="0"/>
        <w:spacing w:line="360" w:lineRule="auto"/>
        <w:ind w:firstLine="560" w:firstLineChars="200"/>
        <w:jc w:val="left"/>
        <w:outlineLvl w:val="1"/>
        <w:rPr>
          <w:rFonts w:hint="eastAsia" w:ascii="仿宋" w:hAnsi="仿宋" w:eastAsia="仿宋" w:cs="仿宋"/>
          <w:color w:val="auto"/>
          <w:highlight w:val="none"/>
          <w:lang w:val="en-US" w:eastAsia="zh-CN"/>
        </w:rPr>
      </w:pPr>
      <w:r>
        <w:rPr>
          <w:rFonts w:hint="eastAsia" w:ascii="仿宋" w:hAnsi="仿宋" w:eastAsia="仿宋" w:cs="仿宋"/>
          <w:b w:val="0"/>
          <w:bCs w:val="0"/>
          <w:sz w:val="28"/>
          <w:szCs w:val="28"/>
          <w:lang w:val="en-US" w:eastAsia="zh-CN"/>
        </w:rPr>
        <w:t>3、产业发展布局规划</w:t>
      </w:r>
    </w:p>
    <w:p>
      <w:pPr>
        <w:snapToGrid w:val="0"/>
        <w:spacing w:line="360" w:lineRule="auto"/>
        <w:ind w:firstLine="480" w:firstLineChars="200"/>
        <w:jc w:val="left"/>
        <w:outlineLvl w:val="2"/>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（1）产业发展定位</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壮大艾草、茶叶、桑葚、吊瓜子、玉米、牧草等特色养殖与山林种植，建立</w:t>
      </w:r>
    </w:p>
    <w:p>
      <w:pPr>
        <w:snapToGrid w:val="0"/>
        <w:spacing w:line="360" w:lineRule="auto"/>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现代生态农业，积极拓展农业旅游观光、田园度假、农事体验、科普教育功能；加速传统竹制品加工、农产品加工产业的转型升级，打造湖南省竹制品产业强镇；推动全域旅游发展，打造集红色教育、休闲采摘、农耕体验、民俗展示、亲子娱乐、文娱休闲为一体的休闲文旅小镇。</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（2）产业空间布局结构</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全镇规划形成“两轴、五区、多点”的产业空间布局。</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两轴：依托穿境而过东西走向的S321，内联镇政府驻地、南坝村、蛇山村、岩子潭村、七里江村、樊家庙村、水满村，外接桃江县、鱼形山街道，形成经济发展主轴；依托穿境而过南北向的泥龙公路，内联镇政府驻地、九二五社区、太阳庵村、大桥冲村，外接桃江县、龙光桥街道，形成经济发展次轴。</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五区：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城镇综合产业发展区——以中心镇政府驻地为核心，形成集展览、研发、加工于一体的竹产业园、艾叶制品加工、竹木制品专用物流、城镇生活服务的综合产业发展区；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山水田园休闲体验区——以镇域西部南坝村为核心，塘湾水库、旺泰茶园、警示教育基地等节点，构建乡村旅游综合体；特色农业种植体验区——以镇域中部横堤村、太阳庵村、岩子潭村等村为核心，形成桑葚、吊瓜等特色农产品采摘与体验区；生态农业种植示范区——以镇域东部樊家庙村、油草塘村、国庆村等村为核心，重点发展水稻规模种植，打造生态农业示范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山林经济发展区——以镇域北部谷塘村、泉山村；南部大桥冲村、七里冲村等村为核心，依托现有天然楠竹林，重点发展竹笋培育与采摘、竹制品加工的山林经济区。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多点：</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镇域内的多个产业基地，如南坝村茶叶观赏基地、横堤村桑葚采摘基地、太阳庵村吊瓜体验基地、大桥冲村曾士峨红色旅游基地、砂石矿产资源开采基地等。</w:t>
      </w:r>
    </w:p>
    <w:p>
      <w:pPr>
        <w:jc w:val="both"/>
        <w:rPr>
          <w:rFonts w:hint="eastAsia" w:ascii="仿宋" w:hAnsi="仿宋" w:eastAsia="仿宋" w:cs="仿宋"/>
          <w:color w:val="auto"/>
          <w:highlight w:val="none"/>
          <w:lang w:val="en-US" w:eastAsia="zh-CN"/>
        </w:rPr>
      </w:pPr>
      <w:r>
        <w:rPr>
          <w:rFonts w:ascii="宋体" w:hAnsi="宋体" w:eastAsia="宋体" w:cs="宋体"/>
          <w:sz w:val="24"/>
          <w:szCs w:val="24"/>
        </w:rPr>
        <w:drawing>
          <wp:inline distT="0" distB="0" distL="114300" distR="114300">
            <wp:extent cx="5320665" cy="3538220"/>
            <wp:effectExtent l="0" t="0" r="13335" b="508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320665" cy="353822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center"/>
        <w:textAlignment w:val="auto"/>
        <w:outlineLvl w:val="1"/>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产业发展布局图</w:t>
      </w:r>
    </w:p>
    <w:p>
      <w:pPr>
        <w:ind w:firstLine="482" w:firstLineChars="200"/>
        <w:jc w:val="center"/>
        <w:rPr>
          <w:rFonts w:hint="eastAsia" w:ascii="仿宋" w:hAnsi="仿宋" w:eastAsia="仿宋" w:cs="仿宋"/>
          <w:b/>
          <w:bCs/>
          <w:caps/>
          <w:color w:val="auto"/>
          <w:kern w:val="2"/>
          <w:sz w:val="24"/>
          <w:szCs w:val="24"/>
          <w:highlight w:val="none"/>
          <w:lang w:val="en-US" w:eastAsia="zh-CN" w:bidi="ar-SA"/>
        </w:rPr>
      </w:pP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4、村镇体系规划</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结合产业规模、人口变化趋势预测人口规模，合理安排人口流动及梯度转移。构建“1个中心</w:t>
      </w:r>
      <w:r>
        <w:rPr>
          <w:rFonts w:hint="eastAsia" w:ascii="仿宋" w:hAnsi="仿宋" w:eastAsia="仿宋" w:cs="仿宋"/>
          <w:color w:val="auto"/>
          <w:highlight w:val="none"/>
          <w:lang w:val="en-US" w:eastAsia="zh-CN"/>
        </w:rPr>
        <w:t>镇政府驻地</w:t>
      </w:r>
      <w:r>
        <w:rPr>
          <w:rFonts w:hint="default" w:ascii="仿宋" w:hAnsi="仿宋" w:eastAsia="仿宋" w:cs="仿宋"/>
          <w:color w:val="auto"/>
          <w:highlight w:val="none"/>
          <w:lang w:val="en-US" w:eastAsia="zh-CN"/>
        </w:rPr>
        <w:t>、4个中心村、11个一般村”的四级镇村体系，明确人口及建设规模。</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（1）中心镇政府驻地：涉及九二五社区、灰矿农业工区及岩子潭村、横堤村、七里江村，是全镇政治、经济、文化、产业中心；</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（2）中心村4个：南坝村、樊家庙村、七里江村、岩子潭村，是产业基础较好、区位交通优越、公共服务设施相对完善的村庄，可辐射带动周边村庄协同发展。</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（3）一般村11个：太阳庵村、谷塘村、泉山村、蛇山村、泥家潭村、横堤村、大桥冲村、七里冲村、油草塘村、水满村、国庆村是辖区内生活聚集和生活服务中心。</w:t>
      </w:r>
    </w:p>
    <w:p>
      <w:pPr>
        <w:pStyle w:val="2"/>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hint="default"/>
          <w:lang w:val="en-US" w:eastAsia="zh-CN"/>
        </w:rPr>
      </w:pPr>
      <w:r>
        <w:rPr>
          <w:rFonts w:hint="default"/>
          <w:lang w:val="en-US" w:eastAsia="zh-CN"/>
        </w:rPr>
        <w:drawing>
          <wp:inline distT="0" distB="0" distL="114300" distR="114300">
            <wp:extent cx="5265420" cy="3724275"/>
            <wp:effectExtent l="0" t="0" r="11430" b="9525"/>
            <wp:docPr id="4" name="图片 4" descr="04镇村体系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镇村体系规划图"/>
                    <pic:cNvPicPr>
                      <a:picLocks noChangeAspect="1"/>
                    </pic:cNvPicPr>
                  </pic:nvPicPr>
                  <pic:blipFill>
                    <a:blip r:embed="rId8"/>
                    <a:stretch>
                      <a:fillRect/>
                    </a:stretch>
                  </pic:blipFill>
                  <pic:spPr>
                    <a:xfrm>
                      <a:off x="0" y="0"/>
                      <a:ext cx="5265420" cy="3724275"/>
                    </a:xfrm>
                    <a:prstGeom prst="rect">
                      <a:avLst/>
                    </a:prstGeom>
                  </pic:spPr>
                </pic:pic>
              </a:graphicData>
            </a:graphic>
          </wp:inline>
        </w:drawing>
      </w:r>
    </w:p>
    <w:p>
      <w:pPr>
        <w:ind w:firstLine="482" w:firstLineChars="200"/>
        <w:jc w:val="center"/>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镇村体系规划图</w:t>
      </w:r>
    </w:p>
    <w:p>
      <w:pPr>
        <w:ind w:firstLine="482" w:firstLineChars="200"/>
        <w:jc w:val="center"/>
        <w:rPr>
          <w:rFonts w:hint="default" w:ascii="仿宋" w:hAnsi="仿宋" w:eastAsia="仿宋" w:cs="仿宋"/>
          <w:b/>
          <w:bCs/>
          <w:caps/>
          <w:color w:val="auto"/>
          <w:kern w:val="2"/>
          <w:sz w:val="24"/>
          <w:szCs w:val="24"/>
          <w:highlight w:val="none"/>
          <w:lang w:val="en-US" w:eastAsia="zh-CN" w:bidi="ar-SA"/>
        </w:rPr>
      </w:pP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5、综合交通规划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规划以“铁路-高速-国道-省道-县道”的交通路网，构建“一横五纵”骨架道路体系</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“一横”：贯穿镇域东西向的省道S321为横向交通大动脉；</w:t>
      </w:r>
    </w:p>
    <w:p>
      <w:pPr>
        <w:snapToGrid w:val="0"/>
        <w:spacing w:line="360" w:lineRule="auto"/>
        <w:ind w:firstLine="480" w:firstLineChars="200"/>
        <w:jc w:val="left"/>
        <w:rPr>
          <w:rFonts w:hint="eastAsia"/>
          <w:lang w:val="en-US" w:eastAsia="zh-CN"/>
        </w:rPr>
      </w:pPr>
      <w:r>
        <w:rPr>
          <w:rFonts w:hint="eastAsia" w:ascii="仿宋" w:hAnsi="仿宋" w:eastAsia="仿宋" w:cs="仿宋"/>
          <w:color w:val="auto"/>
          <w:highlight w:val="none"/>
          <w:lang w:val="en-US" w:eastAsia="zh-CN"/>
        </w:rPr>
        <w:t>“五纵”：贯穿镇域南北向的洛湛铁路（泥江口站）、S71华常高速（泥江口互通）、G319、G234以及泥灰公路为纵向的主要对外交通。</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eastAsia="宋体"/>
          <w:lang w:val="en-US" w:eastAsia="zh-CN"/>
        </w:rPr>
      </w:pPr>
      <w:r>
        <w:rPr>
          <w:rFonts w:hint="eastAsia" w:eastAsia="宋体"/>
          <w:lang w:val="en-US" w:eastAsia="zh-CN"/>
        </w:rPr>
        <w:drawing>
          <wp:inline distT="0" distB="0" distL="114300" distR="114300">
            <wp:extent cx="5265420" cy="3724275"/>
            <wp:effectExtent l="0" t="0" r="5080" b="9525"/>
            <wp:docPr id="5" name="图片 5" descr="06综合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综合交通规划图"/>
                    <pic:cNvPicPr>
                      <a:picLocks noChangeAspect="1"/>
                    </pic:cNvPicPr>
                  </pic:nvPicPr>
                  <pic:blipFill>
                    <a:blip r:embed="rId9"/>
                    <a:stretch>
                      <a:fillRect/>
                    </a:stretch>
                  </pic:blipFill>
                  <pic:spPr>
                    <a:xfrm>
                      <a:off x="0" y="0"/>
                      <a:ext cx="5265420" cy="3724275"/>
                    </a:xfrm>
                    <a:prstGeom prst="rect">
                      <a:avLst/>
                    </a:prstGeom>
                  </pic:spPr>
                </pic:pic>
              </a:graphicData>
            </a:graphic>
          </wp:inline>
        </w:drawing>
      </w:r>
    </w:p>
    <w:p>
      <w:pPr>
        <w:ind w:firstLine="482" w:firstLineChars="200"/>
        <w:jc w:val="center"/>
        <w:rPr>
          <w:rFonts w:hint="default"/>
          <w:highlight w:val="none"/>
          <w:lang w:val="en-US" w:eastAsia="zh-CN"/>
        </w:rPr>
      </w:pPr>
      <w:r>
        <w:rPr>
          <w:rFonts w:hint="eastAsia" w:ascii="仿宋" w:hAnsi="仿宋" w:eastAsia="仿宋" w:cs="仿宋"/>
          <w:b/>
          <w:bCs/>
          <w:caps/>
          <w:color w:val="auto"/>
          <w:kern w:val="2"/>
          <w:sz w:val="24"/>
          <w:szCs w:val="24"/>
          <w:highlight w:val="none"/>
          <w:lang w:val="en-US" w:eastAsia="zh-CN" w:bidi="ar-SA"/>
        </w:rPr>
        <w:t>镇域道路交通规划图</w:t>
      </w:r>
    </w:p>
    <w:p>
      <w:pPr>
        <w:rPr>
          <w:rFonts w:hint="default"/>
          <w:lang w:val="en-US" w:eastAsia="zh-CN"/>
        </w:rPr>
      </w:pPr>
    </w:p>
    <w:p>
      <w:pPr>
        <w:rPr>
          <w:rFonts w:hint="default"/>
          <w:lang w:val="en-US" w:eastAsia="zh-CN"/>
        </w:rPr>
      </w:pP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6、镇域公共服务设施规划</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（1）教育设施规划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引导基础教育资源合理布局，保障基础教育发展空间，完善义务教育经费保障机制，实现教育资源全覆盖、均等化发展。现状保留2所中学；现状保留9所小学，其中扩建南坝学校、泥江口镇工农学校、樊家庙学校；现状保留镇域内现有幼儿园，规划镇政府驻地新增1所镇中心幼儿园。</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（2）文体科技设施规划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新建泥江口镇综合文化活动中心，规划保留16个文化活动广场（与村民服务中心合设），镇政府驻地新增2个公（游）园（位于竹产业园区内）。</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（3）医疗保健设施规划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保障基层医疗卫生服务机构建设，建立城乡医疗协作体系，构建30分钟医疗服务圈。加强乡镇卫生院标准化建设、实施村卫生室规范化建设，全面优化基层医疗机构服务能力。规划保留樊家庙卫生院，镇政府驻地新增镇中心卫生院，原镇中心卫生院保留医院用地性质，规划发展康养产业。提质改造各村卫生室，加强村卫生室标准化、规范化建设，每个村卫生室至少应有1名乡村医生执业、每千人服务人口应当配备1名乡村卫生从业人员。</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（4）社会保障设施规划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保留2个镇级敬老院，新增镇政府驻地中心敬老院（镇级）、规划新增南坝村养老院，完善配套功能和设施水平。加快农村公益性墓地等殡葬设施建设，完善2个镇级公墓配套建设，全面提升殡葬服务能力和水平。</w:t>
      </w:r>
    </w:p>
    <w:p>
      <w:pPr>
        <w:numPr>
          <w:ilvl w:val="0"/>
          <w:numId w:val="4"/>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镇域基础设施规划</w:t>
      </w:r>
    </w:p>
    <w:p>
      <w:pPr>
        <w:keepNext w:val="0"/>
        <w:keepLines w:val="0"/>
        <w:pageBreakBefore w:val="0"/>
        <w:numPr>
          <w:ilvl w:val="0"/>
          <w:numId w:val="0"/>
        </w:numPr>
        <w:kinsoku/>
        <w:wordWrap/>
        <w:overflowPunct/>
        <w:topLinePunct w:val="0"/>
        <w:bidi w:val="0"/>
        <w:snapToGrid w:val="0"/>
        <w:spacing w:line="360" w:lineRule="auto"/>
        <w:ind w:firstLine="480" w:firstLineChars="200"/>
        <w:jc w:val="left"/>
        <w:textAlignment w:val="auto"/>
        <w:outlineLvl w:val="1"/>
        <w:rPr>
          <w:rFonts w:hint="eastAsia" w:ascii="仿宋" w:hAnsi="仿宋" w:eastAsia="仿宋" w:cs="仿宋"/>
          <w:color w:val="auto"/>
          <w:szCs w:val="20"/>
          <w:lang w:eastAsia="zh-CN"/>
        </w:rPr>
      </w:pPr>
      <w:r>
        <w:rPr>
          <w:rFonts w:hint="eastAsia" w:ascii="仿宋" w:hAnsi="仿宋" w:eastAsia="仿宋" w:cs="仿宋"/>
          <w:color w:val="auto"/>
          <w:szCs w:val="20"/>
          <w:lang w:val="en-US" w:eastAsia="zh-CN"/>
        </w:rPr>
        <w:t>给水工程规划：</w:t>
      </w:r>
      <w:r>
        <w:rPr>
          <w:rFonts w:hint="eastAsia" w:ascii="仿宋" w:hAnsi="仿宋" w:eastAsia="仿宋" w:cs="仿宋"/>
          <w:color w:val="auto"/>
          <w:szCs w:val="20"/>
        </w:rPr>
        <w:t>规划镇域内部以塘湾水库、七里村水库为主要给水水源，以地下水为补充，综合预测20</w:t>
      </w:r>
      <w:r>
        <w:rPr>
          <w:rFonts w:hint="eastAsia" w:ascii="仿宋" w:hAnsi="仿宋" w:eastAsia="仿宋" w:cs="仿宋"/>
          <w:color w:val="auto"/>
          <w:szCs w:val="20"/>
          <w:lang w:val="en-US" w:eastAsia="zh-CN"/>
        </w:rPr>
        <w:t>3</w:t>
      </w:r>
      <w:r>
        <w:rPr>
          <w:rFonts w:hint="eastAsia" w:ascii="仿宋" w:hAnsi="仿宋" w:eastAsia="仿宋" w:cs="仿宋"/>
          <w:color w:val="auto"/>
          <w:szCs w:val="20"/>
        </w:rPr>
        <w:t>5年泥江口镇最大需水量为10</w:t>
      </w:r>
      <w:r>
        <w:rPr>
          <w:rFonts w:hint="eastAsia" w:ascii="仿宋" w:hAnsi="仿宋" w:eastAsia="仿宋" w:cs="仿宋"/>
          <w:color w:val="auto"/>
          <w:szCs w:val="20"/>
          <w:lang w:val="en-US" w:eastAsia="zh-CN"/>
        </w:rPr>
        <w:t>700.00</w:t>
      </w:r>
      <w:r>
        <w:rPr>
          <w:rFonts w:hint="eastAsia" w:ascii="仿宋" w:hAnsi="仿宋" w:eastAsia="仿宋" w:cs="仿宋"/>
          <w:color w:val="auto"/>
          <w:szCs w:val="20"/>
        </w:rPr>
        <w:t>m³/d，规划保留</w:t>
      </w:r>
      <w:r>
        <w:rPr>
          <w:rFonts w:hint="eastAsia" w:ascii="仿宋" w:hAnsi="仿宋" w:eastAsia="仿宋" w:cs="仿宋"/>
          <w:color w:val="auto"/>
          <w:szCs w:val="20"/>
          <w:lang w:val="en-US" w:eastAsia="zh-CN"/>
        </w:rPr>
        <w:t>并提质改造</w:t>
      </w:r>
      <w:r>
        <w:rPr>
          <w:rFonts w:hint="eastAsia" w:ascii="仿宋" w:hAnsi="仿宋" w:eastAsia="仿宋" w:cs="仿宋"/>
          <w:color w:val="auto"/>
          <w:szCs w:val="20"/>
        </w:rPr>
        <w:t>9个自来水厂与供水工程，</w:t>
      </w:r>
      <w:r>
        <w:rPr>
          <w:rFonts w:hint="eastAsia" w:ascii="仿宋" w:hAnsi="仿宋" w:eastAsia="仿宋" w:cs="仿宋"/>
          <w:color w:val="auto"/>
          <w:szCs w:val="20"/>
          <w:lang w:val="en-US" w:eastAsia="zh-CN"/>
        </w:rPr>
        <w:t>完善未覆盖地区管网铺设，</w:t>
      </w:r>
      <w:r>
        <w:rPr>
          <w:rFonts w:hint="eastAsia" w:ascii="仿宋" w:hAnsi="仿宋" w:eastAsia="仿宋" w:cs="仿宋"/>
          <w:color w:val="auto"/>
          <w:szCs w:val="20"/>
        </w:rPr>
        <w:t>保障各水厂供水水质</w:t>
      </w:r>
      <w:r>
        <w:rPr>
          <w:rFonts w:hint="eastAsia" w:ascii="仿宋" w:hAnsi="仿宋" w:eastAsia="仿宋" w:cs="仿宋"/>
          <w:color w:val="auto"/>
          <w:szCs w:val="20"/>
          <w:lang w:eastAsia="zh-CN"/>
        </w:rPr>
        <w:t>。</w:t>
      </w:r>
    </w:p>
    <w:p>
      <w:pPr>
        <w:keepNext w:val="0"/>
        <w:keepLines w:val="0"/>
        <w:pageBreakBefore w:val="0"/>
        <w:numPr>
          <w:ilvl w:val="0"/>
          <w:numId w:val="0"/>
        </w:numPr>
        <w:kinsoku/>
        <w:wordWrap/>
        <w:overflowPunct/>
        <w:topLinePunct w:val="0"/>
        <w:bidi w:val="0"/>
        <w:snapToGrid w:val="0"/>
        <w:spacing w:line="360" w:lineRule="auto"/>
        <w:ind w:firstLine="480" w:firstLineChars="200"/>
        <w:jc w:val="left"/>
        <w:textAlignment w:val="auto"/>
        <w:outlineLvl w:val="1"/>
        <w:rPr>
          <w:rFonts w:hint="eastAsia" w:ascii="仿宋" w:hAnsi="仿宋" w:eastAsia="仿宋" w:cs="仿宋"/>
          <w:color w:val="auto"/>
          <w:szCs w:val="20"/>
        </w:rPr>
      </w:pPr>
      <w:r>
        <w:rPr>
          <w:rFonts w:hint="eastAsia" w:ascii="仿宋" w:hAnsi="仿宋" w:eastAsia="仿宋" w:cs="仿宋"/>
          <w:color w:val="auto"/>
          <w:szCs w:val="20"/>
        </w:rPr>
        <w:t>排水工程规划</w:t>
      </w:r>
      <w:r>
        <w:rPr>
          <w:rFonts w:hint="eastAsia" w:ascii="仿宋" w:hAnsi="仿宋" w:eastAsia="仿宋" w:cs="仿宋"/>
          <w:color w:val="auto"/>
          <w:szCs w:val="20"/>
          <w:lang w:eastAsia="zh-CN"/>
        </w:rPr>
        <w:t>：</w:t>
      </w:r>
      <w:r>
        <w:rPr>
          <w:rFonts w:hint="eastAsia" w:ascii="仿宋" w:hAnsi="仿宋" w:eastAsia="仿宋" w:cs="仿宋"/>
          <w:color w:val="auto"/>
          <w:szCs w:val="20"/>
        </w:rPr>
        <w:t>至2035年，生活污水集中收集率达90%以上，进水COD浓度达160mg/L以上，污水处理率达98%以上，污泥无害化处置率达100%。</w:t>
      </w:r>
    </w:p>
    <w:p>
      <w:pPr>
        <w:keepNext w:val="0"/>
        <w:keepLines w:val="0"/>
        <w:pageBreakBefore w:val="0"/>
        <w:numPr>
          <w:ilvl w:val="0"/>
          <w:numId w:val="0"/>
        </w:numPr>
        <w:kinsoku/>
        <w:wordWrap/>
        <w:overflowPunct/>
        <w:topLinePunct w:val="0"/>
        <w:bidi w:val="0"/>
        <w:snapToGrid w:val="0"/>
        <w:spacing w:line="360" w:lineRule="auto"/>
        <w:ind w:firstLine="480" w:firstLineChars="200"/>
        <w:jc w:val="left"/>
        <w:textAlignment w:val="auto"/>
        <w:outlineLvl w:val="1"/>
        <w:rPr>
          <w:rFonts w:hint="eastAsia" w:ascii="仿宋" w:hAnsi="仿宋" w:eastAsia="仿宋" w:cs="仿宋"/>
          <w:color w:val="auto"/>
          <w:szCs w:val="20"/>
        </w:rPr>
      </w:pPr>
      <w:r>
        <w:rPr>
          <w:rFonts w:hint="eastAsia" w:ascii="仿宋" w:hAnsi="仿宋" w:eastAsia="仿宋" w:cs="仿宋"/>
          <w:color w:val="auto"/>
          <w:szCs w:val="20"/>
        </w:rPr>
        <w:t>电力工程规划</w:t>
      </w:r>
      <w:r>
        <w:rPr>
          <w:rFonts w:hint="eastAsia" w:ascii="仿宋" w:hAnsi="仿宋" w:eastAsia="仿宋" w:cs="仿宋"/>
          <w:color w:val="auto"/>
          <w:szCs w:val="20"/>
          <w:lang w:eastAsia="zh-CN"/>
        </w:rPr>
        <w:t>：</w:t>
      </w:r>
      <w:r>
        <w:rPr>
          <w:rFonts w:hint="eastAsia" w:ascii="仿宋" w:hAnsi="仿宋" w:eastAsia="仿宋" w:cs="仿宋"/>
          <w:color w:val="auto"/>
          <w:szCs w:val="20"/>
        </w:rPr>
        <w:t>规划保留泥江口变电站，新增竹产业园区变电站</w:t>
      </w:r>
      <w:r>
        <w:rPr>
          <w:rFonts w:hint="eastAsia" w:ascii="仿宋" w:hAnsi="仿宋" w:eastAsia="仿宋" w:cs="仿宋"/>
          <w:color w:val="auto"/>
          <w:szCs w:val="20"/>
          <w:lang w:eastAsia="zh-CN"/>
        </w:rPr>
        <w:t>（</w:t>
      </w:r>
      <w:r>
        <w:rPr>
          <w:rFonts w:hint="eastAsia" w:ascii="仿宋" w:hAnsi="仿宋" w:eastAsia="仿宋" w:cs="仿宋"/>
          <w:color w:val="auto"/>
          <w:szCs w:val="20"/>
          <w:lang w:val="en-US" w:eastAsia="zh-CN"/>
        </w:rPr>
        <w:t>35</w:t>
      </w:r>
      <w:r>
        <w:rPr>
          <w:rFonts w:hint="eastAsia" w:ascii="仿宋" w:hAnsi="仿宋" w:eastAsia="仿宋" w:cs="仿宋"/>
          <w:color w:val="auto"/>
          <w:szCs w:val="20"/>
        </w:rPr>
        <w:t>KV专变</w:t>
      </w:r>
      <w:r>
        <w:rPr>
          <w:rFonts w:hint="eastAsia" w:ascii="仿宋" w:hAnsi="仿宋" w:eastAsia="仿宋" w:cs="仿宋"/>
          <w:color w:val="auto"/>
          <w:szCs w:val="20"/>
          <w:lang w:eastAsia="zh-CN"/>
        </w:rPr>
        <w:t>、容量为20MVA）</w:t>
      </w:r>
      <w:r>
        <w:rPr>
          <w:rFonts w:hint="eastAsia" w:ascii="仿宋" w:hAnsi="仿宋" w:eastAsia="仿宋" w:cs="仿宋"/>
          <w:color w:val="auto"/>
          <w:szCs w:val="20"/>
        </w:rPr>
        <w:t>，接入泥江口变电站（</w:t>
      </w:r>
      <w:r>
        <w:rPr>
          <w:rFonts w:hint="eastAsia" w:ascii="仿宋" w:hAnsi="仿宋" w:eastAsia="仿宋" w:cs="仿宋"/>
          <w:color w:val="auto"/>
          <w:szCs w:val="20"/>
          <w:lang w:val="en-US" w:eastAsia="zh-CN"/>
        </w:rPr>
        <w:t>11</w:t>
      </w:r>
      <w:r>
        <w:rPr>
          <w:rFonts w:hint="eastAsia" w:ascii="仿宋" w:hAnsi="仿宋" w:eastAsia="仿宋" w:cs="仿宋"/>
          <w:color w:val="auto"/>
          <w:szCs w:val="20"/>
        </w:rPr>
        <w:t>0KV）。各村配套相应变压器。</w:t>
      </w:r>
    </w:p>
    <w:p>
      <w:pPr>
        <w:keepNext w:val="0"/>
        <w:keepLines w:val="0"/>
        <w:pageBreakBefore w:val="0"/>
        <w:numPr>
          <w:ilvl w:val="0"/>
          <w:numId w:val="0"/>
        </w:numPr>
        <w:kinsoku/>
        <w:wordWrap/>
        <w:overflowPunct/>
        <w:topLinePunct w:val="0"/>
        <w:bidi w:val="0"/>
        <w:snapToGrid w:val="0"/>
        <w:spacing w:line="360" w:lineRule="auto"/>
        <w:ind w:firstLine="480" w:firstLineChars="200"/>
        <w:jc w:val="left"/>
        <w:textAlignment w:val="auto"/>
        <w:outlineLvl w:val="1"/>
        <w:rPr>
          <w:rFonts w:hint="eastAsia" w:ascii="仿宋" w:hAnsi="仿宋" w:eastAsia="仿宋" w:cs="仿宋"/>
          <w:color w:val="auto"/>
          <w:szCs w:val="20"/>
        </w:rPr>
      </w:pPr>
      <w:r>
        <w:rPr>
          <w:rFonts w:hint="eastAsia" w:ascii="仿宋" w:hAnsi="仿宋" w:eastAsia="仿宋" w:cs="仿宋"/>
          <w:color w:val="auto"/>
          <w:szCs w:val="20"/>
        </w:rPr>
        <w:t>通信工程规划</w:t>
      </w:r>
      <w:r>
        <w:rPr>
          <w:rFonts w:hint="eastAsia" w:ascii="仿宋" w:hAnsi="仿宋" w:eastAsia="仿宋" w:cs="仿宋"/>
          <w:color w:val="auto"/>
          <w:szCs w:val="20"/>
          <w:lang w:eastAsia="zh-CN"/>
        </w:rPr>
        <w:t>：</w:t>
      </w:r>
      <w:r>
        <w:rPr>
          <w:rFonts w:hint="eastAsia" w:ascii="仿宋" w:hAnsi="仿宋" w:eastAsia="仿宋" w:cs="仿宋"/>
          <w:color w:val="auto"/>
          <w:szCs w:val="20"/>
        </w:rPr>
        <w:t>至2035年，移动电话普及率100%、5G网络覆盖率100%、光纤入户率100%，基本快递进村入户全覆盖。</w:t>
      </w:r>
    </w:p>
    <w:p>
      <w:pPr>
        <w:keepNext w:val="0"/>
        <w:keepLines w:val="0"/>
        <w:pageBreakBefore w:val="0"/>
        <w:numPr>
          <w:ilvl w:val="0"/>
          <w:numId w:val="0"/>
        </w:numPr>
        <w:kinsoku/>
        <w:wordWrap/>
        <w:overflowPunct/>
        <w:topLinePunct w:val="0"/>
        <w:bidi w:val="0"/>
        <w:snapToGrid w:val="0"/>
        <w:spacing w:line="360" w:lineRule="auto"/>
        <w:ind w:firstLine="480" w:firstLineChars="200"/>
        <w:jc w:val="left"/>
        <w:textAlignment w:val="auto"/>
        <w:outlineLvl w:val="1"/>
        <w:rPr>
          <w:rFonts w:hint="eastAsia" w:ascii="仿宋" w:hAnsi="仿宋" w:eastAsia="仿宋" w:cs="仿宋"/>
          <w:color w:val="auto"/>
          <w:szCs w:val="20"/>
        </w:rPr>
      </w:pPr>
      <w:r>
        <w:rPr>
          <w:rFonts w:hint="eastAsia" w:ascii="仿宋" w:hAnsi="仿宋" w:eastAsia="仿宋" w:cs="仿宋"/>
          <w:color w:val="auto"/>
          <w:szCs w:val="20"/>
        </w:rPr>
        <w:t xml:space="preserve"> 能源工程规划</w:t>
      </w:r>
      <w:r>
        <w:rPr>
          <w:rFonts w:hint="eastAsia" w:ascii="仿宋" w:hAnsi="仿宋" w:eastAsia="仿宋" w:cs="仿宋"/>
          <w:color w:val="auto"/>
          <w:szCs w:val="20"/>
          <w:lang w:eastAsia="zh-CN"/>
        </w:rPr>
        <w:t>：</w:t>
      </w:r>
      <w:r>
        <w:rPr>
          <w:rFonts w:hint="eastAsia" w:ascii="仿宋" w:hAnsi="仿宋" w:eastAsia="仿宋" w:cs="仿宋"/>
          <w:color w:val="auto"/>
          <w:szCs w:val="20"/>
        </w:rPr>
        <w:t>规划远期镇政府驻地内发展</w:t>
      </w:r>
      <w:r>
        <w:rPr>
          <w:rFonts w:hint="eastAsia" w:ascii="仿宋" w:hAnsi="仿宋" w:eastAsia="仿宋" w:cs="仿宋"/>
          <w:color w:val="auto"/>
          <w:szCs w:val="20"/>
          <w:lang w:eastAsia="zh-CN"/>
        </w:rPr>
        <w:t>燃气</w:t>
      </w:r>
      <w:r>
        <w:rPr>
          <w:rFonts w:hint="eastAsia" w:ascii="仿宋" w:hAnsi="仿宋" w:eastAsia="仿宋" w:cs="仿宋"/>
          <w:color w:val="auto"/>
          <w:szCs w:val="20"/>
        </w:rPr>
        <w:t>管道供气，各村庄规划以灌装液化气及太阳能等清洁能源为主。</w:t>
      </w:r>
    </w:p>
    <w:p>
      <w:pPr>
        <w:keepNext w:val="0"/>
        <w:keepLines w:val="0"/>
        <w:pageBreakBefore w:val="0"/>
        <w:numPr>
          <w:ilvl w:val="0"/>
          <w:numId w:val="0"/>
        </w:numPr>
        <w:kinsoku/>
        <w:wordWrap/>
        <w:overflowPunct/>
        <w:topLinePunct w:val="0"/>
        <w:bidi w:val="0"/>
        <w:snapToGrid w:val="0"/>
        <w:spacing w:line="360" w:lineRule="auto"/>
        <w:ind w:firstLine="480" w:firstLineChars="200"/>
        <w:jc w:val="left"/>
        <w:textAlignment w:val="auto"/>
        <w:outlineLvl w:val="1"/>
        <w:rPr>
          <w:rFonts w:hint="eastAsia" w:ascii="仿宋" w:hAnsi="仿宋" w:eastAsia="仿宋" w:cs="仿宋"/>
          <w:color w:val="auto"/>
          <w:szCs w:val="20"/>
        </w:rPr>
      </w:pPr>
      <w:r>
        <w:rPr>
          <w:rFonts w:hint="eastAsia" w:ascii="仿宋" w:hAnsi="仿宋" w:eastAsia="仿宋" w:cs="仿宋"/>
          <w:color w:val="auto"/>
          <w:szCs w:val="20"/>
        </w:rPr>
        <w:t>环卫工程规划</w:t>
      </w:r>
      <w:r>
        <w:rPr>
          <w:rFonts w:hint="eastAsia" w:ascii="仿宋" w:hAnsi="仿宋" w:eastAsia="仿宋" w:cs="仿宋"/>
          <w:color w:val="auto"/>
          <w:szCs w:val="20"/>
          <w:lang w:eastAsia="zh-CN"/>
        </w:rPr>
        <w:t>：</w:t>
      </w:r>
      <w:r>
        <w:rPr>
          <w:rFonts w:hint="eastAsia" w:ascii="仿宋" w:hAnsi="仿宋" w:eastAsia="仿宋" w:cs="仿宋"/>
          <w:color w:val="auto"/>
          <w:szCs w:val="20"/>
        </w:rPr>
        <w:t>规划</w:t>
      </w:r>
      <w:r>
        <w:rPr>
          <w:rFonts w:hint="eastAsia" w:ascii="仿宋" w:hAnsi="仿宋" w:eastAsia="仿宋" w:cs="仿宋"/>
          <w:color w:val="auto"/>
          <w:szCs w:val="20"/>
          <w:lang w:val="en-US" w:eastAsia="zh-CN"/>
        </w:rPr>
        <w:t>新增</w:t>
      </w:r>
      <w:r>
        <w:rPr>
          <w:rFonts w:hint="eastAsia" w:ascii="仿宋" w:hAnsi="仿宋" w:eastAsia="仿宋" w:cs="仿宋"/>
          <w:color w:val="auto"/>
          <w:szCs w:val="20"/>
        </w:rPr>
        <w:t>泥江口垃圾压缩转运站</w:t>
      </w:r>
      <w:r>
        <w:rPr>
          <w:rFonts w:hint="eastAsia" w:ascii="仿宋" w:hAnsi="仿宋" w:eastAsia="仿宋" w:cs="仿宋"/>
          <w:color w:val="auto"/>
          <w:szCs w:val="20"/>
          <w:lang w:val="en-US" w:eastAsia="zh-CN"/>
        </w:rPr>
        <w:t>一处</w:t>
      </w:r>
      <w:r>
        <w:rPr>
          <w:rFonts w:hint="eastAsia" w:ascii="仿宋" w:hAnsi="仿宋" w:eastAsia="仿宋" w:cs="仿宋"/>
          <w:color w:val="auto"/>
          <w:szCs w:val="20"/>
        </w:rPr>
        <w:t>，各村设置生活垃圾收集点和再生资源回收点，保留和改造镇域内公共厕所。</w:t>
      </w:r>
    </w:p>
    <w:p>
      <w:pPr>
        <w:snapToGrid w:val="0"/>
        <w:spacing w:line="360" w:lineRule="auto"/>
        <w:ind w:firstLine="480" w:firstLineChars="200"/>
        <w:jc w:val="left"/>
        <w:rPr>
          <w:rFonts w:hint="eastAsia" w:ascii="仿宋" w:hAnsi="仿宋" w:eastAsia="仿宋" w:cs="仿宋"/>
          <w:color w:val="auto"/>
          <w:highlight w:val="none"/>
          <w:lang w:val="en-US" w:eastAsia="zh-CN"/>
        </w:rPr>
      </w:pPr>
    </w:p>
    <w:p>
      <w:pPr>
        <w:snapToGrid w:val="0"/>
        <w:spacing w:line="360" w:lineRule="auto"/>
        <w:ind w:firstLine="480" w:firstLineChars="200"/>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drawing>
          <wp:inline distT="0" distB="0" distL="114300" distR="114300">
            <wp:extent cx="5264785" cy="3724910"/>
            <wp:effectExtent l="0" t="0" r="5715" b="8890"/>
            <wp:docPr id="15" name="图片 15" descr="07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7设施规划图"/>
                    <pic:cNvPicPr>
                      <a:picLocks noChangeAspect="1"/>
                    </pic:cNvPicPr>
                  </pic:nvPicPr>
                  <pic:blipFill>
                    <a:blip r:embed="rId10"/>
                    <a:stretch>
                      <a:fillRect/>
                    </a:stretch>
                  </pic:blipFill>
                  <pic:spPr>
                    <a:xfrm>
                      <a:off x="0" y="0"/>
                      <a:ext cx="5264785" cy="3724910"/>
                    </a:xfrm>
                    <a:prstGeom prst="rect">
                      <a:avLst/>
                    </a:prstGeom>
                  </pic:spPr>
                </pic:pic>
              </a:graphicData>
            </a:graphic>
          </wp:inline>
        </w:drawing>
      </w:r>
    </w:p>
    <w:p>
      <w:pPr>
        <w:ind w:firstLine="482" w:firstLineChars="200"/>
        <w:jc w:val="center"/>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设施布局规划图</w:t>
      </w:r>
    </w:p>
    <w:p>
      <w:pPr>
        <w:ind w:firstLine="482" w:firstLineChars="200"/>
        <w:jc w:val="center"/>
        <w:rPr>
          <w:rFonts w:hint="eastAsia" w:ascii="仿宋" w:hAnsi="仿宋" w:eastAsia="仿宋" w:cs="仿宋"/>
          <w:b/>
          <w:bCs/>
          <w:caps/>
          <w:color w:val="auto"/>
          <w:kern w:val="2"/>
          <w:sz w:val="24"/>
          <w:szCs w:val="24"/>
          <w:highlight w:val="none"/>
          <w:lang w:val="en-US" w:eastAsia="zh-CN" w:bidi="ar-SA"/>
        </w:rPr>
      </w:pP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国土综合整治</w:t>
      </w:r>
    </w:p>
    <w:p>
      <w:pPr>
        <w:snapToGrid w:val="0"/>
        <w:spacing w:line="360" w:lineRule="auto"/>
        <w:ind w:firstLine="480" w:firstLineChars="200"/>
        <w:jc w:val="left"/>
        <w:rPr>
          <w:rFonts w:hint="eastAsia"/>
          <w:lang w:eastAsia="zh-CN"/>
        </w:rPr>
      </w:pPr>
      <w:r>
        <w:rPr>
          <w:rFonts w:hint="eastAsia" w:ascii="仿宋" w:hAnsi="仿宋" w:eastAsia="仿宋" w:cs="仿宋"/>
          <w:color w:val="auto"/>
          <w:highlight w:val="none"/>
          <w:lang w:val="en-US" w:eastAsia="zh-CN"/>
        </w:rPr>
        <w:t>对整个泥江口镇域整体开展国土空间全域综合整治，持续推进农用地整治，大力开展建设用地整治，实施生态保护修复。</w:t>
      </w:r>
    </w:p>
    <w:p>
      <w:pPr>
        <w:numPr>
          <w:ilvl w:val="0"/>
          <w:numId w:val="5"/>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农用地整治</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（1）高标准农田建设</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衔接高标准农田建设规划，泥江口镇未进行高标准农田建设的耕地面积约为1539.61公顷。结合区域农田水利设施建设、土地污染以及永久基本农田分布情况，优先考虑已划入永久基本农田、集中连片且未受污染的耕地进行高标准农田建设，面积合计约1039.29公顷。</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（2）宜耕后备资源开发</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衔接《益阳市赫山区耕地保护国土空间专项规划（2021-2035）》，为顺应发展现代农业和适度规模经营需要，结合省厅下达图斑，泥江口镇耕地后备资源面积约为83.35公顷，主要分布在泥家潭村、南坝村、岩子潭村、横堤村。</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（3）旱改水</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衔接《益阳市赫山区耕地保护国土空间专项规划（2021-2035）》，泥江口镇拟规划旱改水工程面积约2.39公顷，主要分布在镇域内各村。</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2、建设用地整治</w:t>
      </w:r>
    </w:p>
    <w:p>
      <w:pPr>
        <w:snapToGrid w:val="0"/>
        <w:spacing w:line="360" w:lineRule="auto"/>
        <w:ind w:firstLine="480" w:firstLineChars="200"/>
        <w:jc w:val="left"/>
        <w:rPr>
          <w:rFonts w:hint="default"/>
          <w:highlight w:val="none"/>
          <w:lang w:val="en-US" w:eastAsia="zh-CN"/>
        </w:rPr>
      </w:pPr>
      <w:r>
        <w:rPr>
          <w:rFonts w:hint="eastAsia" w:ascii="仿宋" w:hAnsi="仿宋" w:eastAsia="仿宋" w:cs="仿宋"/>
          <w:color w:val="auto"/>
          <w:highlight w:val="none"/>
          <w:lang w:val="en-US" w:eastAsia="zh-CN"/>
        </w:rPr>
        <w:t>规划至2035年城乡建设用地总量1236.79公顷，占土地面积的8.97%，预计减少157.9公顷。</w:t>
      </w:r>
    </w:p>
    <w:p>
      <w:pPr>
        <w:numPr>
          <w:ilvl w:val="0"/>
          <w:numId w:val="1"/>
        </w:numPr>
        <w:snapToGrid w:val="0"/>
        <w:spacing w:line="360" w:lineRule="auto"/>
        <w:ind w:left="0" w:leftChars="0"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国土空间生态修复</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对接《益阳市国土空间总体规划（2021-2035）》国土综合整治修复，泥江口镇位于西南部资水中下游水土流失与石漠化治理生态修复区，其中，南坝村、蛇山村、泉山村、谷塘村、岩子潭村、九二五社区、中心镇政府驻地等地区部分位于生态保护修复重点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西南部资水中下游水土流失与石漠化治理生态修复区主要功能是以提升生态安全屏障功能为导向，构建生态廊道和天然林、公益林保护网络，落实植树造林和封山育林的基础保障措施，显著提升生态系统服务。</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修复原则：自然恢复为主、人工修复为辅。</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保护恢复措施：人工造林、封山育林。</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根据泥江口镇发展实际，生态保护修复重点区的主要工程为历史遗留废弃矿山生态保护修复和土壤重金属污染治理。</w:t>
      </w:r>
    </w:p>
    <w:p>
      <w:pPr>
        <w:snapToGrid w:val="0"/>
        <w:spacing w:line="360" w:lineRule="auto"/>
        <w:ind w:firstLine="480" w:firstLineChars="200"/>
        <w:jc w:val="left"/>
        <w:rPr>
          <w:rFonts w:hint="eastAsia" w:ascii="仿宋" w:hAnsi="仿宋" w:eastAsia="仿宋" w:cs="仿宋"/>
          <w:color w:val="auto"/>
          <w:highlight w:val="none"/>
          <w:lang w:val="en-US" w:eastAsia="zh-CN"/>
        </w:rPr>
      </w:pP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ascii="仿宋" w:hAnsi="仿宋" w:eastAsia="仿宋" w:cs="仿宋"/>
          <w:b w:val="0"/>
          <w:bCs w:val="0"/>
          <w:sz w:val="40"/>
          <w:szCs w:val="40"/>
          <w:lang w:eastAsia="zh-CN"/>
        </w:rPr>
      </w:pPr>
      <w:r>
        <w:rPr>
          <w:rFonts w:hint="eastAsia" w:ascii="仿宋" w:hAnsi="仿宋" w:eastAsia="仿宋" w:cs="仿宋"/>
          <w:b w:val="0"/>
          <w:bCs w:val="0"/>
          <w:sz w:val="40"/>
          <w:szCs w:val="40"/>
          <w:lang w:eastAsia="zh-CN"/>
        </w:rPr>
        <w:t>乡镇政府驻地规划</w:t>
      </w:r>
    </w:p>
    <w:p>
      <w:pPr>
        <w:numPr>
          <w:ilvl w:val="0"/>
          <w:numId w:val="0"/>
        </w:numPr>
        <w:snapToGrid w:val="0"/>
        <w:spacing w:line="360" w:lineRule="auto"/>
        <w:ind w:firstLine="560" w:firstLineChars="200"/>
        <w:jc w:val="left"/>
        <w:outlineLvl w:val="1"/>
        <w:rPr>
          <w:rFonts w:hint="default"/>
          <w:lang w:val="en-US" w:eastAsia="zh-CN"/>
        </w:rPr>
      </w:pPr>
      <w:r>
        <w:rPr>
          <w:rFonts w:hint="eastAsia" w:ascii="仿宋" w:hAnsi="仿宋" w:eastAsia="仿宋" w:cs="仿宋"/>
          <w:b w:val="0"/>
          <w:bCs w:val="0"/>
          <w:sz w:val="28"/>
          <w:szCs w:val="28"/>
          <w:lang w:val="en-US" w:eastAsia="zh-CN"/>
        </w:rPr>
        <w:t>1、规划范围与规模</w:t>
      </w:r>
    </w:p>
    <w:p>
      <w:pPr>
        <w:snapToGrid w:val="0"/>
        <w:spacing w:line="360" w:lineRule="auto"/>
        <w:ind w:firstLine="480" w:firstLineChars="200"/>
        <w:jc w:val="left"/>
        <w:rPr>
          <w:rFonts w:hint="default" w:ascii="仿宋" w:hAnsi="仿宋" w:eastAsia="仿宋" w:cs="仿宋"/>
          <w:b w:val="0"/>
          <w:bCs w:val="0"/>
          <w:sz w:val="28"/>
          <w:szCs w:val="28"/>
          <w:highlight w:val="yellow"/>
          <w:lang w:val="en-US" w:eastAsia="zh-CN"/>
        </w:rPr>
      </w:pPr>
      <w:r>
        <w:rPr>
          <w:rFonts w:hint="eastAsia" w:ascii="仿宋" w:hAnsi="仿宋" w:eastAsia="仿宋" w:cs="仿宋"/>
          <w:color w:val="auto"/>
          <w:highlight w:val="none"/>
          <w:lang w:val="en-US" w:eastAsia="zh-CN"/>
        </w:rPr>
        <w:t>泥江口镇镇政府驻地面积为2.58平方公里，其中落实城镇开发边界1.77平方公里。镇政府驻地边界西至岩子潭村组，南至横堤村村组，东至水满村、七里江村村组，北至九二五社区。</w:t>
      </w:r>
    </w:p>
    <w:p>
      <w:pPr>
        <w:numPr>
          <w:ilvl w:val="0"/>
          <w:numId w:val="0"/>
        </w:numPr>
        <w:snapToGrid w:val="0"/>
        <w:spacing w:line="360" w:lineRule="auto"/>
        <w:ind w:firstLine="560" w:firstLineChars="200"/>
        <w:jc w:val="left"/>
        <w:outlineLvl w:val="1"/>
        <w:rPr>
          <w:rFonts w:hint="eastAsia" w:ascii="仿宋" w:hAnsi="仿宋" w:eastAsia="仿宋" w:cs="仿宋"/>
          <w:color w:val="auto"/>
          <w:highlight w:val="none"/>
          <w:lang w:val="en-US" w:eastAsia="zh-CN"/>
        </w:rPr>
      </w:pPr>
      <w:r>
        <w:rPr>
          <w:rFonts w:hint="eastAsia" w:ascii="仿宋" w:hAnsi="仿宋" w:eastAsia="仿宋" w:cs="仿宋"/>
          <w:b w:val="0"/>
          <w:bCs w:val="0"/>
          <w:sz w:val="28"/>
          <w:szCs w:val="28"/>
          <w:lang w:val="en-US" w:eastAsia="zh-CN"/>
        </w:rPr>
        <w:t>2、用地结构</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综合考虑建设现状、经济社会发展、资源禀赋、类型特征，明确用地结构调整方向，合理确定主要用地类型的比例结构。泥江口镇居住用地占乡镇政府驻地集中建设区的比例为19.58%，公共管理与公共服务用地占乡镇政府驻地集中建设区的比例为5.04%，商业服务业用地占乡镇政府驻地集中建设区的比例5.21%，工矿用地占乡镇政府驻地集中建设区的比例为21.01%，仓储用地占乡镇政府驻地集中建设区的比例为1.30%，道路与交通运输用地占乡镇政府驻地集中建设区的比例为11.38%，公用设施用地占乡镇政府驻地集中建设区的比例为0.51%，绿地与开敞空间用地占乡镇政府驻地集中建设区的比例为7.86%。</w:t>
      </w:r>
    </w:p>
    <w:p>
      <w:p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3、镇政府驻地人口规模预测</w:t>
      </w:r>
    </w:p>
    <w:p>
      <w:pPr>
        <w:snapToGrid w:val="0"/>
        <w:spacing w:line="360" w:lineRule="auto"/>
        <w:ind w:firstLine="480" w:firstLineChars="200"/>
        <w:jc w:val="left"/>
        <w:rPr>
          <w:rFonts w:hint="default"/>
          <w:lang w:val="en-US" w:eastAsia="zh-CN"/>
        </w:rPr>
      </w:pPr>
      <w:r>
        <w:rPr>
          <w:rFonts w:hint="eastAsia" w:ascii="仿宋" w:hAnsi="仿宋" w:eastAsia="仿宋" w:cs="仿宋"/>
          <w:color w:val="auto"/>
          <w:highlight w:val="none"/>
          <w:lang w:val="en-US" w:eastAsia="zh-CN"/>
        </w:rPr>
        <w:t>预测2035年镇政府驻地人口约22000人。</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4、功能结构</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规划镇政府驻地空间功能结构为：“一心、两轴、五区”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一心：综合服务中心——以镇政府为中心，提供镇政府驻地、镇域生产生活配套服务。</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两轴：南北向产业发展轴——士峨大道；东西向公共服务轴——志溪大道与龙泥线。</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五区：生产集聚区——竹产业集聚区；宜居休闲区——宜居生活环境；综合服务区——完善生活配套；示范展示区——形象展示窗口；战略预留区——留白应对发展。</w:t>
      </w:r>
    </w:p>
    <w:p>
      <w:pPr>
        <w:pStyle w:val="2"/>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rFonts w:hint="eastAsia"/>
          <w:highlight w:val="yellow"/>
          <w:lang w:val="en-US" w:eastAsia="zh-CN"/>
        </w:rPr>
      </w:pPr>
      <w:r>
        <w:rPr>
          <w:rFonts w:hint="eastAsia"/>
          <w:lang w:val="en-US" w:eastAsia="zh-CN"/>
        </w:rPr>
        <w:drawing>
          <wp:inline distT="0" distB="0" distL="114300" distR="114300">
            <wp:extent cx="5265420" cy="3724275"/>
            <wp:effectExtent l="0" t="0" r="11430" b="9525"/>
            <wp:docPr id="8" name="图片 8" descr="14镇政府驻地国土空间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镇政府驻地国土空间用地规划图"/>
                    <pic:cNvPicPr>
                      <a:picLocks noChangeAspect="1"/>
                    </pic:cNvPicPr>
                  </pic:nvPicPr>
                  <pic:blipFill>
                    <a:blip r:embed="rId11"/>
                    <a:stretch>
                      <a:fillRect/>
                    </a:stretch>
                  </pic:blipFill>
                  <pic:spPr>
                    <a:xfrm>
                      <a:off x="0" y="0"/>
                      <a:ext cx="5265420" cy="37242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center"/>
        <w:textAlignment w:val="auto"/>
        <w:outlineLvl w:val="2"/>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镇政府驻地用地规划图</w:t>
      </w:r>
    </w:p>
    <w:p>
      <w:pPr>
        <w:jc w:val="center"/>
        <w:rPr>
          <w:rFonts w:hint="eastAsia" w:ascii="仿宋" w:hAnsi="仿宋" w:eastAsia="仿宋" w:cs="仿宋"/>
          <w:b/>
          <w:bCs/>
          <w:caps/>
          <w:color w:val="auto"/>
          <w:kern w:val="2"/>
          <w:sz w:val="24"/>
          <w:szCs w:val="24"/>
          <w:highlight w:val="none"/>
          <w:lang w:val="en-US" w:eastAsia="zh-CN" w:bidi="ar-SA"/>
        </w:rPr>
      </w:pP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5、道路交通规划</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（1）道路系统布局</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交通运输用地29.40公顷，其中城镇道路用地面积27.99公顷，交通场站用地0.97公顷，其中主要道路有龙泥线、泉泥线、金竹路、士峨大道、志溪大道、竹园路、兴园路、工农路、泥横路、天目路、修竹路、银舞路等，主要交通场站有停车场。</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（2）道路系统规划</w:t>
      </w:r>
    </w:p>
    <w:p>
      <w:pPr>
        <w:snapToGrid w:val="0"/>
        <w:spacing w:line="360" w:lineRule="auto"/>
        <w:ind w:firstLine="480" w:firstLineChars="200"/>
        <w:jc w:val="left"/>
        <w:outlineLvl w:val="3"/>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①规划形成“三横两纵”的主次干路系统</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等级分为主干路、次干路和支路三级。</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主次干路格局</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“三横”：金竹路、志溪大道和泉泥线；</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“两纵”：龙泥线和士峨大道。</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②龙泥线、泉泥线为镇政府驻地主要对外公路，道路红线分别为12米和16米。</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③城镇道路网结构为主干路、次干路、支路三级，主干路控制红线宽度</w:t>
      </w:r>
    </w:p>
    <w:p>
      <w:pPr>
        <w:snapToGrid w:val="0"/>
        <w:spacing w:line="360" w:lineRule="auto"/>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16-24m，次干路控制红线宽度10-14m，支路控制红线宽度7-10m。原则上主干路和次干路不得随意取消或变动，支路允许结合片区项目实际情况在报经城市规划行政主管部门批准后可作适当调整或取消。</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（3）道路交叉口</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交叉口相交道路通行的优先次序是主干路、次干路、支路。因镇政府驻地规模不大，交通流量不大，镇政府驻地内道路交叉口一律采用平面交叉，在交叉口处的道路红线和路缘石转弯半径应满足行车视距三角形的要求。镇政府驻地主次干路平面交叉口采用信号灯管理和渠化交通管理两种方式。</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（4）停车场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竹产业园区内新增2处社会停车场，保留镇政府驻地内原有停车场。结合党政机关、文体广场、次干路等公共场所或闲置地设置，配建机动车车位及自行车位按《城市道路交通设计规范GB50220－95》和公安部、建设部《停车场规划设计规则》（试行）计算，在下层次的控制性详细规划中做出明确规定，在土地出让过程中应对地块配建停车车位作出明确要求。</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（5）公共加油加气站与充电桩</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保留镇政府驻地内原有4处停车场，规划新增2处停车场，结合镇政府停车场，配套设置充电桩。</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（6）城市慢行系统</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规划将人行道、商业步行街、城镇滨河步行道以及居住区的步行系统、广场等紧密结合，构成完整的步行交通系统。</w:t>
      </w:r>
    </w:p>
    <w:p>
      <w:pPr>
        <w:pStyle w:val="2"/>
        <w:keepNext w:val="0"/>
        <w:keepLines w:val="0"/>
        <w:pageBreakBefore w:val="0"/>
        <w:widowControl w:val="0"/>
        <w:kinsoku/>
        <w:wordWrap/>
        <w:overflowPunct/>
        <w:topLinePunct w:val="0"/>
        <w:autoSpaceDE/>
        <w:autoSpaceDN/>
        <w:bidi w:val="0"/>
        <w:adjustRightInd/>
        <w:snapToGrid/>
        <w:spacing w:before="0"/>
        <w:jc w:val="center"/>
        <w:textAlignment w:val="auto"/>
        <w:rPr>
          <w:rFonts w:hint="eastAsia" w:ascii="仿宋" w:hAnsi="仿宋" w:eastAsia="仿宋" w:cs="仿宋"/>
          <w:color w:val="auto"/>
          <w:highlight w:val="none"/>
          <w:lang w:val="en-US" w:eastAsia="zh-CN"/>
        </w:rPr>
      </w:pPr>
      <w:r>
        <w:rPr>
          <w:rFonts w:ascii="宋体" w:hAnsi="宋体" w:eastAsia="宋体" w:cs="宋体"/>
          <w:sz w:val="24"/>
          <w:szCs w:val="24"/>
        </w:rPr>
        <w:drawing>
          <wp:inline distT="0" distB="0" distL="114300" distR="114300">
            <wp:extent cx="5260340" cy="3716020"/>
            <wp:effectExtent l="0" t="0" r="16510" b="1778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2"/>
                    <a:stretch>
                      <a:fillRect/>
                    </a:stretch>
                  </pic:blipFill>
                  <pic:spPr>
                    <a:xfrm>
                      <a:off x="0" y="0"/>
                      <a:ext cx="5260340" cy="3716020"/>
                    </a:xfrm>
                    <a:prstGeom prst="rect">
                      <a:avLst/>
                    </a:prstGeom>
                    <a:noFill/>
                    <a:ln w="9525">
                      <a:noFill/>
                    </a:ln>
                  </pic:spPr>
                </pic:pic>
              </a:graphicData>
            </a:graphic>
          </wp:inline>
        </w:drawing>
      </w:r>
    </w:p>
    <w:p>
      <w:pPr>
        <w:ind w:firstLine="482" w:firstLineChars="200"/>
        <w:jc w:val="center"/>
        <w:outlineLvl w:val="1"/>
        <w:rPr>
          <w:rFonts w:hint="default"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镇政府驻地道路规划图</w:t>
      </w:r>
    </w:p>
    <w:p>
      <w:pPr>
        <w:numPr>
          <w:ilvl w:val="0"/>
          <w:numId w:val="0"/>
        </w:numPr>
        <w:snapToGrid w:val="0"/>
        <w:spacing w:line="360" w:lineRule="auto"/>
        <w:ind w:firstLine="560" w:firstLineChars="200"/>
        <w:jc w:val="left"/>
        <w:rPr>
          <w:rFonts w:hint="eastAsia" w:ascii="仿宋" w:hAnsi="仿宋" w:eastAsia="仿宋" w:cs="仿宋"/>
          <w:b w:val="0"/>
          <w:bCs w:val="0"/>
          <w:sz w:val="28"/>
          <w:szCs w:val="28"/>
          <w:lang w:val="en-US" w:eastAsia="zh-CN"/>
        </w:rPr>
      </w:pP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6、公共服务与基础设施规划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以区域覆盖为原则，构建高品质设施、完善的公共服务体系，提升镇政府驻地服务功能。规划布局和设计应考虑发展需要；设置应方便居民，满足服务半径的要求；利于发挥设施效益，方便经营管理、使用和减少干扰；配件水平必须与居住人口规模相对应。公共服务设施按</w:t>
      </w:r>
      <w:r>
        <w:rPr>
          <w:rFonts w:hint="eastAsia" w:ascii="仿宋" w:hAnsi="仿宋" w:eastAsia="仿宋" w:cs="仿宋"/>
          <w:color w:val="auto"/>
          <w:lang w:eastAsia="zh-CN"/>
        </w:rPr>
        <w:t>《</w:t>
      </w:r>
      <w:r>
        <w:rPr>
          <w:rFonts w:hint="eastAsia" w:ascii="仿宋" w:hAnsi="仿宋" w:eastAsia="仿宋" w:cs="仿宋"/>
          <w:color w:val="auto"/>
          <w:lang w:val="en-US" w:eastAsia="zh-CN"/>
        </w:rPr>
        <w:t>社区生活圈规划技术指南</w:t>
      </w:r>
      <w:r>
        <w:rPr>
          <w:rFonts w:hint="eastAsia" w:ascii="仿宋" w:hAnsi="仿宋" w:eastAsia="仿宋" w:cs="仿宋"/>
          <w:color w:val="auto"/>
          <w:lang w:eastAsia="zh-CN"/>
        </w:rPr>
        <w:t>》（</w:t>
      </w:r>
      <w:r>
        <w:rPr>
          <w:rFonts w:hint="eastAsia" w:ascii="仿宋" w:hAnsi="仿宋" w:eastAsia="仿宋" w:cs="仿宋"/>
          <w:color w:val="auto"/>
          <w:lang w:val="en-US" w:eastAsia="zh-CN"/>
        </w:rPr>
        <w:t>TD/T 1062-2021</w:t>
      </w:r>
      <w:r>
        <w:rPr>
          <w:rFonts w:hint="eastAsia" w:ascii="仿宋" w:hAnsi="仿宋" w:eastAsia="仿宋" w:cs="仿宋"/>
          <w:color w:val="auto"/>
          <w:lang w:eastAsia="zh-CN"/>
        </w:rPr>
        <w:t>）</w:t>
      </w:r>
      <w:r>
        <w:rPr>
          <w:rFonts w:hint="eastAsia" w:ascii="仿宋" w:hAnsi="仿宋" w:eastAsia="仿宋" w:cs="仿宋"/>
          <w:color w:val="auto"/>
          <w:highlight w:val="none"/>
          <w:lang w:val="en-US" w:eastAsia="zh-CN"/>
        </w:rPr>
        <w:t>的要求配置，包括教育、医疗卫生、文化体育、商业服务、金融邮电、社区服务、市政公用、行政管理及其他八类。规划教育设施用地面积3.70公顷；规划医疗卫生设施用地面积2.83公顷；规划文化体育设施用地面积3.90公顷；规划商业服务设施用地面积13.45公顷；规划市政公用设施用地面积1.32公顷；规划行政管理设施用地面积1.38公顷。</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drawing>
          <wp:inline distT="0" distB="0" distL="114300" distR="114300">
            <wp:extent cx="5265420" cy="3724275"/>
            <wp:effectExtent l="0" t="0" r="5080" b="9525"/>
            <wp:docPr id="1" name="图片 1" descr="16-1镇政府驻地国土空间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镇政府驻地国土空间设施规划图"/>
                    <pic:cNvPicPr>
                      <a:picLocks noChangeAspect="1"/>
                    </pic:cNvPicPr>
                  </pic:nvPicPr>
                  <pic:blipFill>
                    <a:blip r:embed="rId13"/>
                    <a:stretch>
                      <a:fillRect/>
                    </a:stretch>
                  </pic:blipFill>
                  <pic:spPr>
                    <a:xfrm>
                      <a:off x="0" y="0"/>
                      <a:ext cx="5265420" cy="3724275"/>
                    </a:xfrm>
                    <a:prstGeom prst="rect">
                      <a:avLst/>
                    </a:prstGeom>
                  </pic:spPr>
                </pic:pic>
              </a:graphicData>
            </a:graphic>
          </wp:inline>
        </w:drawing>
      </w:r>
    </w:p>
    <w:p>
      <w:pPr>
        <w:ind w:firstLine="482" w:firstLineChars="200"/>
        <w:jc w:val="center"/>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镇政府驻地设施规划</w:t>
      </w:r>
    </w:p>
    <w:p>
      <w:pPr>
        <w:snapToGrid w:val="0"/>
        <w:spacing w:line="360" w:lineRule="auto"/>
        <w:ind w:firstLine="482" w:firstLineChars="200"/>
        <w:jc w:val="left"/>
        <w:rPr>
          <w:rFonts w:hint="default" w:ascii="仿宋" w:hAnsi="仿宋" w:eastAsia="仿宋" w:cs="仿宋"/>
          <w:color w:val="auto"/>
          <w:highlight w:val="none"/>
          <w:lang w:val="en-US" w:eastAsia="zh-CN"/>
        </w:rPr>
      </w:pPr>
      <w:r>
        <w:rPr>
          <w:rFonts w:hint="eastAsia" w:ascii="仿宋" w:hAnsi="仿宋" w:eastAsia="仿宋" w:cs="仿宋"/>
          <w:b/>
          <w:bCs/>
          <w:caps/>
          <w:color w:val="auto"/>
          <w:kern w:val="2"/>
          <w:sz w:val="24"/>
          <w:szCs w:val="24"/>
          <w:highlight w:val="none"/>
          <w:lang w:val="en-US" w:eastAsia="zh-CN" w:bidi="ar-SA"/>
        </w:rPr>
        <w:drawing>
          <wp:inline distT="0" distB="0" distL="114300" distR="114300">
            <wp:extent cx="5264150" cy="3723640"/>
            <wp:effectExtent l="0" t="0" r="6350" b="10160"/>
            <wp:docPr id="7" name="图片 7" descr="16-3给水管线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给水管线规划"/>
                    <pic:cNvPicPr>
                      <a:picLocks noChangeAspect="1"/>
                    </pic:cNvPicPr>
                  </pic:nvPicPr>
                  <pic:blipFill>
                    <a:blip r:embed="rId14"/>
                    <a:stretch>
                      <a:fillRect/>
                    </a:stretch>
                  </pic:blipFill>
                  <pic:spPr>
                    <a:xfrm>
                      <a:off x="0" y="0"/>
                      <a:ext cx="5264150" cy="3723640"/>
                    </a:xfrm>
                    <a:prstGeom prst="rect">
                      <a:avLst/>
                    </a:prstGeom>
                  </pic:spPr>
                </pic:pic>
              </a:graphicData>
            </a:graphic>
          </wp:inline>
        </w:drawing>
      </w:r>
    </w:p>
    <w:p>
      <w:pPr>
        <w:snapToGrid w:val="0"/>
        <w:spacing w:line="360" w:lineRule="auto"/>
        <w:ind w:firstLine="482" w:firstLineChars="200"/>
        <w:jc w:val="center"/>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给水工程规划图</w:t>
      </w:r>
    </w:p>
    <w:p>
      <w:pPr>
        <w:snapToGrid w:val="0"/>
        <w:spacing w:line="360" w:lineRule="auto"/>
        <w:ind w:firstLine="480" w:firstLineChars="200"/>
        <w:jc w:val="center"/>
        <w:rPr>
          <w:rFonts w:hint="eastAsia" w:ascii="仿宋" w:hAnsi="仿宋" w:eastAsia="仿宋" w:cs="仿宋"/>
          <w:b/>
          <w:bCs/>
          <w:caps/>
          <w:color w:val="auto"/>
          <w:kern w:val="2"/>
          <w:sz w:val="24"/>
          <w:szCs w:val="24"/>
          <w:highlight w:val="none"/>
          <w:lang w:val="en-US" w:eastAsia="zh-CN" w:bidi="ar-SA"/>
        </w:rPr>
      </w:pPr>
      <w:r>
        <w:rPr>
          <w:rFonts w:hint="eastAsia"/>
          <w:lang w:val="en-US" w:eastAsia="zh-CN"/>
        </w:rPr>
        <w:drawing>
          <wp:inline distT="0" distB="0" distL="114300" distR="114300">
            <wp:extent cx="5264150" cy="3723640"/>
            <wp:effectExtent l="0" t="0" r="6350" b="10160"/>
            <wp:docPr id="11" name="图片 11" descr="16-4排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排水工程规划图"/>
                    <pic:cNvPicPr>
                      <a:picLocks noChangeAspect="1"/>
                    </pic:cNvPicPr>
                  </pic:nvPicPr>
                  <pic:blipFill>
                    <a:blip r:embed="rId15"/>
                    <a:stretch>
                      <a:fillRect/>
                    </a:stretch>
                  </pic:blipFill>
                  <pic:spPr>
                    <a:xfrm>
                      <a:off x="0" y="0"/>
                      <a:ext cx="5264150" cy="3723640"/>
                    </a:xfrm>
                    <a:prstGeom prst="rect">
                      <a:avLst/>
                    </a:prstGeom>
                  </pic:spPr>
                </pic:pic>
              </a:graphicData>
            </a:graphic>
          </wp:inline>
        </w:drawing>
      </w:r>
    </w:p>
    <w:p>
      <w:pPr>
        <w:snapToGrid w:val="0"/>
        <w:spacing w:line="360" w:lineRule="auto"/>
        <w:ind w:firstLine="482" w:firstLineChars="200"/>
        <w:jc w:val="center"/>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排水工程规划图</w:t>
      </w:r>
    </w:p>
    <w:p>
      <w:pPr>
        <w:snapToGrid w:val="0"/>
        <w:spacing w:line="360" w:lineRule="auto"/>
        <w:ind w:firstLine="480" w:firstLineChars="200"/>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drawing>
          <wp:inline distT="0" distB="0" distL="114300" distR="114300">
            <wp:extent cx="5264150" cy="3723640"/>
            <wp:effectExtent l="0" t="0" r="6350" b="10160"/>
            <wp:docPr id="12" name="图片 12" descr="16-2电力电讯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电力电讯规划"/>
                    <pic:cNvPicPr>
                      <a:picLocks noChangeAspect="1"/>
                    </pic:cNvPicPr>
                  </pic:nvPicPr>
                  <pic:blipFill>
                    <a:blip r:embed="rId16"/>
                    <a:stretch>
                      <a:fillRect/>
                    </a:stretch>
                  </pic:blipFill>
                  <pic:spPr>
                    <a:xfrm>
                      <a:off x="0" y="0"/>
                      <a:ext cx="5264150" cy="3723640"/>
                    </a:xfrm>
                    <a:prstGeom prst="rect">
                      <a:avLst/>
                    </a:prstGeom>
                  </pic:spPr>
                </pic:pic>
              </a:graphicData>
            </a:graphic>
          </wp:inline>
        </w:drawing>
      </w:r>
    </w:p>
    <w:p>
      <w:pPr>
        <w:snapToGrid w:val="0"/>
        <w:spacing w:line="360" w:lineRule="auto"/>
        <w:ind w:firstLine="482" w:firstLineChars="200"/>
        <w:jc w:val="center"/>
        <w:rPr>
          <w:rFonts w:hint="default" w:ascii="仿宋" w:hAnsi="仿宋" w:eastAsia="仿宋" w:cs="仿宋"/>
          <w:color w:val="auto"/>
          <w:highlight w:val="none"/>
          <w:lang w:val="en-US" w:eastAsia="zh-CN"/>
        </w:rPr>
      </w:pPr>
      <w:r>
        <w:rPr>
          <w:rFonts w:hint="eastAsia" w:ascii="仿宋" w:hAnsi="仿宋" w:eastAsia="仿宋" w:cs="仿宋"/>
          <w:b/>
          <w:bCs/>
          <w:caps/>
          <w:color w:val="auto"/>
          <w:kern w:val="2"/>
          <w:sz w:val="24"/>
          <w:szCs w:val="24"/>
          <w:highlight w:val="none"/>
          <w:lang w:val="en-US" w:eastAsia="zh-CN" w:bidi="ar-SA"/>
        </w:rPr>
        <w:t>电力通讯工程规划图</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7、历史文化资源保护</w:t>
      </w:r>
    </w:p>
    <w:p>
      <w:pPr>
        <w:snapToGrid w:val="0"/>
        <w:spacing w:line="360" w:lineRule="auto"/>
        <w:ind w:firstLine="48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泥江口镇镇政府驻地的历史文化资源保护单位有四处，其中七里江狮子桥以建筑为中心，四向各延伸20米为保护范围，以保护范围之外，四向各延伸50米为建设控制地带，其余尚未核定为文物保护单位的古建筑、遗址等实施原址保护。</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8、“五线”管制规划</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（1）“红线”控制</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道路“红线”控制范围内经批准可以按规划建设绿化、市政公用地上、地下杆（管）线、交通管制设施，道路环卫设施；限制建设城市雕塑、霓虹灯、广告牌位；不得建设与市政公用设施无关的杆（管）线和非城市公用的配电设施、通信设施、环卫设施、交通管制设施等。</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严禁在道路“红线”控制范围内进行挖沙取土等改变地形地貌的活动。临街单位增设或改变出入口位置必须符合镇规划并经城乡规划行政主管部门和市政管理部门批准同意。道路红线控制范围内已有建筑由泥江口镇人民政府有计划地参照《城市房屋拆迁管理条例》组织拆迁，暂时未动迁的只能维持现状或进行不改变建筑物结构、不增加面积的简单维修。</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（2）“绿线”控制</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“绿线”为镇政府驻地公园绿地、防护绿地等范围界线。</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（3）“黄线”控制</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黄线”包括:①污水处理厂用地控制范围；②邮政支局用地控制范围；③电信支局用地控制范围；④消防站用地控制范围；⑤环卫用地控制范围；⑥广场用地控制范围；⑦停车场用地控制范围；⑧高压线走廊用地控制范围。</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（4）“蓝线”控制</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规划范围内“蓝线”的保护主要是指志溪河、泥江河、塘湾河的河道保护。</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（5）“紫线”控制</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“紫线”为七里江狮子桥的保护区范围界线。</w:t>
      </w:r>
    </w:p>
    <w:p>
      <w:pPr>
        <w:snapToGrid w:val="0"/>
        <w:spacing w:line="360" w:lineRule="auto"/>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drawing>
          <wp:inline distT="0" distB="0" distL="114300" distR="114300">
            <wp:extent cx="5265420" cy="3724275"/>
            <wp:effectExtent l="0" t="0" r="5080" b="9525"/>
            <wp:docPr id="6" name="图片 6" descr="15镇政府驻地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镇政府驻地控制线规划图"/>
                    <pic:cNvPicPr>
                      <a:picLocks noChangeAspect="1"/>
                    </pic:cNvPicPr>
                  </pic:nvPicPr>
                  <pic:blipFill>
                    <a:blip r:embed="rId17"/>
                    <a:stretch>
                      <a:fillRect/>
                    </a:stretch>
                  </pic:blipFill>
                  <pic:spPr>
                    <a:xfrm>
                      <a:off x="0" y="0"/>
                      <a:ext cx="5265420" cy="3724275"/>
                    </a:xfrm>
                    <a:prstGeom prst="rect">
                      <a:avLst/>
                    </a:prstGeom>
                  </pic:spPr>
                </pic:pic>
              </a:graphicData>
            </a:graphic>
          </wp:inline>
        </w:drawing>
      </w:r>
    </w:p>
    <w:p>
      <w:pPr>
        <w:ind w:firstLine="482" w:firstLineChars="200"/>
        <w:jc w:val="center"/>
        <w:outlineLvl w:val="1"/>
        <w:rPr>
          <w:rFonts w:hint="eastAsia" w:ascii="仿宋" w:hAnsi="仿宋" w:eastAsia="仿宋" w:cs="仿宋"/>
          <w:b/>
          <w:bCs/>
          <w:caps/>
          <w:color w:val="auto"/>
          <w:kern w:val="2"/>
          <w:sz w:val="24"/>
          <w:szCs w:val="24"/>
          <w:highlight w:val="none"/>
          <w:lang w:val="en-US" w:eastAsia="zh-CN" w:bidi="ar-SA"/>
        </w:rPr>
      </w:pPr>
      <w:r>
        <w:rPr>
          <w:rFonts w:hint="eastAsia" w:ascii="仿宋" w:hAnsi="仿宋" w:eastAsia="仿宋" w:cs="仿宋"/>
          <w:b/>
          <w:bCs/>
          <w:caps/>
          <w:color w:val="auto"/>
          <w:kern w:val="2"/>
          <w:sz w:val="24"/>
          <w:szCs w:val="24"/>
          <w:highlight w:val="none"/>
          <w:lang w:val="en-US" w:eastAsia="zh-CN" w:bidi="ar-SA"/>
        </w:rPr>
        <w:t>镇政府驻地控制线规划图</w:t>
      </w:r>
    </w:p>
    <w:p>
      <w:pPr>
        <w:numPr>
          <w:ilvl w:val="0"/>
          <w:numId w:val="0"/>
        </w:numPr>
        <w:snapToGrid w:val="0"/>
        <w:spacing w:line="360" w:lineRule="auto"/>
        <w:ind w:firstLine="560" w:firstLineChars="200"/>
        <w:jc w:val="left"/>
        <w:rPr>
          <w:rFonts w:hint="eastAsia" w:ascii="仿宋" w:hAnsi="仿宋" w:eastAsia="仿宋" w:cs="仿宋"/>
          <w:b w:val="0"/>
          <w:bCs w:val="0"/>
          <w:sz w:val="28"/>
          <w:szCs w:val="28"/>
          <w:lang w:val="en-US" w:eastAsia="zh-CN"/>
        </w:rPr>
      </w:pP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9、土地使用强度与控制性指标</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（1）土地使用强度</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乡镇政府驻地集中建设区用地开发强度按三级控制，实行差异化的土地开发强度管制。</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土地使用强度Ⅰ区——高强度开发地区，主要包括泥江口镇公共服务中心的核心区、城镇重要节点，属于小高层建筑发展区。整体容积率1.2≤f≤2.4，整体建筑密度控制在25-30%之间。</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土地使用强度Ⅱ区——中强度开发地区，主要包括城镇公共服务中心的外围地区和新建居住区等地区，属于多层建筑发展区。整体容积率1.0≤f≤1.2，整体建筑密度控制在30-35%之间。</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土地使用强度Ⅲ区——低强度开发地区，主要包括静脉产业园、中心镇政府驻地内的小学、中心幼儿园，以及镇政府驻地边缘地区，以多层建筑为主，部分低层建筑。整体容积率0.8≤f≤1.2，整体建筑密度控制在25-40%之间。</w:t>
      </w:r>
    </w:p>
    <w:p>
      <w:pPr>
        <w:snapToGrid w:val="0"/>
        <w:spacing w:line="360" w:lineRule="auto"/>
        <w:ind w:firstLine="480" w:firstLineChars="200"/>
        <w:jc w:val="left"/>
        <w:outlineLvl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（2）控制性指标</w:t>
      </w:r>
    </w:p>
    <w:p>
      <w:pPr>
        <w:snapToGrid w:val="0"/>
        <w:spacing w:line="360" w:lineRule="auto"/>
        <w:ind w:firstLine="480" w:firstLineChars="200"/>
        <w:jc w:val="left"/>
        <w:outlineLvl w:val="3"/>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①用地性质与面积</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各类用地性质原则上不宜互换。应严格控制公共设施用地（特别是非营利性公共设施用地）、道路广场用地、市政公用设施用地、对外交通用地和绿地，不得任意改变其用途。</w:t>
      </w:r>
    </w:p>
    <w:p>
      <w:pPr>
        <w:snapToGrid w:val="0"/>
        <w:spacing w:line="360" w:lineRule="auto"/>
        <w:ind w:firstLine="480" w:firstLineChars="200"/>
        <w:jc w:val="left"/>
        <w:outlineLvl w:val="3"/>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②容积率</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规划容积率为开发上限指标，本规划对容积率作如下规定：</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ascii="仿宋" w:hAnsi="仿宋" w:eastAsia="仿宋" w:cs="仿宋"/>
          <w:color w:val="000000"/>
          <w:kern w:val="0"/>
          <w:sz w:val="24"/>
          <w:szCs w:val="24"/>
          <w:lang w:val="en-US" w:eastAsia="zh-CN" w:bidi="ar"/>
        </w:rPr>
        <w:t>一类居住用地≤1</w:t>
      </w:r>
      <w:r>
        <w:rPr>
          <w:rFonts w:hint="eastAsia" w:ascii="仿宋" w:hAnsi="仿宋" w:eastAsia="仿宋" w:cs="仿宋"/>
          <w:color w:val="auto"/>
          <w:highlight w:val="none"/>
          <w:lang w:val="en-US" w:eastAsia="zh-CN"/>
        </w:rPr>
        <w:t>.2；二类居住用地≤2.4；公共设施用地≤3.8；商业用地≤3.0；工业用地≥0.8。</w:t>
      </w:r>
    </w:p>
    <w:p>
      <w:pPr>
        <w:snapToGrid w:val="0"/>
        <w:spacing w:line="360" w:lineRule="auto"/>
        <w:ind w:firstLine="480" w:firstLineChars="200"/>
        <w:jc w:val="left"/>
        <w:outlineLvl w:val="3"/>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③建筑限高</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建筑限高为开发上限控制指标，本规划对建筑限高作如下规定：一类居住用地≤24m；二类居住用地≤38m；公共设施用地≤100m；商业用地≤100m；工业用地≤24m。</w:t>
      </w:r>
    </w:p>
    <w:p>
      <w:pPr>
        <w:snapToGrid w:val="0"/>
        <w:spacing w:line="360" w:lineRule="auto"/>
        <w:ind w:firstLine="480" w:firstLineChars="200"/>
        <w:jc w:val="left"/>
        <w:outlineLvl w:val="3"/>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④建筑密度</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一类居住用地≤30%；二类居住用地≤30%；公共设施用地≤45%；商业用地≤45%；工业用地≥35%。</w:t>
      </w:r>
    </w:p>
    <w:p>
      <w:pPr>
        <w:snapToGrid w:val="0"/>
        <w:spacing w:line="360" w:lineRule="auto"/>
        <w:ind w:firstLine="480" w:firstLineChars="200"/>
        <w:jc w:val="left"/>
        <w:outlineLvl w:val="3"/>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⑤绿地率</w:t>
      </w:r>
    </w:p>
    <w:p>
      <w:pPr>
        <w:snapToGrid w:val="0"/>
        <w:spacing w:line="360" w:lineRule="auto"/>
        <w:ind w:firstLine="480" w:firstLineChars="200"/>
        <w:jc w:val="left"/>
        <w:rPr>
          <w:rFonts w:hint="eastAsia"/>
          <w:lang w:val="en-US" w:eastAsia="zh-CN"/>
        </w:rPr>
      </w:pPr>
      <w:r>
        <w:rPr>
          <w:rFonts w:hint="eastAsia" w:ascii="仿宋" w:hAnsi="仿宋" w:eastAsia="仿宋" w:cs="仿宋"/>
          <w:color w:val="auto"/>
          <w:highlight w:val="none"/>
          <w:lang w:val="en-US" w:eastAsia="zh-CN"/>
        </w:rPr>
        <w:t>规划绿地率为地块开发需满足的下限控制指标。本规划对绿地率作如下规定：一类居住用地≥35%；二类居住用地≥30%；公共设施用地≥25%；商业用地≥25%；工业用地≤20%。</w:t>
      </w:r>
    </w:p>
    <w:p>
      <w:pPr>
        <w:jc w:val="both"/>
        <w:rPr>
          <w:rFonts w:hint="eastAsia" w:ascii="仿宋" w:hAnsi="仿宋" w:eastAsia="仿宋" w:cs="仿宋"/>
          <w:b/>
          <w:bCs/>
          <w:caps/>
          <w:color w:val="auto"/>
          <w:kern w:val="2"/>
          <w:sz w:val="24"/>
          <w:szCs w:val="24"/>
          <w:highlight w:val="none"/>
          <w:lang w:val="en-US" w:eastAsia="zh-CN" w:bidi="ar-SA"/>
        </w:rPr>
      </w:pP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lang w:val="en-US" w:eastAsia="zh-CN"/>
        </w:rPr>
      </w:pPr>
      <w:r>
        <w:rPr>
          <w:rFonts w:hint="eastAsia" w:ascii="仿宋" w:hAnsi="仿宋" w:eastAsia="仿宋" w:cs="仿宋"/>
          <w:b w:val="0"/>
          <w:bCs w:val="0"/>
          <w:sz w:val="40"/>
          <w:szCs w:val="40"/>
          <w:lang w:eastAsia="zh-CN"/>
        </w:rPr>
        <w:t>综合防灾规划</w:t>
      </w:r>
    </w:p>
    <w:p>
      <w:pPr>
        <w:numPr>
          <w:ilvl w:val="0"/>
          <w:numId w:val="0"/>
        </w:numPr>
        <w:snapToGrid w:val="0"/>
        <w:spacing w:line="360" w:lineRule="auto"/>
        <w:ind w:firstLine="560" w:firstLineChars="200"/>
        <w:jc w:val="left"/>
        <w:outlineLvl w:val="1"/>
        <w:rPr>
          <w:rFonts w:hint="default"/>
          <w:lang w:val="en-US" w:eastAsia="zh-CN"/>
        </w:rPr>
      </w:pPr>
      <w:r>
        <w:rPr>
          <w:rFonts w:hint="eastAsia" w:ascii="仿宋" w:hAnsi="仿宋" w:eastAsia="仿宋" w:cs="仿宋"/>
          <w:b w:val="0"/>
          <w:bCs w:val="0"/>
          <w:sz w:val="28"/>
          <w:szCs w:val="28"/>
          <w:lang w:val="en-US" w:eastAsia="zh-CN"/>
        </w:rPr>
        <w:t>1、防洪排涝规划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防洪：志溪河按20年一遇防洪标准设防。</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排涝：镇政府驻地按照10年一遇，1日暴雨1日排干。改造电排、机埠，以提高排涝能力，改造低洼地，保护蓄洪塘。</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贯彻“全面规划、综合治理、防治结合、以防为主”的防洪减灾方针，协调防洪工程规划建设与流域规划，加强防洪减灾设施的建设，保证城镇防洪安全。综合治理河流水系，通过生物措施与建堤护岸、疏浚河道、干渠，扩宽瓶颈河段等多种工程手段，提高泄洪能力，全面提升泥江口镇抵御洪灾的能力；建设完善的排水系统，按照排涝标准配套建设排渍泵站，形成自排、电排、调蓄相结合的排涝系统，最大限度地防止洪涝灾害的发生；对志溪河、主要干渠和雨水行泄通道进行严格保护与综合整治，确保行洪断面满足防洪排涝要求。</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2、防震工程规划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泥江口镇规划抗震立足于6度的基本烈度，坚持“预防为主，防救结合”的方针，其中镇政府驻地城市生命线工程和重点建筑应按7度设防。</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以泥江口镇人民政府为核心，建立全镇防震减灾指挥中心，加强对建设工程抗震设防的管理。</w:t>
      </w:r>
    </w:p>
    <w:p>
      <w:pPr>
        <w:snapToGrid w:val="0"/>
        <w:spacing w:line="360" w:lineRule="auto"/>
        <w:ind w:firstLine="480" w:firstLineChars="200"/>
        <w:jc w:val="left"/>
        <w:rPr>
          <w:rFonts w:hint="default"/>
          <w:lang w:val="en-US" w:eastAsia="zh-CN"/>
        </w:rPr>
      </w:pPr>
      <w:r>
        <w:rPr>
          <w:rFonts w:hint="eastAsia" w:ascii="仿宋" w:hAnsi="仿宋" w:eastAsia="仿宋" w:cs="仿宋"/>
          <w:color w:val="auto"/>
          <w:highlight w:val="none"/>
          <w:lang w:val="en-US" w:eastAsia="zh-CN"/>
        </w:rPr>
        <w:t>镇政府驻地建筑物按照地震基本烈度Ⅶ度进行抗震设计。镇政府驻地内人均疏散场地面积不小于1.5平方米，每一疏散场地面积不小于2000平方米，疏散场地距离不大于500米，紧急避震疏散场所、固定避震疏散场所可以结合广场、小学、镇政府、医院等建设；各村集中建设用地时避开采空区、滑坡、崩塌、泥石流和落石地带，可利用学校操场、文体活动广场、避难广场。抗震以G234、S321、泥灰公路为对外疏散通道应急与疏散主通道，以乡道为对外应急与疏散次通道，依托主要村道建设内部应急通道。</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3、镇政府驻地人防规划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遵循“长期准备、重点建设、平战结合”的方针，实现人防工程与城市建设有机结合的人民防空体系。规划至2035年，防空警报实际覆盖率为100%。</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结合战时疏散和平时抗震防灾和消防的要求，合理布置广场、绿地；易燃、易爆和有毒物品的生产和储存选址应远离居民集中区。</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结合城镇道路、抗震和人防规划的要求，设立疏散通道。</w:t>
      </w:r>
    </w:p>
    <w:p>
      <w:pPr>
        <w:numPr>
          <w:ilvl w:val="0"/>
          <w:numId w:val="0"/>
        </w:numPr>
        <w:snapToGrid w:val="0"/>
        <w:spacing w:line="360" w:lineRule="auto"/>
        <w:ind w:firstLine="560" w:firstLineChars="200"/>
        <w:jc w:val="left"/>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4、地质灾害规划</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泥江口镇地质灾害点5处，中风险及以上切坡建房点859处，村民建房、重点项目选址须避让。</w:t>
      </w:r>
    </w:p>
    <w:p>
      <w:pPr>
        <w:snapToGrid w:val="0"/>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地质灾害防治方法以预防为主、避让与治理相结合；对村民加大宣传教育的力度，通过各种形式的宣传媒介，普及地质灾害基础知识，调动广大群众防治地质灾害的积极性，不断提升全民防灾减灾的意识；严禁破坏地质环境、造成地质灾害的行为，防止水土流失；对建设工程进行地质灾害危险性评估，并将评估结果作为可行性研究报告的组成部分；自然因素造成的地质灾害，由各级政府总负责；人为因素诱发的地质灾害，要坚持“谁诱发、谁治理，谁受益、谁治理”的原则。</w:t>
      </w:r>
    </w:p>
    <w:p>
      <w:pPr>
        <w:snapToGrid w:val="0"/>
        <w:spacing w:line="360" w:lineRule="auto"/>
        <w:ind w:firstLine="480" w:firstLineChars="200"/>
        <w:jc w:val="left"/>
        <w:rPr>
          <w:rFonts w:hint="eastAsia" w:ascii="仿宋" w:hAnsi="仿宋" w:eastAsia="仿宋" w:cs="仿宋"/>
          <w:color w:val="auto"/>
          <w:highlight w:val="none"/>
          <w:lang w:val="en-US" w:eastAsia="zh-CN"/>
        </w:rPr>
      </w:pPr>
    </w:p>
    <w:p>
      <w:pPr>
        <w:keepNext w:val="0"/>
        <w:keepLines w:val="0"/>
        <w:pageBreakBefore w:val="0"/>
        <w:widowControl/>
        <w:numPr>
          <w:ilvl w:val="0"/>
          <w:numId w:val="2"/>
        </w:numPr>
        <w:kinsoku/>
        <w:wordWrap/>
        <w:overflowPunct/>
        <w:topLinePunct w:val="0"/>
        <w:autoSpaceDE/>
        <w:autoSpaceDN/>
        <w:bidi w:val="0"/>
        <w:adjustRightInd/>
        <w:snapToGrid w:val="0"/>
        <w:spacing w:line="360" w:lineRule="auto"/>
        <w:ind w:firstLine="0" w:firstLineChars="0"/>
        <w:jc w:val="center"/>
        <w:textAlignment w:val="auto"/>
        <w:outlineLvl w:val="0"/>
        <w:rPr>
          <w:rFonts w:hint="eastAsia"/>
          <w:lang w:val="en-US" w:eastAsia="zh-CN"/>
        </w:rPr>
      </w:pPr>
      <w:r>
        <w:rPr>
          <w:rFonts w:hint="eastAsia" w:ascii="仿宋" w:hAnsi="仿宋" w:eastAsia="仿宋" w:cs="仿宋"/>
          <w:b w:val="0"/>
          <w:bCs w:val="0"/>
          <w:sz w:val="40"/>
          <w:szCs w:val="40"/>
          <w:lang w:val="en-US" w:eastAsia="zh-CN"/>
        </w:rPr>
        <w:t>乡镇风貌设计</w:t>
      </w:r>
    </w:p>
    <w:p>
      <w:pPr>
        <w:numPr>
          <w:ilvl w:val="0"/>
          <w:numId w:val="0"/>
        </w:numPr>
        <w:snapToGrid w:val="0"/>
        <w:spacing w:line="360" w:lineRule="auto"/>
        <w:ind w:firstLine="560" w:firstLineChars="200"/>
        <w:jc w:val="left"/>
        <w:outlineLvl w:val="1"/>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1、整体风貌要求与定位</w:t>
      </w:r>
    </w:p>
    <w:p>
      <w:pPr>
        <w:widowControl w:val="0"/>
        <w:autoSpaceDE w:val="0"/>
        <w:autoSpaceDN w:val="0"/>
        <w:adjustRightInd w:val="0"/>
        <w:spacing w:line="360" w:lineRule="auto"/>
        <w:ind w:firstLine="48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总体要求：</w:t>
      </w:r>
      <w:r>
        <w:rPr>
          <w:rFonts w:hint="eastAsia" w:ascii="仿宋" w:hAnsi="仿宋" w:eastAsia="仿宋" w:cs="仿宋"/>
          <w:bCs/>
          <w:color w:val="auto"/>
          <w:szCs w:val="21"/>
          <w:highlight w:val="none"/>
          <w:lang w:val="en-US" w:eastAsia="zh-CN"/>
        </w:rPr>
        <w:t>体现湖湘地区城镇的山水田园景观，</w:t>
      </w:r>
      <w:r>
        <w:rPr>
          <w:rFonts w:hint="eastAsia" w:ascii="仿宋" w:hAnsi="仿宋" w:eastAsia="仿宋" w:cs="仿宋"/>
          <w:bCs/>
          <w:color w:val="auto"/>
          <w:szCs w:val="21"/>
          <w:highlight w:val="none"/>
        </w:rPr>
        <w:t>尊重自然，将村庄与山水林田湖草作为整体进行格局保护与乡村风貌塑造，加强村庄与自然山水的融合，不得随意破坏现有地形地貌、河湖水系及农田林地，让村民“望得见山、看得见水、记得住乡愁”。</w:t>
      </w:r>
    </w:p>
    <w:p>
      <w:pPr>
        <w:widowControl w:val="0"/>
        <w:autoSpaceDE w:val="0"/>
        <w:autoSpaceDN w:val="0"/>
        <w:adjustRightInd w:val="0"/>
        <w:spacing w:line="360" w:lineRule="auto"/>
        <w:ind w:firstLine="48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整体风貌特色定位：依托泥江口镇自然本底资源，结合泥江口镇的发展定位，将泥江口镇风貌定位为：“山水田园泥江口，生态宜居</w:t>
      </w:r>
      <w:r>
        <w:rPr>
          <w:rFonts w:hint="eastAsia" w:ascii="仿宋" w:hAnsi="仿宋" w:eastAsia="仿宋" w:cs="仿宋"/>
          <w:bCs/>
          <w:color w:val="auto"/>
          <w:szCs w:val="21"/>
          <w:highlight w:val="none"/>
          <w:lang w:val="en-US" w:eastAsia="zh-CN"/>
        </w:rPr>
        <w:t>如诗画</w:t>
      </w:r>
      <w:r>
        <w:rPr>
          <w:rFonts w:hint="eastAsia" w:ascii="仿宋" w:hAnsi="仿宋" w:eastAsia="仿宋" w:cs="仿宋"/>
          <w:bCs/>
          <w:color w:val="auto"/>
          <w:szCs w:val="21"/>
          <w:highlight w:val="none"/>
        </w:rPr>
        <w:t>”。</w:t>
      </w:r>
    </w:p>
    <w:p>
      <w:pPr>
        <w:keepNext w:val="0"/>
        <w:keepLines w:val="0"/>
        <w:pageBreakBefore w:val="0"/>
        <w:widowControl/>
        <w:numPr>
          <w:ilvl w:val="0"/>
          <w:numId w:val="5"/>
        </w:numPr>
        <w:kinsoku/>
        <w:wordWrap/>
        <w:overflowPunct/>
        <w:topLinePunct w:val="0"/>
        <w:autoSpaceDE/>
        <w:autoSpaceDN/>
        <w:bidi w:val="0"/>
        <w:adjustRightInd/>
        <w:snapToGrid w:val="0"/>
        <w:spacing w:line="360" w:lineRule="auto"/>
        <w:ind w:left="0" w:leftChars="0" w:firstLine="560" w:firstLineChars="200"/>
        <w:jc w:val="left"/>
        <w:textAlignment w:val="auto"/>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镇政府驻地设计指引</w:t>
      </w:r>
    </w:p>
    <w:p>
      <w:pPr>
        <w:widowControl w:val="0"/>
        <w:autoSpaceDE w:val="0"/>
        <w:autoSpaceDN w:val="0"/>
        <w:adjustRightInd w:val="0"/>
        <w:spacing w:line="360" w:lineRule="auto"/>
        <w:ind w:firstLine="480" w:firstLineChars="20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对集中建设区居住建筑、公共建筑、商业建筑与工业建筑的建筑风格、高度、体量、色彩、材料等提出指引，对标志性地段如广场、主要出入口、公园绿地、重要景观节点等提出设计指引。</w:t>
      </w:r>
    </w:p>
    <w:p>
      <w:pPr>
        <w:keepNext w:val="0"/>
        <w:keepLines w:val="0"/>
        <w:pageBreakBefore w:val="0"/>
        <w:widowControl/>
        <w:numPr>
          <w:ilvl w:val="0"/>
          <w:numId w:val="5"/>
        </w:numPr>
        <w:kinsoku/>
        <w:wordWrap/>
        <w:overflowPunct/>
        <w:topLinePunct w:val="0"/>
        <w:autoSpaceDE/>
        <w:autoSpaceDN/>
        <w:bidi w:val="0"/>
        <w:adjustRightInd/>
        <w:snapToGrid w:val="0"/>
        <w:spacing w:line="360" w:lineRule="auto"/>
        <w:ind w:left="0" w:leftChars="0" w:firstLine="560" w:firstLineChars="200"/>
        <w:jc w:val="left"/>
        <w:textAlignment w:val="auto"/>
        <w:outlineLvl w:val="1"/>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乡村设计指引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对农房建筑、公共建筑、生产建筑与农业设施的建筑风格、高度、体量、色彩、材料等提出指引，对乡村景观风貌提出指引。</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left"/>
        <w:textAlignment w:val="auto"/>
        <w:outlineLvl w:val="1"/>
        <w:rPr>
          <w:rFonts w:hint="default" w:ascii="仿宋" w:hAnsi="仿宋" w:eastAsia="仿宋" w:cs="仿宋"/>
          <w:b w:val="0"/>
          <w:bCs w:val="0"/>
          <w:sz w:val="28"/>
          <w:szCs w:val="28"/>
          <w:lang w:val="en-US" w:eastAsia="zh-CN"/>
        </w:rPr>
      </w:pPr>
    </w:p>
    <w:p>
      <w:pPr>
        <w:numPr>
          <w:ilvl w:val="0"/>
          <w:numId w:val="0"/>
        </w:numPr>
        <w:snapToGrid w:val="0"/>
        <w:spacing w:line="360" w:lineRule="auto"/>
        <w:jc w:val="left"/>
        <w:outlineLvl w:val="1"/>
        <w:rPr>
          <w:rFonts w:hint="default" w:ascii="仿宋" w:hAnsi="仿宋" w:eastAsia="仿宋" w:cs="仿宋"/>
          <w:b w:val="0"/>
          <w:bCs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center"/>
        <w:textAlignment w:val="auto"/>
        <w:outlineLvl w:val="0"/>
        <w:rPr>
          <w:rFonts w:hint="eastAsia"/>
          <w:lang w:val="en-US" w:eastAsia="zh-CN"/>
        </w:rPr>
      </w:pPr>
    </w:p>
    <w:p>
      <w:pPr>
        <w:snapToGrid w:val="0"/>
        <w:spacing w:line="360" w:lineRule="auto"/>
        <w:ind w:firstLine="480" w:firstLineChars="200"/>
        <w:jc w:val="left"/>
        <w:rPr>
          <w:rFonts w:hint="eastAsia" w:ascii="仿宋" w:hAnsi="仿宋" w:eastAsia="仿宋" w:cs="仿宋"/>
          <w:color w:val="auto"/>
          <w:highlight w:val="none"/>
          <w:lang w:val="en-US" w:eastAsia="zh-CN"/>
        </w:rPr>
        <w:sectPr>
          <w:pgSz w:w="11906" w:h="16838"/>
          <w:pgMar w:top="1440" w:right="1800" w:bottom="1440" w:left="1800" w:header="851" w:footer="992" w:gutter="0"/>
          <w:cols w:space="425" w:num="1"/>
          <w:docGrid w:type="lines" w:linePitch="312" w:charSpace="0"/>
        </w:sectPr>
      </w:pPr>
    </w:p>
    <w:p>
      <w:pPr>
        <w:pStyle w:val="2"/>
        <w:ind w:firstLine="482" w:firstLineChars="200"/>
        <w:rPr>
          <w:rFonts w:hint="eastAsia"/>
          <w:lang w:val="en-US" w:eastAsia="zh-CN"/>
        </w:rPr>
      </w:pPr>
      <w:r>
        <w:rPr>
          <w:rFonts w:hint="eastAsia"/>
          <w:lang w:val="en-US" w:eastAsia="zh-CN"/>
        </w:rPr>
        <w:t>附表一：</w:t>
      </w:r>
    </w:p>
    <w:p>
      <w:pPr>
        <w:spacing w:line="360" w:lineRule="auto"/>
        <w:ind w:firstLine="482" w:firstLineChars="200"/>
        <w:jc w:val="center"/>
        <w:outlineLvl w:val="0"/>
        <w:rPr>
          <w:rFonts w:hint="eastAsia" w:ascii="仿宋" w:hAnsi="仿宋" w:eastAsia="仿宋" w:cs="仿宋"/>
          <w:color w:val="auto"/>
          <w:highlight w:val="none"/>
          <w:lang w:eastAsia="zh-CN"/>
        </w:rPr>
      </w:pPr>
      <w:r>
        <w:rPr>
          <w:rFonts w:hint="eastAsia" w:ascii="仿宋" w:hAnsi="仿宋" w:eastAsia="仿宋" w:cs="仿宋"/>
          <w:b/>
          <w:bCs/>
          <w:color w:val="auto"/>
          <w:highlight w:val="none"/>
        </w:rPr>
        <w:t>乡镇</w:t>
      </w:r>
      <w:r>
        <w:rPr>
          <w:rFonts w:hint="eastAsia" w:ascii="仿宋" w:hAnsi="仿宋" w:eastAsia="仿宋" w:cs="仿宋"/>
          <w:b/>
          <w:bCs/>
          <w:color w:val="auto"/>
          <w:highlight w:val="none"/>
          <w:lang w:eastAsia="zh-CN"/>
        </w:rPr>
        <w:t>国土空间</w:t>
      </w:r>
      <w:r>
        <w:rPr>
          <w:rFonts w:hint="eastAsia" w:ascii="仿宋" w:hAnsi="仿宋" w:eastAsia="仿宋" w:cs="仿宋"/>
          <w:b/>
          <w:bCs/>
          <w:color w:val="auto"/>
          <w:highlight w:val="none"/>
        </w:rPr>
        <w:t>规划指标一览</w:t>
      </w:r>
      <w:r>
        <w:rPr>
          <w:rFonts w:hint="eastAsia" w:ascii="仿宋" w:hAnsi="仿宋" w:eastAsia="仿宋" w:cs="仿宋"/>
          <w:b/>
          <w:bCs/>
          <w:color w:val="auto"/>
          <w:highlight w:val="none"/>
          <w:lang w:eastAsia="zh-CN"/>
        </w:rPr>
        <w:t>表</w:t>
      </w:r>
    </w:p>
    <w:tbl>
      <w:tblPr>
        <w:tblStyle w:val="3"/>
        <w:tblW w:w="8149" w:type="dxa"/>
        <w:tblInd w:w="307" w:type="dxa"/>
        <w:tblLayout w:type="fixed"/>
        <w:tblCellMar>
          <w:top w:w="0" w:type="dxa"/>
          <w:left w:w="108" w:type="dxa"/>
          <w:bottom w:w="0" w:type="dxa"/>
          <w:right w:w="108" w:type="dxa"/>
        </w:tblCellMar>
      </w:tblPr>
      <w:tblGrid>
        <w:gridCol w:w="695"/>
        <w:gridCol w:w="679"/>
        <w:gridCol w:w="2627"/>
        <w:gridCol w:w="1057"/>
        <w:gridCol w:w="1095"/>
        <w:gridCol w:w="1109"/>
        <w:gridCol w:w="887"/>
      </w:tblGrid>
      <w:tr>
        <w:tblPrEx>
          <w:tblCellMar>
            <w:top w:w="0" w:type="dxa"/>
            <w:left w:w="108" w:type="dxa"/>
            <w:bottom w:w="0" w:type="dxa"/>
            <w:right w:w="108" w:type="dxa"/>
          </w:tblCellMar>
        </w:tblPrEx>
        <w:trPr>
          <w:trHeight w:val="944" w:hRule="atLeast"/>
        </w:trPr>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层级</w:t>
            </w:r>
          </w:p>
        </w:tc>
        <w:tc>
          <w:tcPr>
            <w:tcW w:w="3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指标</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2020年（基期年）</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5年（</w:t>
            </w:r>
            <w:r>
              <w:rPr>
                <w:rFonts w:hint="eastAsia" w:ascii="仿宋" w:hAnsi="仿宋" w:eastAsia="仿宋" w:cs="仿宋"/>
                <w:color w:val="auto"/>
                <w:sz w:val="21"/>
                <w:szCs w:val="21"/>
                <w:highlight w:val="none"/>
                <w:lang w:eastAsia="zh-CN"/>
              </w:rPr>
              <w:t>近期</w:t>
            </w:r>
            <w:r>
              <w:rPr>
                <w:rFonts w:hint="eastAsia" w:ascii="仿宋" w:hAnsi="仿宋" w:eastAsia="仿宋" w:cs="仿宋"/>
                <w:color w:val="auto"/>
                <w:sz w:val="21"/>
                <w:szCs w:val="21"/>
                <w:highlight w:val="none"/>
              </w:rPr>
              <w:t>目标年</w:t>
            </w:r>
            <w:r>
              <w:rPr>
                <w:rFonts w:hint="eastAsia" w:ascii="仿宋" w:hAnsi="仿宋" w:eastAsia="仿宋" w:cs="仿宋"/>
                <w:color w:val="auto"/>
                <w:sz w:val="21"/>
                <w:szCs w:val="21"/>
                <w:highlight w:val="none"/>
                <w:lang w:eastAsia="zh-CN"/>
              </w:rPr>
              <w:t>）</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2035年（目标年）</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420" w:firstLineChars="20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指标</w:t>
            </w:r>
          </w:p>
          <w:p>
            <w:pPr>
              <w:spacing w:line="240" w:lineRule="auto"/>
              <w:ind w:firstLine="420" w:firstLineChars="20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属性</w:t>
            </w:r>
          </w:p>
        </w:tc>
      </w:tr>
      <w:tr>
        <w:tblPrEx>
          <w:tblCellMar>
            <w:top w:w="0" w:type="dxa"/>
            <w:left w:w="108" w:type="dxa"/>
            <w:bottom w:w="0" w:type="dxa"/>
            <w:right w:w="108" w:type="dxa"/>
          </w:tblCellMar>
        </w:tblPrEx>
        <w:trPr>
          <w:trHeight w:val="496" w:hRule="atLeast"/>
        </w:trPr>
        <w:tc>
          <w:tcPr>
            <w:tcW w:w="695" w:type="dxa"/>
            <w:vMerge w:val="restart"/>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镇域</w:t>
            </w:r>
          </w:p>
        </w:tc>
        <w:tc>
          <w:tcPr>
            <w:tcW w:w="3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耕地保护目标</w:t>
            </w:r>
            <w:r>
              <w:rPr>
                <w:rFonts w:hint="eastAsia" w:ascii="仿宋" w:hAnsi="仿宋" w:eastAsia="仿宋" w:cs="仿宋"/>
                <w:color w:val="auto"/>
                <w:sz w:val="21"/>
                <w:szCs w:val="21"/>
                <w:highlight w:val="none"/>
                <w:lang w:eastAsia="zh-CN"/>
              </w:rPr>
              <w:t>（亩）</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42921.38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42921.38</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42921.38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约束性</w:t>
            </w:r>
          </w:p>
        </w:tc>
      </w:tr>
      <w:tr>
        <w:tblPrEx>
          <w:tblCellMar>
            <w:top w:w="0" w:type="dxa"/>
            <w:left w:w="108" w:type="dxa"/>
            <w:bottom w:w="0" w:type="dxa"/>
            <w:right w:w="108" w:type="dxa"/>
          </w:tblCellMar>
        </w:tblPrEx>
        <w:trPr>
          <w:trHeight w:val="496" w:hRule="atLeast"/>
        </w:trPr>
        <w:tc>
          <w:tcPr>
            <w:tcW w:w="695" w:type="dxa"/>
            <w:vMerge w:val="continue"/>
            <w:tcBorders>
              <w:left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p>
        </w:tc>
        <w:tc>
          <w:tcPr>
            <w:tcW w:w="3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永久基本农田保护</w:t>
            </w:r>
            <w:r>
              <w:rPr>
                <w:rFonts w:hint="eastAsia" w:ascii="仿宋" w:hAnsi="仿宋" w:eastAsia="仿宋" w:cs="仿宋"/>
                <w:color w:val="auto"/>
                <w:sz w:val="21"/>
                <w:szCs w:val="21"/>
                <w:highlight w:val="none"/>
                <w:lang w:eastAsia="zh-CN"/>
              </w:rPr>
              <w:t>面积（亩）</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30957.66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30957.66</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30957.66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约束性</w:t>
            </w:r>
          </w:p>
        </w:tc>
      </w:tr>
      <w:tr>
        <w:tblPrEx>
          <w:tblCellMar>
            <w:top w:w="0" w:type="dxa"/>
            <w:left w:w="108" w:type="dxa"/>
            <w:bottom w:w="0" w:type="dxa"/>
            <w:right w:w="108" w:type="dxa"/>
          </w:tblCellMar>
        </w:tblPrEx>
        <w:trPr>
          <w:trHeight w:val="496" w:hRule="atLeast"/>
        </w:trPr>
        <w:tc>
          <w:tcPr>
            <w:tcW w:w="695" w:type="dxa"/>
            <w:vMerge w:val="continue"/>
            <w:tcBorders>
              <w:left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p>
        </w:tc>
        <w:tc>
          <w:tcPr>
            <w:tcW w:w="3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生态保护红线</w:t>
            </w:r>
            <w:r>
              <w:rPr>
                <w:rFonts w:hint="eastAsia" w:ascii="仿宋" w:hAnsi="仿宋" w:eastAsia="仿宋" w:cs="仿宋"/>
                <w:color w:val="auto"/>
                <w:sz w:val="21"/>
                <w:szCs w:val="21"/>
                <w:highlight w:val="none"/>
                <w:lang w:eastAsia="zh-CN"/>
              </w:rPr>
              <w:t>面积（公顷）</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0.00</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约束性</w:t>
            </w:r>
          </w:p>
        </w:tc>
      </w:tr>
      <w:tr>
        <w:tblPrEx>
          <w:tblCellMar>
            <w:top w:w="0" w:type="dxa"/>
            <w:left w:w="108" w:type="dxa"/>
            <w:bottom w:w="0" w:type="dxa"/>
            <w:right w:w="108" w:type="dxa"/>
          </w:tblCellMar>
        </w:tblPrEx>
        <w:trPr>
          <w:trHeight w:val="496" w:hRule="atLeast"/>
        </w:trPr>
        <w:tc>
          <w:tcPr>
            <w:tcW w:w="695" w:type="dxa"/>
            <w:vMerge w:val="continue"/>
            <w:tcBorders>
              <w:left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p>
        </w:tc>
        <w:tc>
          <w:tcPr>
            <w:tcW w:w="3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城镇开发边界规模</w:t>
            </w:r>
            <w:r>
              <w:rPr>
                <w:rFonts w:hint="eastAsia" w:ascii="仿宋" w:hAnsi="仿宋" w:eastAsia="仿宋" w:cs="仿宋"/>
                <w:color w:val="auto"/>
                <w:sz w:val="21"/>
                <w:szCs w:val="21"/>
                <w:highlight w:val="none"/>
                <w:lang w:eastAsia="zh-CN"/>
              </w:rPr>
              <w:t>（公顷）</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225.31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225.31</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225.31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约束性</w:t>
            </w:r>
          </w:p>
        </w:tc>
      </w:tr>
      <w:tr>
        <w:tblPrEx>
          <w:tblCellMar>
            <w:top w:w="0" w:type="dxa"/>
            <w:left w:w="108" w:type="dxa"/>
            <w:bottom w:w="0" w:type="dxa"/>
            <w:right w:w="108" w:type="dxa"/>
          </w:tblCellMar>
        </w:tblPrEx>
        <w:trPr>
          <w:trHeight w:val="496" w:hRule="atLeast"/>
        </w:trPr>
        <w:tc>
          <w:tcPr>
            <w:tcW w:w="695" w:type="dxa"/>
            <w:vMerge w:val="continue"/>
            <w:tcBorders>
              <w:left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p>
        </w:tc>
        <w:tc>
          <w:tcPr>
            <w:tcW w:w="3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永久基本农田储备</w:t>
            </w:r>
            <w:r>
              <w:rPr>
                <w:rFonts w:hint="eastAsia" w:ascii="仿宋" w:hAnsi="仿宋" w:eastAsia="仿宋" w:cs="仿宋"/>
                <w:color w:val="auto"/>
                <w:sz w:val="21"/>
                <w:szCs w:val="21"/>
                <w:highlight w:val="none"/>
                <w:lang w:eastAsia="zh-CN"/>
              </w:rPr>
              <w:t>区</w:t>
            </w:r>
            <w:r>
              <w:rPr>
                <w:rFonts w:hint="eastAsia" w:ascii="仿宋" w:hAnsi="仿宋" w:eastAsia="仿宋" w:cs="仿宋"/>
                <w:color w:val="auto"/>
                <w:sz w:val="21"/>
                <w:szCs w:val="21"/>
                <w:highlight w:val="none"/>
              </w:rPr>
              <w:t>规模</w:t>
            </w:r>
            <w:r>
              <w:rPr>
                <w:rFonts w:hint="eastAsia" w:ascii="仿宋" w:hAnsi="仿宋" w:eastAsia="仿宋" w:cs="仿宋"/>
                <w:color w:val="auto"/>
                <w:sz w:val="21"/>
                <w:szCs w:val="21"/>
                <w:highlight w:val="none"/>
                <w:lang w:eastAsia="zh-CN"/>
              </w:rPr>
              <w:t>（公顷）</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12.97</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12.97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预期性</w:t>
            </w:r>
          </w:p>
        </w:tc>
      </w:tr>
      <w:tr>
        <w:tblPrEx>
          <w:tblCellMar>
            <w:top w:w="0" w:type="dxa"/>
            <w:left w:w="108" w:type="dxa"/>
            <w:bottom w:w="0" w:type="dxa"/>
            <w:right w:w="108" w:type="dxa"/>
          </w:tblCellMar>
        </w:tblPrEx>
        <w:trPr>
          <w:trHeight w:val="506" w:hRule="atLeast"/>
        </w:trPr>
        <w:tc>
          <w:tcPr>
            <w:tcW w:w="695" w:type="dxa"/>
            <w:vMerge w:val="continue"/>
            <w:tcBorders>
              <w:left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p>
        </w:tc>
        <w:tc>
          <w:tcPr>
            <w:tcW w:w="3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村庄建设用地</w:t>
            </w:r>
            <w:r>
              <w:rPr>
                <w:rFonts w:hint="eastAsia" w:ascii="仿宋" w:hAnsi="仿宋" w:eastAsia="仿宋" w:cs="仿宋"/>
                <w:color w:val="auto"/>
                <w:sz w:val="21"/>
                <w:szCs w:val="21"/>
                <w:highlight w:val="none"/>
                <w:lang w:eastAsia="zh-CN"/>
              </w:rPr>
              <w:t>（公顷）</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1264.28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1264.28</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1264.28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预期性</w:t>
            </w:r>
          </w:p>
        </w:tc>
      </w:tr>
      <w:tr>
        <w:tblPrEx>
          <w:tblCellMar>
            <w:top w:w="0" w:type="dxa"/>
            <w:left w:w="108" w:type="dxa"/>
            <w:bottom w:w="0" w:type="dxa"/>
            <w:right w:w="108" w:type="dxa"/>
          </w:tblCellMar>
        </w:tblPrEx>
        <w:trPr>
          <w:trHeight w:val="444" w:hRule="atLeast"/>
        </w:trPr>
        <w:tc>
          <w:tcPr>
            <w:tcW w:w="695" w:type="dxa"/>
            <w:vMerge w:val="continue"/>
            <w:tcBorders>
              <w:left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其中</w:t>
            </w:r>
          </w:p>
        </w:tc>
        <w:tc>
          <w:tcPr>
            <w:tcW w:w="262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村庄建设用地</w:t>
            </w:r>
            <w:r>
              <w:rPr>
                <w:rFonts w:hint="eastAsia" w:ascii="仿宋" w:hAnsi="仿宋" w:eastAsia="仿宋" w:cs="仿宋"/>
                <w:color w:val="auto"/>
                <w:sz w:val="21"/>
                <w:szCs w:val="21"/>
                <w:highlight w:val="none"/>
                <w:lang w:eastAsia="zh-CN"/>
              </w:rPr>
              <w:t>留白指标（公顷）</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16.81</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16.81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预期性</w:t>
            </w:r>
          </w:p>
        </w:tc>
      </w:tr>
      <w:tr>
        <w:tblPrEx>
          <w:tblCellMar>
            <w:top w:w="0" w:type="dxa"/>
            <w:left w:w="108" w:type="dxa"/>
            <w:bottom w:w="0" w:type="dxa"/>
            <w:right w:w="108" w:type="dxa"/>
          </w:tblCellMar>
        </w:tblPrEx>
        <w:trPr>
          <w:trHeight w:val="516" w:hRule="atLeast"/>
        </w:trPr>
        <w:tc>
          <w:tcPr>
            <w:tcW w:w="695" w:type="dxa"/>
            <w:vMerge w:val="continue"/>
            <w:tcBorders>
              <w:left w:val="single" w:color="000000" w:sz="4" w:space="0"/>
              <w:bottom w:val="single" w:color="auto"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p>
        </w:tc>
        <w:tc>
          <w:tcPr>
            <w:tcW w:w="3306"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人均城镇建设用地面积</w:t>
            </w:r>
            <w:r>
              <w:rPr>
                <w:rFonts w:hint="eastAsia" w:ascii="仿宋" w:hAnsi="仿宋" w:eastAsia="仿宋" w:cs="仿宋"/>
                <w:color w:val="auto"/>
                <w:sz w:val="21"/>
                <w:szCs w:val="21"/>
                <w:highlight w:val="none"/>
                <w:lang w:eastAsia="zh-CN"/>
              </w:rPr>
              <w:t>（平方米）</w:t>
            </w:r>
          </w:p>
        </w:tc>
        <w:tc>
          <w:tcPr>
            <w:tcW w:w="1057"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245.87</w:t>
            </w:r>
          </w:p>
        </w:tc>
        <w:tc>
          <w:tcPr>
            <w:tcW w:w="1095"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09"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150.20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预期性</w:t>
            </w:r>
          </w:p>
        </w:tc>
      </w:tr>
      <w:tr>
        <w:tblPrEx>
          <w:tblCellMar>
            <w:top w:w="0" w:type="dxa"/>
            <w:left w:w="108" w:type="dxa"/>
            <w:bottom w:w="0" w:type="dxa"/>
            <w:right w:w="108" w:type="dxa"/>
          </w:tblCellMar>
        </w:tblPrEx>
        <w:trPr>
          <w:trHeight w:val="551" w:hRule="atLeast"/>
        </w:trPr>
        <w:tc>
          <w:tcPr>
            <w:tcW w:w="6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镇政府驻地</w:t>
            </w:r>
          </w:p>
        </w:tc>
        <w:tc>
          <w:tcPr>
            <w:tcW w:w="33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公园绿地、广场步行5分钟覆盖率（%）</w:t>
            </w: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80</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90</w:t>
            </w:r>
          </w:p>
        </w:tc>
        <w:tc>
          <w:tcPr>
            <w:tcW w:w="887"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预期性</w:t>
            </w:r>
          </w:p>
        </w:tc>
      </w:tr>
      <w:tr>
        <w:tblPrEx>
          <w:tblCellMar>
            <w:top w:w="0" w:type="dxa"/>
            <w:left w:w="108" w:type="dxa"/>
            <w:bottom w:w="0" w:type="dxa"/>
            <w:right w:w="108" w:type="dxa"/>
          </w:tblCellMar>
        </w:tblPrEx>
        <w:trPr>
          <w:trHeight w:val="516" w:hRule="atLeast"/>
        </w:trPr>
        <w:tc>
          <w:tcPr>
            <w:tcW w:w="6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p>
        </w:tc>
        <w:tc>
          <w:tcPr>
            <w:tcW w:w="33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道路网密度（千米/平方千米）</w:t>
            </w:r>
          </w:p>
        </w:tc>
        <w:tc>
          <w:tcPr>
            <w:tcW w:w="10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8.61</w:t>
            </w:r>
          </w:p>
        </w:tc>
        <w:tc>
          <w:tcPr>
            <w:tcW w:w="887" w:type="dxa"/>
            <w:tcBorders>
              <w:top w:val="single" w:color="000000" w:sz="4" w:space="0"/>
              <w:left w:val="single" w:color="auto"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预期性</w:t>
            </w:r>
          </w:p>
        </w:tc>
      </w:tr>
    </w:tbl>
    <w:p>
      <w:pPr>
        <w:ind w:firstLine="480" w:firstLineChars="200"/>
        <w:rPr>
          <w:rFonts w:hint="default"/>
          <w:lang w:val="en-US" w:eastAsia="zh-CN"/>
        </w:rPr>
      </w:pPr>
      <w:r>
        <w:rPr>
          <w:rFonts w:hint="default"/>
          <w:lang w:val="en-US" w:eastAsia="zh-CN"/>
        </w:rPr>
        <w:br w:type="page"/>
      </w:r>
    </w:p>
    <w:p>
      <w:pPr>
        <w:pStyle w:val="2"/>
        <w:ind w:firstLine="482" w:firstLineChars="200"/>
        <w:rPr>
          <w:rFonts w:hint="eastAsia"/>
          <w:lang w:val="en-US" w:eastAsia="zh-CN"/>
        </w:rPr>
      </w:pPr>
      <w:r>
        <w:rPr>
          <w:rFonts w:hint="eastAsia"/>
          <w:lang w:val="en-US" w:eastAsia="zh-CN"/>
        </w:rPr>
        <w:t>附表二：</w:t>
      </w:r>
    </w:p>
    <w:p>
      <w:pPr>
        <w:widowControl w:val="0"/>
        <w:autoSpaceDE w:val="0"/>
        <w:autoSpaceDN w:val="0"/>
        <w:adjustRightInd w:val="0"/>
        <w:snapToGrid w:val="0"/>
        <w:spacing w:line="360" w:lineRule="auto"/>
        <w:ind w:firstLine="482" w:firstLineChars="200"/>
        <w:jc w:val="center"/>
        <w:outlineLvl w:val="0"/>
        <w:rPr>
          <w:rFonts w:hint="eastAsia" w:ascii="仿宋" w:hAnsi="仿宋" w:eastAsia="仿宋" w:cs="仿宋"/>
          <w:b/>
          <w:bCs/>
          <w:snapToGrid w:val="0"/>
          <w:kern w:val="0"/>
          <w:szCs w:val="21"/>
          <w:highlight w:val="none"/>
          <w:lang w:eastAsia="zh-CN"/>
        </w:rPr>
      </w:pPr>
      <w:r>
        <w:rPr>
          <w:rFonts w:hint="eastAsia" w:ascii="仿宋" w:hAnsi="仿宋" w:eastAsia="仿宋" w:cs="仿宋"/>
          <w:b/>
          <w:bCs/>
          <w:snapToGrid w:val="0"/>
          <w:kern w:val="0"/>
          <w:szCs w:val="21"/>
          <w:highlight w:val="none"/>
          <w:lang w:val="en-US" w:eastAsia="zh-CN"/>
        </w:rPr>
        <w:t>2035年乡镇国土空间规划</w:t>
      </w:r>
      <w:r>
        <w:rPr>
          <w:rFonts w:hint="eastAsia" w:ascii="仿宋" w:hAnsi="仿宋" w:eastAsia="仿宋" w:cs="仿宋"/>
          <w:b/>
          <w:bCs/>
          <w:snapToGrid w:val="0"/>
          <w:kern w:val="0"/>
          <w:szCs w:val="21"/>
          <w:highlight w:val="none"/>
          <w:lang w:eastAsia="zh-CN"/>
        </w:rPr>
        <w:t>指标分解表</w:t>
      </w:r>
    </w:p>
    <w:p>
      <w:pPr>
        <w:autoSpaceDN w:val="0"/>
        <w:adjustRightInd w:val="0"/>
        <w:snapToGrid w:val="0"/>
        <w:ind w:firstLine="420" w:firstLineChars="200"/>
        <w:jc w:val="both"/>
        <w:textAlignment w:val="center"/>
        <w:rPr>
          <w:rFonts w:hint="eastAsia" w:ascii="仿宋" w:hAnsi="仿宋" w:eastAsia="仿宋" w:cs="仿宋"/>
          <w:sz w:val="21"/>
          <w:szCs w:val="18"/>
          <w:highlight w:val="none"/>
          <w:lang w:val="en-US" w:eastAsia="zh-CN"/>
        </w:rPr>
      </w:pPr>
      <w:r>
        <w:rPr>
          <w:rFonts w:hint="eastAsia" w:ascii="仿宋" w:hAnsi="仿宋" w:eastAsia="仿宋" w:cs="仿宋"/>
          <w:sz w:val="21"/>
          <w:szCs w:val="18"/>
          <w:highlight w:val="none"/>
          <w:lang w:val="en-US" w:eastAsia="zh-CN"/>
        </w:rPr>
        <w:t>单位：公顷</w:t>
      </w:r>
    </w:p>
    <w:tbl>
      <w:tblPr>
        <w:tblStyle w:val="3"/>
        <w:tblW w:w="808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485"/>
        <w:gridCol w:w="1279"/>
        <w:gridCol w:w="1184"/>
        <w:gridCol w:w="1263"/>
        <w:gridCol w:w="112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autoSpaceDN w:val="0"/>
              <w:adjustRightInd w:val="0"/>
              <w:snapToGrid w:val="0"/>
              <w:spacing w:line="240" w:lineRule="auto"/>
              <w:jc w:val="center"/>
              <w:textAlignment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eastAsia="zh-CN"/>
              </w:rPr>
              <w:t>序号</w:t>
            </w:r>
          </w:p>
        </w:tc>
        <w:tc>
          <w:tcPr>
            <w:tcW w:w="1485" w:type="dxa"/>
            <w:vAlign w:val="center"/>
          </w:tcPr>
          <w:p>
            <w:pPr>
              <w:autoSpaceDN w:val="0"/>
              <w:adjustRightInd w:val="0"/>
              <w:snapToGrid w:val="0"/>
              <w:spacing w:line="240" w:lineRule="auto"/>
              <w:jc w:val="center"/>
              <w:textAlignment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rPr>
              <w:t>行政区域</w:t>
            </w:r>
          </w:p>
        </w:tc>
        <w:tc>
          <w:tcPr>
            <w:tcW w:w="1279" w:type="dxa"/>
            <w:vAlign w:val="center"/>
          </w:tcPr>
          <w:p>
            <w:pPr>
              <w:autoSpaceDN w:val="0"/>
              <w:adjustRightInd w:val="0"/>
              <w:snapToGrid w:val="0"/>
              <w:spacing w:line="240" w:lineRule="auto"/>
              <w:jc w:val="center"/>
              <w:textAlignment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rPr>
              <w:t>城镇开发边界规模</w:t>
            </w:r>
            <w:r>
              <w:rPr>
                <w:rFonts w:hint="eastAsia" w:ascii="仿宋" w:hAnsi="仿宋" w:eastAsia="仿宋" w:cs="仿宋"/>
                <w:b/>
                <w:bCs/>
                <w:sz w:val="21"/>
                <w:szCs w:val="21"/>
                <w:highlight w:val="none"/>
                <w:lang w:eastAsia="zh-CN"/>
              </w:rPr>
              <w:t>（公顷）</w:t>
            </w:r>
          </w:p>
        </w:tc>
        <w:tc>
          <w:tcPr>
            <w:tcW w:w="1184" w:type="dxa"/>
            <w:vAlign w:val="center"/>
          </w:tcPr>
          <w:p>
            <w:pPr>
              <w:autoSpaceDN w:val="0"/>
              <w:adjustRightInd w:val="0"/>
              <w:snapToGrid w:val="0"/>
              <w:spacing w:line="240" w:lineRule="auto"/>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sz w:val="21"/>
                <w:szCs w:val="21"/>
                <w:highlight w:val="none"/>
              </w:rPr>
              <w:t>耕地保护目标</w:t>
            </w:r>
            <w:r>
              <w:rPr>
                <w:rFonts w:hint="eastAsia" w:ascii="仿宋" w:hAnsi="仿宋" w:eastAsia="仿宋" w:cs="仿宋"/>
                <w:b/>
                <w:bCs/>
                <w:sz w:val="21"/>
                <w:szCs w:val="21"/>
                <w:highlight w:val="none"/>
                <w:lang w:eastAsia="zh-CN"/>
              </w:rPr>
              <w:t>（亩）</w:t>
            </w:r>
          </w:p>
        </w:tc>
        <w:tc>
          <w:tcPr>
            <w:tcW w:w="1263" w:type="dxa"/>
            <w:vAlign w:val="center"/>
          </w:tcPr>
          <w:p>
            <w:pPr>
              <w:autoSpaceDN w:val="0"/>
              <w:adjustRightInd w:val="0"/>
              <w:snapToGrid w:val="0"/>
              <w:spacing w:line="240" w:lineRule="auto"/>
              <w:jc w:val="center"/>
              <w:textAlignment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永久基本农田保护面积</w:t>
            </w:r>
            <w:r>
              <w:rPr>
                <w:rFonts w:hint="eastAsia" w:ascii="仿宋" w:hAnsi="仿宋" w:eastAsia="仿宋" w:cs="仿宋"/>
                <w:b/>
                <w:bCs/>
                <w:sz w:val="21"/>
                <w:szCs w:val="21"/>
                <w:highlight w:val="none"/>
                <w:lang w:eastAsia="zh-CN"/>
              </w:rPr>
              <w:t>（亩）</w:t>
            </w:r>
          </w:p>
        </w:tc>
        <w:tc>
          <w:tcPr>
            <w:tcW w:w="1121" w:type="dxa"/>
            <w:vAlign w:val="center"/>
          </w:tcPr>
          <w:p>
            <w:pPr>
              <w:autoSpaceDN w:val="0"/>
              <w:adjustRightInd w:val="0"/>
              <w:snapToGrid w:val="0"/>
              <w:spacing w:line="240" w:lineRule="auto"/>
              <w:jc w:val="center"/>
              <w:textAlignment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rPr>
              <w:t>生态保护红线</w:t>
            </w:r>
            <w:r>
              <w:rPr>
                <w:rFonts w:hint="eastAsia" w:ascii="仿宋" w:hAnsi="仿宋" w:eastAsia="仿宋" w:cs="仿宋"/>
                <w:b/>
                <w:bCs/>
                <w:sz w:val="21"/>
                <w:szCs w:val="21"/>
                <w:highlight w:val="none"/>
                <w:lang w:eastAsia="zh-CN"/>
              </w:rPr>
              <w:t>（公顷）</w:t>
            </w:r>
          </w:p>
        </w:tc>
        <w:tc>
          <w:tcPr>
            <w:tcW w:w="1168" w:type="dxa"/>
            <w:vAlign w:val="center"/>
          </w:tcPr>
          <w:p>
            <w:pPr>
              <w:autoSpaceDN w:val="0"/>
              <w:adjustRightInd w:val="0"/>
              <w:snapToGrid w:val="0"/>
              <w:spacing w:line="240" w:lineRule="auto"/>
              <w:jc w:val="center"/>
              <w:textAlignment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村庄建设用地</w:t>
            </w:r>
            <w:r>
              <w:rPr>
                <w:rFonts w:hint="eastAsia" w:ascii="仿宋" w:hAnsi="仿宋" w:eastAsia="仿宋" w:cs="仿宋"/>
                <w:b/>
                <w:bCs/>
                <w:sz w:val="21"/>
                <w:szCs w:val="21"/>
                <w:highlight w:val="none"/>
                <w:lang w:eastAsia="zh-CN"/>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水满村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4.34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3060.95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2734.53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109.66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国庆村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0.10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4622.70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4132.58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133.02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大桥冲村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658.85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609.19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37.33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泥家潭村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0.06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2612.43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493.26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85.84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樊家庙村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13.13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2279.10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1841.91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51.11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谷塘村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1.02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1912.35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1658.98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65.95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7</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南坝村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6.16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4785.27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1622.04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173.11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横堤村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16.26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2947.19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2131.64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73.53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9</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岩子潭村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13.92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3147.32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2546.90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54.16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太阳庵村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0.06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3246.02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3094.61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83.39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11</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油草塘村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1907.70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1782.01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60.11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九二五社区</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116.52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1923.68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1223.92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45.26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13</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七里江村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24.72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2366.88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1695.48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58.74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14</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七里冲村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1.93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2468.70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2239.16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93.30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15</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蛇山村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2.77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2299.59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634.51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63.67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16</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泉山村</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2582.43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2516.95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74.44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17</w:t>
            </w:r>
          </w:p>
        </w:tc>
        <w:tc>
          <w:tcPr>
            <w:tcW w:w="1485"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灰矿农业工区</w:t>
            </w:r>
          </w:p>
        </w:tc>
        <w:tc>
          <w:tcPr>
            <w:tcW w:w="1279"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24.32 </w:t>
            </w:r>
          </w:p>
        </w:tc>
        <w:tc>
          <w:tcPr>
            <w:tcW w:w="1184"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100.21 </w:t>
            </w:r>
          </w:p>
        </w:tc>
        <w:tc>
          <w:tcPr>
            <w:tcW w:w="1263"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21"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spacing w:line="360" w:lineRule="auto"/>
              <w:jc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84" w:type="dxa"/>
            <w:vAlign w:val="center"/>
          </w:tcPr>
          <w:p>
            <w:pPr>
              <w:keepNext w:val="0"/>
              <w:keepLines w:val="0"/>
              <w:widowControl/>
              <w:suppressLineNumbers w:val="0"/>
              <w:spacing w:line="360" w:lineRule="auto"/>
              <w:jc w:val="center"/>
              <w:textAlignment w:val="center"/>
              <w:rPr>
                <w:rFonts w:hint="default" w:ascii="仿宋" w:hAnsi="仿宋" w:eastAsia="仿宋" w:cs="仿宋"/>
                <w:kern w:val="2"/>
                <w:sz w:val="21"/>
                <w:szCs w:val="21"/>
                <w:highlight w:val="none"/>
                <w:lang w:val="en-US" w:eastAsia="zh-CN" w:bidi="ar-SA"/>
              </w:rPr>
            </w:pPr>
          </w:p>
        </w:tc>
        <w:tc>
          <w:tcPr>
            <w:tcW w:w="1485" w:type="dxa"/>
            <w:vAlign w:val="center"/>
          </w:tcPr>
          <w:p>
            <w:pPr>
              <w:keepNext w:val="0"/>
              <w:keepLines w:val="0"/>
              <w:widowControl/>
              <w:suppressLineNumbers w:val="0"/>
              <w:spacing w:line="360" w:lineRule="auto"/>
              <w:jc w:val="center"/>
              <w:textAlignment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合计</w:t>
            </w:r>
          </w:p>
        </w:tc>
        <w:tc>
          <w:tcPr>
            <w:tcW w:w="1279" w:type="dxa"/>
            <w:vAlign w:val="center"/>
          </w:tcPr>
          <w:p>
            <w:pPr>
              <w:keepNext w:val="0"/>
              <w:keepLines w:val="0"/>
              <w:widowControl/>
              <w:suppressLineNumbers w:val="0"/>
              <w:spacing w:line="360" w:lineRule="auto"/>
              <w:jc w:val="center"/>
              <w:textAlignment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225.31 </w:t>
            </w:r>
          </w:p>
        </w:tc>
        <w:tc>
          <w:tcPr>
            <w:tcW w:w="1184" w:type="dxa"/>
            <w:vAlign w:val="center"/>
          </w:tcPr>
          <w:p>
            <w:pPr>
              <w:keepNext w:val="0"/>
              <w:keepLines w:val="0"/>
              <w:widowControl/>
              <w:suppressLineNumbers w:val="0"/>
              <w:spacing w:line="360" w:lineRule="auto"/>
              <w:jc w:val="center"/>
              <w:textAlignment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42921.38 </w:t>
            </w:r>
          </w:p>
        </w:tc>
        <w:tc>
          <w:tcPr>
            <w:tcW w:w="1263" w:type="dxa"/>
            <w:vAlign w:val="center"/>
          </w:tcPr>
          <w:p>
            <w:pPr>
              <w:keepNext w:val="0"/>
              <w:keepLines w:val="0"/>
              <w:widowControl/>
              <w:suppressLineNumbers w:val="0"/>
              <w:spacing w:line="360" w:lineRule="auto"/>
              <w:jc w:val="center"/>
              <w:textAlignment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30957.66 </w:t>
            </w:r>
          </w:p>
        </w:tc>
        <w:tc>
          <w:tcPr>
            <w:tcW w:w="1121" w:type="dxa"/>
            <w:vAlign w:val="center"/>
          </w:tcPr>
          <w:p>
            <w:pPr>
              <w:keepNext w:val="0"/>
              <w:keepLines w:val="0"/>
              <w:widowControl/>
              <w:suppressLineNumbers w:val="0"/>
              <w:spacing w:line="360" w:lineRule="auto"/>
              <w:jc w:val="center"/>
              <w:textAlignment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0.00 </w:t>
            </w:r>
          </w:p>
        </w:tc>
        <w:tc>
          <w:tcPr>
            <w:tcW w:w="1168" w:type="dxa"/>
            <w:vAlign w:val="center"/>
          </w:tcPr>
          <w:p>
            <w:pPr>
              <w:keepNext w:val="0"/>
              <w:keepLines w:val="0"/>
              <w:widowControl/>
              <w:suppressLineNumbers w:val="0"/>
              <w:spacing w:line="360" w:lineRule="auto"/>
              <w:jc w:val="center"/>
              <w:textAlignment w:val="center"/>
              <w:rPr>
                <w:rFonts w:hint="default" w:ascii="仿宋" w:hAnsi="仿宋" w:eastAsia="仿宋" w:cs="仿宋"/>
                <w:kern w:val="2"/>
                <w:sz w:val="21"/>
                <w:szCs w:val="21"/>
                <w:highlight w:val="none"/>
                <w:lang w:val="en-US" w:eastAsia="zh-CN" w:bidi="ar-SA"/>
              </w:rPr>
            </w:pPr>
            <w:r>
              <w:rPr>
                <w:rFonts w:hint="default" w:ascii="仿宋" w:hAnsi="仿宋" w:eastAsia="仿宋" w:cs="仿宋"/>
                <w:kern w:val="2"/>
                <w:sz w:val="21"/>
                <w:szCs w:val="21"/>
                <w:highlight w:val="none"/>
                <w:lang w:val="en-US" w:eastAsia="zh-CN" w:bidi="ar-SA"/>
              </w:rPr>
              <w:t xml:space="preserve">1264.28 </w:t>
            </w:r>
          </w:p>
        </w:tc>
      </w:tr>
    </w:tbl>
    <w:p>
      <w:pPr>
        <w:ind w:firstLine="482" w:firstLineChars="200"/>
        <w:rPr>
          <w:rFonts w:hint="eastAsia" w:ascii="仿宋" w:hAnsi="仿宋" w:eastAsia="仿宋" w:cs="仿宋"/>
          <w:b/>
          <w:bCs/>
          <w:snapToGrid w:val="0"/>
          <w:kern w:val="0"/>
          <w:szCs w:val="21"/>
          <w:highlight w:val="none"/>
        </w:rPr>
      </w:pPr>
      <w:r>
        <w:rPr>
          <w:rFonts w:hint="eastAsia" w:ascii="仿宋" w:hAnsi="仿宋" w:eastAsia="仿宋" w:cs="仿宋"/>
          <w:b/>
          <w:bCs/>
          <w:snapToGrid w:val="0"/>
          <w:kern w:val="0"/>
          <w:szCs w:val="21"/>
          <w:highlight w:val="none"/>
        </w:rPr>
        <w:br w:type="page"/>
      </w:r>
    </w:p>
    <w:p>
      <w:pPr>
        <w:ind w:firstLine="482" w:firstLineChars="200"/>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t>附表三：</w:t>
      </w:r>
    </w:p>
    <w:p>
      <w:pPr>
        <w:widowControl w:val="0"/>
        <w:autoSpaceDE w:val="0"/>
        <w:autoSpaceDN w:val="0"/>
        <w:adjustRightInd w:val="0"/>
        <w:snapToGrid w:val="0"/>
        <w:spacing w:line="360" w:lineRule="auto"/>
        <w:ind w:firstLine="482" w:firstLineChars="200"/>
        <w:jc w:val="center"/>
        <w:outlineLvl w:val="0"/>
        <w:rPr>
          <w:rFonts w:ascii="仿宋" w:hAnsi="仿宋" w:eastAsia="仿宋" w:cs="仿宋"/>
          <w:b/>
          <w:bCs/>
          <w:snapToGrid w:val="0"/>
          <w:kern w:val="0"/>
          <w:szCs w:val="21"/>
          <w:highlight w:val="yellow"/>
        </w:rPr>
      </w:pPr>
      <w:r>
        <w:rPr>
          <w:rFonts w:ascii="仿宋" w:hAnsi="仿宋" w:eastAsia="仿宋" w:cs="仿宋"/>
          <w:b/>
          <w:bCs/>
          <w:snapToGrid w:val="0"/>
          <w:kern w:val="0"/>
          <w:szCs w:val="21"/>
          <w:highlight w:val="none"/>
        </w:rPr>
        <w:t>乡镇国土空间</w:t>
      </w:r>
      <w:r>
        <w:rPr>
          <w:rFonts w:hint="eastAsia" w:ascii="仿宋" w:hAnsi="仿宋" w:eastAsia="仿宋" w:cs="仿宋"/>
          <w:b/>
          <w:bCs/>
          <w:snapToGrid w:val="0"/>
          <w:kern w:val="0"/>
          <w:szCs w:val="21"/>
          <w:highlight w:val="none"/>
          <w:lang w:eastAsia="zh-CN"/>
        </w:rPr>
        <w:t>功能结构调整</w:t>
      </w:r>
      <w:r>
        <w:rPr>
          <w:rFonts w:ascii="仿宋" w:hAnsi="仿宋" w:eastAsia="仿宋" w:cs="仿宋"/>
          <w:b/>
          <w:bCs/>
          <w:snapToGrid w:val="0"/>
          <w:kern w:val="0"/>
          <w:szCs w:val="21"/>
          <w:highlight w:val="none"/>
        </w:rPr>
        <w:t>表</w:t>
      </w:r>
    </w:p>
    <w:p>
      <w:pPr>
        <w:ind w:firstLine="420" w:firstLineChars="200"/>
        <w:jc w:val="both"/>
        <w:textAlignment w:val="center"/>
        <w:rPr>
          <w:rFonts w:hint="default" w:ascii="仿宋" w:hAnsi="仿宋" w:eastAsia="仿宋" w:cs="仿宋"/>
          <w:kern w:val="0"/>
          <w:sz w:val="18"/>
          <w:szCs w:val="18"/>
          <w:highlight w:val="none"/>
          <w:lang w:val="en-US" w:eastAsia="zh-CN" w:bidi="ar"/>
        </w:rPr>
      </w:pPr>
      <w:r>
        <w:rPr>
          <w:rFonts w:hint="eastAsia" w:ascii="仿宋" w:hAnsi="仿宋" w:eastAsia="仿宋" w:cs="仿宋"/>
          <w:kern w:val="0"/>
          <w:sz w:val="21"/>
          <w:szCs w:val="21"/>
          <w:highlight w:val="none"/>
          <w:lang w:val="en-US" w:eastAsia="zh-CN" w:bidi="ar"/>
        </w:rPr>
        <w:t>单位：公顷、%</w:t>
      </w:r>
    </w:p>
    <w:tbl>
      <w:tblPr>
        <w:tblStyle w:val="3"/>
        <w:tblW w:w="8334" w:type="dxa"/>
        <w:tblInd w:w="251" w:type="dxa"/>
        <w:tblLayout w:type="fixed"/>
        <w:tblCellMar>
          <w:top w:w="0" w:type="dxa"/>
          <w:left w:w="108" w:type="dxa"/>
          <w:bottom w:w="0" w:type="dxa"/>
          <w:right w:w="108" w:type="dxa"/>
        </w:tblCellMar>
      </w:tblPr>
      <w:tblGrid>
        <w:gridCol w:w="592"/>
        <w:gridCol w:w="684"/>
        <w:gridCol w:w="847"/>
        <w:gridCol w:w="1094"/>
        <w:gridCol w:w="1076"/>
        <w:gridCol w:w="971"/>
        <w:gridCol w:w="1076"/>
        <w:gridCol w:w="988"/>
        <w:gridCol w:w="1006"/>
      </w:tblGrid>
      <w:tr>
        <w:tblPrEx>
          <w:tblCellMar>
            <w:top w:w="0" w:type="dxa"/>
            <w:left w:w="108" w:type="dxa"/>
            <w:bottom w:w="0" w:type="dxa"/>
            <w:right w:w="108" w:type="dxa"/>
          </w:tblCellMar>
        </w:tblPrEx>
        <w:trPr>
          <w:trHeight w:val="411" w:hRule="atLeast"/>
        </w:trPr>
        <w:tc>
          <w:tcPr>
            <w:tcW w:w="3217" w:type="dxa"/>
            <w:gridSpan w:val="4"/>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地类</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b/>
                <w:bCs/>
                <w:sz w:val="21"/>
                <w:szCs w:val="21"/>
                <w:highlight w:val="none"/>
              </w:rPr>
            </w:pPr>
            <w:r>
              <w:rPr>
                <w:rFonts w:hint="eastAsia" w:ascii="仿宋" w:hAnsi="仿宋" w:eastAsia="仿宋" w:cs="仿宋"/>
                <w:b/>
                <w:bCs/>
                <w:sz w:val="21"/>
                <w:szCs w:val="21"/>
                <w:highlight w:val="none"/>
              </w:rPr>
              <w:t>202</w:t>
            </w:r>
            <w:r>
              <w:rPr>
                <w:rFonts w:hint="eastAsia" w:ascii="仿宋" w:hAnsi="仿宋" w:eastAsia="仿宋" w:cs="仿宋"/>
                <w:b/>
                <w:bCs/>
                <w:sz w:val="21"/>
                <w:szCs w:val="21"/>
                <w:highlight w:val="none"/>
                <w:lang w:val="en-US" w:eastAsia="zh-CN"/>
              </w:rPr>
              <w:t>0</w:t>
            </w:r>
            <w:r>
              <w:rPr>
                <w:rFonts w:hint="eastAsia" w:ascii="仿宋" w:hAnsi="仿宋" w:eastAsia="仿宋" w:cs="仿宋"/>
                <w:b/>
                <w:bCs/>
                <w:sz w:val="21"/>
                <w:szCs w:val="21"/>
                <w:highlight w:val="none"/>
              </w:rPr>
              <w:t>年（基期年）</w:t>
            </w:r>
          </w:p>
        </w:tc>
        <w:tc>
          <w:tcPr>
            <w:tcW w:w="20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20</w:t>
            </w:r>
            <w:r>
              <w:rPr>
                <w:rFonts w:hint="eastAsia" w:ascii="仿宋" w:hAnsi="仿宋" w:eastAsia="仿宋" w:cs="仿宋"/>
                <w:b/>
                <w:bCs/>
                <w:sz w:val="21"/>
                <w:szCs w:val="21"/>
                <w:highlight w:val="none"/>
                <w:lang w:val="en-US" w:eastAsia="zh-CN"/>
              </w:rPr>
              <w:t>35</w:t>
            </w:r>
            <w:r>
              <w:rPr>
                <w:rFonts w:hint="eastAsia" w:ascii="仿宋" w:hAnsi="仿宋" w:eastAsia="仿宋" w:cs="仿宋"/>
                <w:b/>
                <w:bCs/>
                <w:sz w:val="21"/>
                <w:szCs w:val="21"/>
                <w:highlight w:val="none"/>
              </w:rPr>
              <w:t>年（</w:t>
            </w:r>
            <w:r>
              <w:rPr>
                <w:rFonts w:hint="eastAsia" w:ascii="仿宋" w:hAnsi="仿宋" w:eastAsia="仿宋" w:cs="仿宋"/>
                <w:b/>
                <w:bCs/>
                <w:sz w:val="21"/>
                <w:szCs w:val="21"/>
                <w:highlight w:val="none"/>
                <w:lang w:eastAsia="zh-CN"/>
              </w:rPr>
              <w:t>目标</w:t>
            </w:r>
            <w:r>
              <w:rPr>
                <w:rFonts w:hint="eastAsia" w:ascii="仿宋" w:hAnsi="仿宋" w:eastAsia="仿宋" w:cs="仿宋"/>
                <w:b/>
                <w:bCs/>
                <w:sz w:val="21"/>
                <w:szCs w:val="21"/>
                <w:highlight w:val="none"/>
              </w:rPr>
              <w:t>年）</w:t>
            </w:r>
          </w:p>
        </w:tc>
        <w:tc>
          <w:tcPr>
            <w:tcW w:w="1006"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规划期间面积增减</w:t>
            </w:r>
          </w:p>
        </w:tc>
      </w:tr>
      <w:tr>
        <w:tblPrEx>
          <w:tblCellMar>
            <w:top w:w="0" w:type="dxa"/>
            <w:left w:w="108" w:type="dxa"/>
            <w:bottom w:w="0" w:type="dxa"/>
            <w:right w:w="108" w:type="dxa"/>
          </w:tblCellMar>
        </w:tblPrEx>
        <w:trPr>
          <w:trHeight w:val="411" w:hRule="atLeast"/>
        </w:trPr>
        <w:tc>
          <w:tcPr>
            <w:tcW w:w="3217" w:type="dxa"/>
            <w:gridSpan w:val="4"/>
            <w:vMerge w:val="continue"/>
            <w:tcBorders>
              <w:left w:val="single" w:color="000000" w:sz="4" w:space="0"/>
              <w:bottom w:val="single" w:color="000000" w:sz="4" w:space="0"/>
              <w:right w:val="single" w:color="000000" w:sz="4" w:space="0"/>
            </w:tcBorders>
            <w:vAlign w:val="center"/>
          </w:tcPr>
          <w:p>
            <w:pPr>
              <w:jc w:val="center"/>
              <w:rPr>
                <w:rFonts w:ascii="仿宋" w:hAnsi="仿宋" w:eastAsia="仿宋" w:cs="仿宋"/>
                <w:b/>
                <w:bCs/>
                <w:sz w:val="21"/>
                <w:szCs w:val="21"/>
                <w:highlight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b/>
                <w:bCs/>
                <w:sz w:val="21"/>
                <w:szCs w:val="21"/>
                <w:highlight w:val="none"/>
              </w:rPr>
            </w:pPr>
            <w:r>
              <w:rPr>
                <w:rFonts w:hint="eastAsia" w:ascii="仿宋" w:hAnsi="仿宋" w:eastAsia="仿宋" w:cs="仿宋"/>
                <w:b/>
                <w:bCs/>
                <w:sz w:val="21"/>
                <w:szCs w:val="21"/>
                <w:highlight w:val="none"/>
              </w:rPr>
              <w:t>面积</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b/>
                <w:bCs/>
                <w:sz w:val="21"/>
                <w:szCs w:val="21"/>
                <w:highlight w:val="none"/>
              </w:rPr>
            </w:pPr>
            <w:r>
              <w:rPr>
                <w:rFonts w:hint="eastAsia" w:ascii="仿宋" w:hAnsi="仿宋" w:eastAsia="仿宋" w:cs="仿宋"/>
                <w:b/>
                <w:bCs/>
                <w:sz w:val="21"/>
                <w:szCs w:val="21"/>
                <w:highlight w:val="none"/>
              </w:rPr>
              <w:t>占比</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面积</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占比</w:t>
            </w:r>
          </w:p>
        </w:tc>
        <w:tc>
          <w:tcPr>
            <w:tcW w:w="100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sz w:val="21"/>
                <w:szCs w:val="21"/>
                <w:highlight w:val="none"/>
              </w:rPr>
            </w:pPr>
          </w:p>
        </w:tc>
      </w:tr>
      <w:tr>
        <w:tblPrEx>
          <w:tblCellMar>
            <w:top w:w="0" w:type="dxa"/>
            <w:left w:w="108" w:type="dxa"/>
            <w:bottom w:w="0" w:type="dxa"/>
            <w:right w:w="108" w:type="dxa"/>
          </w:tblCellMar>
        </w:tblPrEx>
        <w:trPr>
          <w:trHeight w:val="411" w:hRule="atLeast"/>
        </w:trPr>
        <w:tc>
          <w:tcPr>
            <w:tcW w:w="592"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国土总面积</w:t>
            </w:r>
          </w:p>
        </w:tc>
        <w:tc>
          <w:tcPr>
            <w:tcW w:w="684"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农用地</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农用地合计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11056.91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80.24%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10960.37</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79.54%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-96.54</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684" w:type="dxa"/>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耕地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2869.06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20.82%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2843.40</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20.63%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-25.66</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684" w:type="dxa"/>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园地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162.07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1.18%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149.36</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-12.71</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684" w:type="dxa"/>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林地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8013.36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58.15%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7955.89</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57.73%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-57.47</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68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val="en-US" w:eastAsia="zh-CN"/>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草地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12.42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0.09%</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11.72</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0.09%</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-0.70</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shd w:val="clear" w:color="auto" w:fill="auto"/>
            <w:vAlign w:val="center"/>
          </w:tcPr>
          <w:p>
            <w:pPr>
              <w:jc w:val="center"/>
              <w:rPr>
                <w:rFonts w:hint="default" w:ascii="仿宋" w:hAnsi="仿宋" w:eastAsia="仿宋" w:cs="仿宋"/>
                <w:sz w:val="21"/>
                <w:szCs w:val="21"/>
                <w:highlight w:val="none"/>
                <w:lang w:val="en-US" w:eastAsia="zh-CN"/>
              </w:rPr>
            </w:pPr>
          </w:p>
        </w:tc>
        <w:tc>
          <w:tcPr>
            <w:tcW w:w="684" w:type="dxa"/>
            <w:vMerge w:val="restart"/>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建设用地</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ascii="仿宋" w:hAnsi="仿宋" w:eastAsia="仿宋" w:cs="仿宋"/>
                <w:sz w:val="21"/>
                <w:szCs w:val="21"/>
                <w:highlight w:val="none"/>
              </w:rPr>
              <w:t>建设用地合计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1628.01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11.81%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1698.47 </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12.33%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70.46</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hint="eastAsia" w:ascii="仿宋" w:hAnsi="仿宋" w:eastAsia="仿宋" w:cs="仿宋"/>
                <w:sz w:val="21"/>
                <w:szCs w:val="21"/>
                <w:highlight w:val="none"/>
              </w:rPr>
              <w:t>城乡建设用地</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ascii="仿宋" w:hAnsi="仿宋" w:eastAsia="仿宋" w:cs="仿宋"/>
                <w:sz w:val="21"/>
                <w:szCs w:val="21"/>
                <w:highlight w:val="none"/>
              </w:rPr>
              <w:t>城镇</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110.64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0.80%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225.31 </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114.67</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847"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ascii="仿宋" w:hAnsi="仿宋" w:eastAsia="仿宋" w:cs="仿宋"/>
                <w:sz w:val="21"/>
                <w:szCs w:val="21"/>
                <w:highlight w:val="none"/>
              </w:rPr>
              <w:t>村庄</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1284.05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9.32%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1011.48 </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7.34%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-272.57</w:t>
            </w:r>
          </w:p>
        </w:tc>
      </w:tr>
      <w:tr>
        <w:tblPrEx>
          <w:tblCellMar>
            <w:top w:w="0" w:type="dxa"/>
            <w:left w:w="108" w:type="dxa"/>
            <w:bottom w:w="0" w:type="dxa"/>
            <w:right w:w="108" w:type="dxa"/>
          </w:tblCellMar>
        </w:tblPrEx>
        <w:trPr>
          <w:trHeight w:val="397"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ascii="仿宋" w:hAnsi="仿宋" w:eastAsia="仿宋" w:cs="仿宋"/>
                <w:sz w:val="21"/>
                <w:szCs w:val="21"/>
                <w:highlight w:val="none"/>
              </w:rPr>
              <w:t>合计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1394.69</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10.12%</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1236.79</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8.97%</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-157.90</w:t>
            </w:r>
          </w:p>
        </w:tc>
      </w:tr>
      <w:tr>
        <w:tblPrEx>
          <w:tblCellMar>
            <w:top w:w="0" w:type="dxa"/>
            <w:left w:w="108" w:type="dxa"/>
            <w:bottom w:w="0" w:type="dxa"/>
            <w:right w:w="108" w:type="dxa"/>
          </w:tblCellMar>
        </w:tblPrEx>
        <w:trPr>
          <w:trHeight w:val="41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ascii="仿宋" w:hAnsi="仿宋" w:eastAsia="仿宋" w:cs="仿宋"/>
                <w:sz w:val="21"/>
                <w:szCs w:val="21"/>
                <w:highlight w:val="none"/>
              </w:rPr>
              <w:t>区域基础设施用地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190.89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1.39%</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369.87 </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178.98</w:t>
            </w:r>
          </w:p>
        </w:tc>
      </w:tr>
      <w:tr>
        <w:tblPrEx>
          <w:tblCellMar>
            <w:top w:w="0" w:type="dxa"/>
            <w:left w:w="108" w:type="dxa"/>
            <w:bottom w:w="0" w:type="dxa"/>
            <w:right w:w="108" w:type="dxa"/>
          </w:tblCellMar>
        </w:tblPrEx>
        <w:trPr>
          <w:trHeight w:val="42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r>
              <w:rPr>
                <w:rFonts w:ascii="仿宋" w:hAnsi="仿宋" w:eastAsia="仿宋" w:cs="仿宋"/>
                <w:sz w:val="21"/>
                <w:szCs w:val="21"/>
                <w:highlight w:val="none"/>
              </w:rPr>
              <w:t>其他建设用地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42.43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0.31%</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91.82 </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0.67%</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49.39</w:t>
            </w:r>
          </w:p>
        </w:tc>
      </w:tr>
      <w:tr>
        <w:tblPrEx>
          <w:tblCellMar>
            <w:top w:w="0" w:type="dxa"/>
            <w:left w:w="108" w:type="dxa"/>
            <w:bottom w:w="0" w:type="dxa"/>
            <w:right w:w="108" w:type="dxa"/>
          </w:tblCellMar>
        </w:tblPrEx>
        <w:trPr>
          <w:trHeight w:val="42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26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农业设施建设用地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184.98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1.34%</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231.38</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46.40</w:t>
            </w:r>
          </w:p>
        </w:tc>
      </w:tr>
      <w:tr>
        <w:tblPrEx>
          <w:tblCellMar>
            <w:top w:w="0" w:type="dxa"/>
            <w:left w:w="108" w:type="dxa"/>
            <w:bottom w:w="0" w:type="dxa"/>
            <w:right w:w="108" w:type="dxa"/>
          </w:tblCellMar>
        </w:tblPrEx>
        <w:trPr>
          <w:trHeight w:val="42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自然保护用地</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自然保护用地合计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720.98</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5.23%</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701.86</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5.09%</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-19.12</w:t>
            </w:r>
          </w:p>
        </w:tc>
      </w:tr>
      <w:tr>
        <w:tblPrEx>
          <w:tblCellMar>
            <w:top w:w="0" w:type="dxa"/>
            <w:left w:w="108" w:type="dxa"/>
            <w:bottom w:w="0" w:type="dxa"/>
            <w:right w:w="108" w:type="dxa"/>
          </w:tblCellMar>
        </w:tblPrEx>
        <w:trPr>
          <w:trHeight w:val="42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continue"/>
            <w:tcBorders>
              <w:left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湿地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11.07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0.08%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10.92</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0.08%</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-0.15</w:t>
            </w:r>
          </w:p>
        </w:tc>
      </w:tr>
      <w:tr>
        <w:tblPrEx>
          <w:tblCellMar>
            <w:top w:w="0" w:type="dxa"/>
            <w:left w:w="108" w:type="dxa"/>
            <w:bottom w:w="0" w:type="dxa"/>
            <w:right w:w="108" w:type="dxa"/>
          </w:tblCellMar>
        </w:tblPrEx>
        <w:trPr>
          <w:trHeight w:val="273"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1"/>
                <w:szCs w:val="21"/>
                <w:highlight w:val="none"/>
              </w:rPr>
            </w:pP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陆地水域</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709.91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5.15%</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690.94</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-18.97</w:t>
            </w:r>
          </w:p>
        </w:tc>
      </w:tr>
      <w:tr>
        <w:tblPrEx>
          <w:tblCellMar>
            <w:top w:w="0" w:type="dxa"/>
            <w:left w:w="108" w:type="dxa"/>
            <w:bottom w:w="0" w:type="dxa"/>
            <w:right w:w="108" w:type="dxa"/>
          </w:tblCellMar>
        </w:tblPrEx>
        <w:trPr>
          <w:trHeight w:val="421" w:hRule="atLeast"/>
        </w:trPr>
        <w:tc>
          <w:tcPr>
            <w:tcW w:w="592" w:type="dxa"/>
            <w:vMerge w:val="continue"/>
            <w:tcBorders>
              <w:left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其他</w:t>
            </w:r>
          </w:p>
        </w:tc>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其他土地</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 xml:space="preserve">189.54 </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1.38%</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188.34</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w:t>
            </w:r>
          </w:p>
        </w:tc>
      </w:tr>
      <w:tr>
        <w:tblPrEx>
          <w:tblCellMar>
            <w:top w:w="0" w:type="dxa"/>
            <w:left w:w="108" w:type="dxa"/>
            <w:bottom w:w="0" w:type="dxa"/>
            <w:right w:w="108" w:type="dxa"/>
          </w:tblCellMar>
        </w:tblPrEx>
        <w:trPr>
          <w:trHeight w:val="421" w:hRule="atLeast"/>
        </w:trPr>
        <w:tc>
          <w:tcPr>
            <w:tcW w:w="592" w:type="dxa"/>
            <w:vMerge w:val="continue"/>
            <w:tcBorders>
              <w:left w:val="single" w:color="000000" w:sz="4" w:space="0"/>
              <w:bottom w:val="single" w:color="000000" w:sz="4" w:space="0"/>
              <w:right w:val="single" w:color="000000" w:sz="4" w:space="0"/>
            </w:tcBorders>
            <w:vAlign w:val="center"/>
          </w:tcPr>
          <w:p>
            <w:pPr>
              <w:jc w:val="center"/>
              <w:rPr>
                <w:rFonts w:ascii="仿宋" w:hAnsi="仿宋" w:eastAsia="仿宋" w:cs="仿宋"/>
                <w:sz w:val="21"/>
                <w:szCs w:val="21"/>
                <w:highlight w:val="none"/>
              </w:rPr>
            </w:pPr>
          </w:p>
        </w:tc>
        <w:tc>
          <w:tcPr>
            <w:tcW w:w="26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合计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13780.42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100.00%</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13780.42</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100.00%</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0.00</w:t>
            </w:r>
          </w:p>
        </w:tc>
      </w:tr>
    </w:tbl>
    <w:p>
      <w:pPr>
        <w:ind w:firstLine="480" w:firstLineChars="200"/>
        <w:rPr>
          <w:rFonts w:hint="default"/>
          <w:lang w:val="en-US" w:eastAsia="zh-CN"/>
        </w:rPr>
      </w:pPr>
      <w:r>
        <w:rPr>
          <w:rFonts w:hint="default"/>
          <w:lang w:val="en-US" w:eastAsia="zh-CN"/>
        </w:rPr>
        <w:br w:type="page"/>
      </w:r>
    </w:p>
    <w:p>
      <w:pPr>
        <w:ind w:firstLine="482" w:firstLineChars="200"/>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t>附表四：</w:t>
      </w:r>
    </w:p>
    <w:p>
      <w:pPr>
        <w:widowControl w:val="0"/>
        <w:autoSpaceDE w:val="0"/>
        <w:autoSpaceDN w:val="0"/>
        <w:adjustRightInd w:val="0"/>
        <w:snapToGrid w:val="0"/>
        <w:spacing w:line="360" w:lineRule="auto"/>
        <w:ind w:firstLine="482" w:firstLineChars="200"/>
        <w:jc w:val="center"/>
        <w:outlineLvl w:val="0"/>
        <w:rPr>
          <w:rFonts w:hint="eastAsia" w:ascii="仿宋" w:hAnsi="仿宋" w:eastAsia="仿宋" w:cs="仿宋"/>
          <w:b/>
          <w:bCs/>
          <w:snapToGrid w:val="0"/>
          <w:kern w:val="0"/>
          <w:szCs w:val="21"/>
          <w:highlight w:val="none"/>
          <w:lang w:eastAsia="zh-CN"/>
        </w:rPr>
      </w:pPr>
      <w:r>
        <w:rPr>
          <w:rFonts w:hint="eastAsia" w:ascii="仿宋" w:hAnsi="仿宋" w:eastAsia="仿宋" w:cs="仿宋"/>
          <w:b/>
          <w:szCs w:val="21"/>
          <w:highlight w:val="none"/>
        </w:rPr>
        <w:t>镇政府驻地</w:t>
      </w:r>
      <w:r>
        <w:rPr>
          <w:rFonts w:hint="eastAsia" w:ascii="仿宋" w:hAnsi="仿宋" w:eastAsia="仿宋" w:cs="仿宋"/>
          <w:b/>
          <w:szCs w:val="21"/>
          <w:highlight w:val="none"/>
          <w:lang w:eastAsia="zh-CN"/>
        </w:rPr>
        <w:t>建设</w:t>
      </w:r>
      <w:r>
        <w:rPr>
          <w:rFonts w:hint="eastAsia" w:ascii="仿宋" w:hAnsi="仿宋" w:eastAsia="仿宋" w:cs="仿宋"/>
          <w:b/>
          <w:szCs w:val="21"/>
          <w:highlight w:val="none"/>
        </w:rPr>
        <w:t>用地</w:t>
      </w:r>
      <w:r>
        <w:rPr>
          <w:rFonts w:hint="eastAsia" w:ascii="仿宋" w:hAnsi="仿宋" w:eastAsia="仿宋" w:cs="仿宋"/>
          <w:b/>
          <w:szCs w:val="21"/>
          <w:highlight w:val="none"/>
          <w:lang w:eastAsia="zh-CN"/>
        </w:rPr>
        <w:t>结构调整表</w:t>
      </w:r>
    </w:p>
    <w:p>
      <w:pPr>
        <w:ind w:firstLine="420" w:firstLineChars="200"/>
        <w:jc w:val="right"/>
        <w:textAlignment w:val="center"/>
        <w:rPr>
          <w:rFonts w:hint="default"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bidi="ar"/>
        </w:rPr>
        <w:t>单位：公顷</w:t>
      </w:r>
      <w:r>
        <w:rPr>
          <w:rFonts w:hint="eastAsia" w:ascii="仿宋" w:hAnsi="仿宋" w:eastAsia="仿宋" w:cs="仿宋"/>
          <w:kern w:val="0"/>
          <w:sz w:val="21"/>
          <w:szCs w:val="21"/>
          <w:highlight w:val="none"/>
          <w:lang w:eastAsia="zh-CN" w:bidi="ar"/>
        </w:rPr>
        <w:t>、</w:t>
      </w:r>
      <w:r>
        <w:rPr>
          <w:rFonts w:hint="eastAsia" w:ascii="仿宋" w:hAnsi="仿宋" w:eastAsia="仿宋" w:cs="仿宋"/>
          <w:kern w:val="0"/>
          <w:sz w:val="21"/>
          <w:szCs w:val="21"/>
          <w:highlight w:val="none"/>
          <w:lang w:val="en-US" w:eastAsia="zh-CN" w:bidi="ar"/>
        </w:rPr>
        <w:t>%</w:t>
      </w:r>
    </w:p>
    <w:tbl>
      <w:tblPr>
        <w:tblStyle w:val="3"/>
        <w:tblW w:w="856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714"/>
        <w:gridCol w:w="1528"/>
        <w:gridCol w:w="900"/>
        <w:gridCol w:w="892"/>
        <w:gridCol w:w="916"/>
        <w:gridCol w:w="963"/>
        <w:gridCol w:w="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240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一级地类</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二级地类</w:t>
            </w:r>
          </w:p>
        </w:tc>
        <w:tc>
          <w:tcPr>
            <w:tcW w:w="1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2020年（基期年）</w:t>
            </w:r>
          </w:p>
        </w:tc>
        <w:tc>
          <w:tcPr>
            <w:tcW w:w="18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2035年（目标年）</w:t>
            </w:r>
          </w:p>
        </w:tc>
        <w:tc>
          <w:tcPr>
            <w:tcW w:w="95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规划期间面积增减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240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2"/>
                <w:sz w:val="21"/>
                <w:szCs w:val="21"/>
                <w:highlight w:val="none"/>
                <w:lang w:val="en-US" w:eastAsia="zh-CN" w:bidi="ar-SA"/>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2"/>
                <w:sz w:val="21"/>
                <w:szCs w:val="21"/>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面积</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占比</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面积</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占比</w:t>
            </w:r>
          </w:p>
        </w:tc>
        <w:tc>
          <w:tcPr>
            <w:tcW w:w="95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城镇建设用地</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居住用地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城镇住宅用地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54.86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0.21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50.58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0.20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公共管理与公共服务用地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机关团体用地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1.77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1.38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文化用地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3.90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0.02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教育用地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0.68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3.60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医疗卫生用地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0.69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2.65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社会福利用地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1.20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商业服务业用地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商业用地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3.05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13.26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0.05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工矿用地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工业用地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18.22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0.07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51.95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0.20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采矿用地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2.02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仓储用地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物流仓储用地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0.13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3.37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交通运输用地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城镇道路用地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5.86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0.02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27.99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0.11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交通场站用地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0.55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0.97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公用设施用地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排水用地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0.84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供电用地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0.08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环卫用地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0.14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绿地与开敞空间用地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公园绿地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7.03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0.03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防护绿地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5.60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0.02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留白用地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3.22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69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村庄建设用地</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居住用地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农村宅基地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11.58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0.04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3.67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公共管理与公共服务用地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教育用地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0.10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医疗卫生用地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0.18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商业服务业用地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商业用地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0.50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0.19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工矿用地</w:t>
            </w:r>
          </w:p>
        </w:tc>
        <w:tc>
          <w:tcPr>
            <w:tcW w:w="15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工业用地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2.32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交通运输用地</w:t>
            </w:r>
          </w:p>
        </w:tc>
        <w:tc>
          <w:tcPr>
            <w:tcW w:w="15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乡村道路用地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0.32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交通场站用地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0.12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公用设施用地</w:t>
            </w:r>
          </w:p>
        </w:tc>
        <w:tc>
          <w:tcPr>
            <w:tcW w:w="15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排水用地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0.26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绿地与开敞空间用地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公园绿地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5.18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0.02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防护绿地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2.50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0.01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90" w:type="dxa"/>
            <w:vMerge w:val="continue"/>
            <w:tcBorders>
              <w:top w:val="single" w:color="000000" w:sz="4" w:space="0"/>
              <w:left w:val="single" w:color="000000" w:sz="4" w:space="0"/>
              <w:bottom w:val="single" w:color="000000" w:sz="4" w:space="0"/>
              <w:right w:val="nil"/>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留白用地</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kern w:val="2"/>
                <w:sz w:val="21"/>
                <w:szCs w:val="21"/>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16.81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0.07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39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区域基础设施用地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10.93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0.04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4.47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0.02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其他建设用地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4.30 </w:t>
            </w:r>
          </w:p>
        </w:tc>
        <w:tc>
          <w:tcPr>
            <w:tcW w:w="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0.02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0.00 </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-4.3</w:t>
            </w:r>
          </w:p>
        </w:tc>
      </w:tr>
    </w:tbl>
    <w:p>
      <w:pPr>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br w:type="page"/>
      </w:r>
    </w:p>
    <w:p>
      <w:pPr>
        <w:ind w:firstLine="482" w:firstLineChars="200"/>
        <w:rPr>
          <w:rFonts w:hint="eastAsia" w:ascii="Arial" w:hAnsi="Arial" w:eastAsia="宋体" w:cs="Arial"/>
          <w:b/>
          <w:bCs/>
          <w:caps/>
          <w:kern w:val="2"/>
          <w:sz w:val="24"/>
          <w:szCs w:val="24"/>
          <w:lang w:val="en-US" w:eastAsia="zh-CN" w:bidi="ar-SA"/>
        </w:rPr>
      </w:pPr>
      <w:r>
        <w:rPr>
          <w:rFonts w:hint="eastAsia" w:ascii="Arial" w:hAnsi="Arial" w:eastAsia="宋体" w:cs="Arial"/>
          <w:b/>
          <w:bCs/>
          <w:caps/>
          <w:kern w:val="2"/>
          <w:sz w:val="24"/>
          <w:szCs w:val="24"/>
          <w:lang w:val="en-US" w:eastAsia="zh-CN" w:bidi="ar-SA"/>
        </w:rPr>
        <w:t>附表五：</w:t>
      </w:r>
    </w:p>
    <w:p>
      <w:pPr>
        <w:widowControl w:val="0"/>
        <w:autoSpaceDE w:val="0"/>
        <w:autoSpaceDN w:val="0"/>
        <w:adjustRightInd w:val="0"/>
        <w:snapToGrid w:val="0"/>
        <w:spacing w:line="360" w:lineRule="auto"/>
        <w:ind w:firstLine="482" w:firstLineChars="200"/>
        <w:jc w:val="center"/>
        <w:outlineLvl w:val="0"/>
        <w:rPr>
          <w:rFonts w:hint="eastAsia" w:ascii="仿宋" w:hAnsi="仿宋" w:eastAsia="仿宋" w:cs="仿宋"/>
          <w:b/>
          <w:bCs/>
          <w:snapToGrid w:val="0"/>
          <w:kern w:val="0"/>
          <w:szCs w:val="21"/>
          <w:highlight w:val="none"/>
          <w:lang w:eastAsia="zh-CN"/>
        </w:rPr>
      </w:pPr>
      <w:r>
        <w:rPr>
          <w:rFonts w:hint="eastAsia" w:ascii="仿宋" w:hAnsi="仿宋" w:eastAsia="仿宋" w:cs="仿宋"/>
          <w:b/>
          <w:szCs w:val="21"/>
          <w:highlight w:val="none"/>
          <w:lang w:eastAsia="zh-CN"/>
        </w:rPr>
        <w:t>乡镇重点建设项目安排表</w:t>
      </w:r>
    </w:p>
    <w:p>
      <w:pPr>
        <w:ind w:firstLine="420" w:firstLineChars="200"/>
        <w:jc w:val="right"/>
        <w:rPr>
          <w:rFonts w:hint="eastAsia" w:ascii="仿宋" w:hAnsi="仿宋" w:eastAsia="仿宋" w:cs="仿宋"/>
          <w:b/>
          <w:bCs/>
          <w:kern w:val="0"/>
          <w:sz w:val="22"/>
          <w:szCs w:val="22"/>
          <w:lang w:val="en-US" w:eastAsia="zh-CN" w:bidi="ar"/>
        </w:rPr>
      </w:pPr>
      <w:r>
        <w:rPr>
          <w:rFonts w:hint="eastAsia" w:ascii="仿宋" w:hAnsi="仿宋" w:eastAsia="仿宋" w:cs="仿宋"/>
          <w:b w:val="0"/>
          <w:bCs w:val="0"/>
          <w:kern w:val="0"/>
          <w:sz w:val="21"/>
          <w:szCs w:val="21"/>
          <w:lang w:val="en-US" w:eastAsia="zh-CN" w:bidi="ar"/>
        </w:rPr>
        <w:t>单位：公顷</w:t>
      </w:r>
    </w:p>
    <w:tbl>
      <w:tblPr>
        <w:tblStyle w:val="3"/>
        <w:tblW w:w="83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8"/>
        <w:gridCol w:w="672"/>
        <w:gridCol w:w="1650"/>
        <w:gridCol w:w="812"/>
        <w:gridCol w:w="1447"/>
        <w:gridCol w:w="706"/>
        <w:gridCol w:w="1500"/>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0"/>
                <w:sz w:val="21"/>
                <w:szCs w:val="21"/>
                <w:lang w:bidi="ar"/>
              </w:rPr>
            </w:pPr>
            <w:r>
              <w:rPr>
                <w:rFonts w:hint="eastAsia" w:ascii="仿宋" w:hAnsi="仿宋" w:eastAsia="仿宋" w:cs="仿宋"/>
                <w:b/>
                <w:bCs/>
                <w:kern w:val="0"/>
                <w:sz w:val="21"/>
                <w:szCs w:val="21"/>
                <w:lang w:val="en-US" w:eastAsia="zh-CN" w:bidi="ar"/>
              </w:rPr>
              <w:t>序号</w:t>
            </w:r>
          </w:p>
        </w:tc>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0"/>
                <w:sz w:val="21"/>
                <w:szCs w:val="21"/>
                <w:lang w:bidi="ar"/>
              </w:rPr>
            </w:pPr>
            <w:r>
              <w:rPr>
                <w:rFonts w:hint="eastAsia" w:ascii="仿宋" w:hAnsi="仿宋" w:eastAsia="仿宋" w:cs="仿宋"/>
                <w:b/>
                <w:bCs/>
                <w:kern w:val="0"/>
                <w:sz w:val="21"/>
                <w:szCs w:val="21"/>
                <w:lang w:val="en-US" w:eastAsia="zh-CN" w:bidi="ar"/>
              </w:rPr>
              <w:t>项目类型</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0"/>
                <w:sz w:val="21"/>
                <w:szCs w:val="21"/>
                <w:lang w:bidi="ar"/>
              </w:rPr>
            </w:pPr>
            <w:r>
              <w:rPr>
                <w:rFonts w:hint="eastAsia" w:ascii="仿宋" w:hAnsi="仿宋" w:eastAsia="仿宋" w:cs="仿宋"/>
                <w:b/>
                <w:bCs/>
                <w:kern w:val="0"/>
                <w:sz w:val="21"/>
                <w:szCs w:val="21"/>
                <w:lang w:val="en-US" w:eastAsia="zh-CN" w:bidi="ar"/>
              </w:rPr>
              <w:t>项目名称</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0"/>
                <w:sz w:val="21"/>
                <w:szCs w:val="21"/>
                <w:lang w:bidi="ar"/>
              </w:rPr>
            </w:pPr>
            <w:r>
              <w:rPr>
                <w:rFonts w:hint="eastAsia" w:ascii="仿宋" w:hAnsi="仿宋" w:eastAsia="仿宋" w:cs="仿宋"/>
                <w:b/>
                <w:bCs/>
                <w:kern w:val="0"/>
                <w:sz w:val="21"/>
                <w:szCs w:val="21"/>
                <w:lang w:val="en-US" w:eastAsia="zh-CN" w:bidi="ar"/>
              </w:rPr>
              <w:t>建设性质</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0"/>
                <w:sz w:val="21"/>
                <w:szCs w:val="21"/>
                <w:lang w:bidi="ar"/>
              </w:rPr>
            </w:pPr>
            <w:r>
              <w:rPr>
                <w:rFonts w:hint="eastAsia" w:ascii="仿宋" w:hAnsi="仿宋" w:eastAsia="仿宋" w:cs="仿宋"/>
                <w:b/>
                <w:bCs/>
                <w:kern w:val="0"/>
                <w:sz w:val="21"/>
                <w:szCs w:val="21"/>
                <w:lang w:val="en-US" w:eastAsia="zh-CN" w:bidi="ar"/>
              </w:rPr>
              <w:t>建设年限</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kern w:val="0"/>
                <w:sz w:val="21"/>
                <w:szCs w:val="21"/>
                <w:lang w:eastAsia="zh-CN" w:bidi="ar"/>
              </w:rPr>
            </w:pPr>
            <w:r>
              <w:rPr>
                <w:rFonts w:hint="eastAsia" w:ascii="仿宋" w:hAnsi="仿宋" w:eastAsia="仿宋" w:cs="仿宋"/>
                <w:b/>
                <w:bCs/>
                <w:i w:val="0"/>
                <w:iCs w:val="0"/>
                <w:color w:val="000000"/>
                <w:kern w:val="0"/>
                <w:sz w:val="20"/>
                <w:szCs w:val="20"/>
                <w:u w:val="none"/>
                <w:lang w:val="en-US" w:eastAsia="zh-CN" w:bidi="ar"/>
              </w:rPr>
              <w:t>用地规模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0"/>
                <w:sz w:val="21"/>
                <w:szCs w:val="21"/>
                <w:lang w:val="en-US" w:eastAsia="zh-CN" w:bidi="ar"/>
              </w:rPr>
            </w:pPr>
            <w:r>
              <w:rPr>
                <w:rFonts w:hint="eastAsia" w:ascii="仿宋" w:hAnsi="仿宋" w:eastAsia="仿宋" w:cs="仿宋"/>
                <w:b/>
                <w:bCs/>
                <w:kern w:val="0"/>
                <w:sz w:val="21"/>
                <w:szCs w:val="21"/>
                <w:lang w:val="en-US" w:eastAsia="zh-CN" w:bidi="ar"/>
              </w:rPr>
              <w:t>所在行政区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kern w:val="0"/>
                <w:sz w:val="21"/>
                <w:szCs w:val="21"/>
                <w:lang w:val="en-US" w:eastAsia="zh-CN" w:bidi="ar"/>
              </w:rPr>
            </w:pPr>
            <w:r>
              <w:rPr>
                <w:rFonts w:hint="eastAsia" w:ascii="仿宋" w:hAnsi="仿宋" w:eastAsia="仿宋" w:cs="仿宋"/>
                <w:b/>
                <w:bCs/>
                <w:kern w:val="0"/>
                <w:sz w:val="21"/>
                <w:szCs w:val="2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67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G234（泥江口至桃江石洞公路）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12.56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G319（宁乡菁华铺至益阳公路）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52.68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水满村、樊家庙村、国庆村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S321（沧水铺至泥江口公路）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35.43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横堤村、七里江村、樊家庙村、水满村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S321（泥江口至桃江县牛田公路）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23.44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南坝村、蛇山村、岩子潭村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长益常高铁</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40.22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七里冲村、油草塘村、七里江村、樊家庙村、水满村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高岭村至楠木机场道路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九五二社区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7</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泥江口镇至堤卡子公路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15.41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七里江村、樊家庙村、油草塘村、国庆村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泥江口至樊家庙公路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11.52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七里江村、樊家庙村、国庆村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9</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石笋至新市渡公路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岩子潭村、九五二社区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赫山通用机场</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25.78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谷塘村、九五二社区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11</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高新区至楠木村机场公路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2.71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九五二社区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w:t>
            </w:r>
          </w:p>
        </w:tc>
        <w:tc>
          <w:tcPr>
            <w:tcW w:w="67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农村道路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0.12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水满村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13</w:t>
            </w:r>
          </w:p>
        </w:tc>
        <w:tc>
          <w:tcPr>
            <w:tcW w:w="672"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油草塘道路</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油草塘村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永农拟调出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14</w:t>
            </w:r>
          </w:p>
        </w:tc>
        <w:tc>
          <w:tcPr>
            <w:tcW w:w="6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水利</w:t>
            </w: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桃江赫山区县界站</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0.068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太阳庵村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15</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水库排水灌溉渠道</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0.39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油草塘村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16</w:t>
            </w:r>
          </w:p>
        </w:tc>
        <w:tc>
          <w:tcPr>
            <w:tcW w:w="67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电力</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中广核益阳七里松风电场建设项目</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泥家潭村、太阳庵村、七里冲村、国庆村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17</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竹产业园区变电站</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九二五社区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18</w:t>
            </w:r>
          </w:p>
        </w:tc>
        <w:tc>
          <w:tcPr>
            <w:tcW w:w="672"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民生</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工农学校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19</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镇中心幼儿园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镇中心卫生院</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1.96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21</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泥江口社区公墓</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0.32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22</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九二五社区休闲广场</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0.074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九二五社区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七里江村美丽屋场</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0.25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七里江村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24</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国庆村村部</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0.81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国庆村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25</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苏家学校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0.31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国庆村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26</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樊家庙学校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0.18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樊家庙村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27</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南坝学校</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扩建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0.65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28</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南坝村公墓</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0.24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29</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234国道南坝安置房建设工程</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30</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南坝村康养中心</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0.71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31</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南坝村石头村污 </w:t>
            </w:r>
          </w:p>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水站</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0.18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32</w:t>
            </w:r>
          </w:p>
        </w:tc>
        <w:tc>
          <w:tcPr>
            <w:tcW w:w="67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赫山区典型历史遗留石煤矿重金属污水处理厂建设项目</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0.49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2"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33</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旅游</w:t>
            </w: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曾士娥故居烈士陈列馆</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0.079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大桥冲村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34</w:t>
            </w:r>
          </w:p>
        </w:tc>
        <w:tc>
          <w:tcPr>
            <w:tcW w:w="6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产业</w:t>
            </w: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竹产业园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35</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湘银之舞服装厂</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0.78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镇区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36</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竹木加工厂</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1.59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九五二社区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37</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物流园</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5.63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横堤村、七里江村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38</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泥江口天之和竹制品加工厂</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2021-2035年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0.22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39</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塘湾村养牛场</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0.95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塘湾村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40</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艾上扫除特色生态种养专业合作社</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41</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蓝阳种植养殖专业合作社</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2.36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42</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春梅乡村旅游服务有限公司</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0.81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2"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43</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华龙生物能源科技有限公司烘房及打包车间建设工程</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0.92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44</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文家建筑用板岩矿</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28.52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45</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水口山建筑用砂岩矿</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18.83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泥家潭村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46</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石子塘砖瓦用页岩矿</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10.32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太阳庵村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47</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太村建筑用砂岩矿</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10.04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七里冲村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48</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工业广场</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5.04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49</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七里江村村民合作社</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4.31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七里江村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50</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赫山区四喜竹木制品厂</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0.22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七里江村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51</w:t>
            </w:r>
          </w:p>
        </w:tc>
        <w:tc>
          <w:tcPr>
            <w:tcW w:w="6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c>
          <w:tcPr>
            <w:tcW w:w="16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工业广场</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新建</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2021-2025年</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5.04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南坝村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p>
        </w:tc>
      </w:tr>
    </w:tbl>
    <w:p>
      <w:pPr>
        <w:snapToGrid w:val="0"/>
        <w:spacing w:line="360" w:lineRule="auto"/>
        <w:ind w:firstLine="560" w:firstLineChars="200"/>
        <w:jc w:val="left"/>
        <w:rPr>
          <w:rFonts w:hint="eastAsia" w:ascii="仿宋" w:hAnsi="仿宋" w:eastAsia="仿宋" w:cs="仿宋"/>
          <w:b w:val="0"/>
          <w:bCs w:val="0"/>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83FB4"/>
    <w:multiLevelType w:val="singleLevel"/>
    <w:tmpl w:val="B7383FB4"/>
    <w:lvl w:ilvl="0" w:tentative="0">
      <w:start w:val="3"/>
      <w:numFmt w:val="chineseCounting"/>
      <w:suff w:val="nothing"/>
      <w:lvlText w:val="%1、"/>
      <w:lvlJc w:val="left"/>
      <w:rPr>
        <w:rFonts w:hint="eastAsia" w:ascii="仿宋" w:hAnsi="仿宋" w:eastAsia="仿宋" w:cs="仿宋"/>
        <w:sz w:val="40"/>
        <w:szCs w:val="40"/>
      </w:rPr>
    </w:lvl>
  </w:abstractNum>
  <w:abstractNum w:abstractNumId="1">
    <w:nsid w:val="EF7D16FA"/>
    <w:multiLevelType w:val="singleLevel"/>
    <w:tmpl w:val="EF7D16FA"/>
    <w:lvl w:ilvl="0" w:tentative="0">
      <w:start w:val="1"/>
      <w:numFmt w:val="decimal"/>
      <w:suff w:val="nothing"/>
      <w:lvlText w:val="%1、"/>
      <w:lvlJc w:val="left"/>
    </w:lvl>
  </w:abstractNum>
  <w:abstractNum w:abstractNumId="2">
    <w:nsid w:val="1AF63B38"/>
    <w:multiLevelType w:val="singleLevel"/>
    <w:tmpl w:val="1AF63B38"/>
    <w:lvl w:ilvl="0" w:tentative="0">
      <w:start w:val="2"/>
      <w:numFmt w:val="decimal"/>
      <w:suff w:val="nothing"/>
      <w:lvlText w:val="%1、"/>
      <w:lvlJc w:val="left"/>
    </w:lvl>
  </w:abstractNum>
  <w:abstractNum w:abstractNumId="3">
    <w:nsid w:val="59E52194"/>
    <w:multiLevelType w:val="singleLevel"/>
    <w:tmpl w:val="59E52194"/>
    <w:lvl w:ilvl="0" w:tentative="0">
      <w:start w:val="2"/>
      <w:numFmt w:val="decimal"/>
      <w:suff w:val="nothing"/>
      <w:lvlText w:val="（%1）"/>
      <w:lvlJc w:val="left"/>
    </w:lvl>
  </w:abstractNum>
  <w:abstractNum w:abstractNumId="4">
    <w:nsid w:val="71C4222D"/>
    <w:multiLevelType w:val="singleLevel"/>
    <w:tmpl w:val="71C4222D"/>
    <w:lvl w:ilvl="0" w:tentative="0">
      <w:start w:val="7"/>
      <w:numFmt w:val="decimal"/>
      <w:suff w:val="nothing"/>
      <w:lvlText w:val="%1、"/>
      <w:lvlJc w:val="left"/>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5OWViNzM1NTkyNTgzODU4NjMyM2MzOGY3M2ExMmEifQ=="/>
  </w:docVars>
  <w:rsids>
    <w:rsidRoot w:val="00000000"/>
    <w:rsid w:val="02DC0C81"/>
    <w:rsid w:val="17C5460C"/>
    <w:rsid w:val="198D5E34"/>
    <w:rsid w:val="1CE74245"/>
    <w:rsid w:val="1F3E4BBF"/>
    <w:rsid w:val="23314077"/>
    <w:rsid w:val="25581AB5"/>
    <w:rsid w:val="32CE2284"/>
    <w:rsid w:val="38AD0361"/>
    <w:rsid w:val="47AB79C8"/>
    <w:rsid w:val="4C4A6EF9"/>
    <w:rsid w:val="4D9C29A2"/>
    <w:rsid w:val="5A1E7E49"/>
    <w:rsid w:val="5B2E6609"/>
    <w:rsid w:val="5E2A5086"/>
    <w:rsid w:val="70E73D2A"/>
    <w:rsid w:val="76225A34"/>
    <w:rsid w:val="78D34DDD"/>
    <w:rsid w:val="7E3E132F"/>
    <w:rsid w:val="7FBF4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name="header"/>
    <w:lsdException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iPriority="99"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4"/>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widowControl w:val="0"/>
      <w:spacing w:before="360"/>
      <w:jc w:val="left"/>
    </w:pPr>
    <w:rPr>
      <w:rFonts w:ascii="Arial" w:hAnsi="Arial" w:cs="Arial"/>
      <w:b/>
      <w:bCs/>
      <w:caps/>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bmp"/><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31</Pages>
  <Words>12161</Words>
  <Characters>14770</Characters>
  <Lines>0</Lines>
  <Paragraphs>0</Paragraphs>
  <TotalTime>10</TotalTime>
  <ScaleCrop>false</ScaleCrop>
  <LinksUpToDate>false</LinksUpToDate>
  <CharactersWithSpaces>14995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2024-06-13T10:57:00Z</dcterms:created>
  <dc:creator>阿猫</dc:creator>
  <cp:lastModifiedBy>阿猫</cp:lastModifiedBy>
  <dcterms:modified xsi:type="dcterms:W3CDTF">2024-06-21T06:36:29Z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D416CAD33D5F44D1BE79FA41220113D2_13</vt:lpwstr>
  </property>
</Properties>
</file>