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widowControl/>
        <w:spacing w:line="44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2023年度部门整体支出绩效自评表</w:t>
      </w:r>
    </w:p>
    <w:tbl>
      <w:tblPr>
        <w:tblStyle w:val="2"/>
        <w:tblpPr w:leftFromText="180" w:rightFromText="180" w:vertAnchor="text" w:horzAnchor="page" w:tblpX="923" w:tblpY="149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77"/>
        <w:gridCol w:w="1259"/>
        <w:gridCol w:w="1119"/>
        <w:gridCol w:w="179"/>
        <w:gridCol w:w="1124"/>
        <w:gridCol w:w="1141"/>
        <w:gridCol w:w="712"/>
        <w:gridCol w:w="902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预算部门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、单位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070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益阳市赫山区医疗保障局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预算数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全年预算数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执行数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分值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执行率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101.34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505.26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386.44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76.48%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21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其中：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一般公共预算：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505.26</w:t>
            </w:r>
          </w:p>
        </w:tc>
        <w:tc>
          <w:tcPr>
            <w:tcW w:w="421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386.44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21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21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ind w:firstLine="1470" w:firstLineChars="7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21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85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1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8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确保医保政策落实到位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Cs w:val="21"/>
              </w:rPr>
              <w:t>组织制定和完善异地就医管理和费用结算办法。建立健全医疗保障关系转移接续制度。完善统一的城乡居民基本医疗保险制度和大病保险制度，巩固和完善城乡居民医疗救助制度，建立健全覆盖全面、城乡统筹的多层次医疗保障体系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。</w:t>
            </w:r>
          </w:p>
        </w:tc>
        <w:tc>
          <w:tcPr>
            <w:tcW w:w="421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Calibri" w:hAnsi="Calibri" w:eastAsia="宋体" w:cs="Times New Roman"/>
                <w:szCs w:val="21"/>
              </w:rPr>
              <w:t>赫山区医保局全面贯彻落实国家医保政策，及时调整和完善本地医保政策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Cs w:val="21"/>
              </w:rPr>
              <w:t>积极开展医疗救助工作，乡村振兴部门认定的防止返贫监测对象按规定享受医疗保障政策，确保政策有效衔接、待遇平稳过渡、制度可持续，杜绝群众规模性返贫发生。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自评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重点工作完成数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3次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3次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达标完成率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99%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及时完成情况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2023年12月31日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已按时完成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经济辐射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明显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已见成效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工作职能正面影响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是否影响生态环境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是否推动赫山区医保工作发展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97%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30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96.65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588" w:left="158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10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1"/>
        <w:szCs w:val="21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TNiYzhkM2RkYjdiNDM1ZGVjNDFjNmM1Njg1Y2MifQ=="/>
  </w:docVars>
  <w:rsids>
    <w:rsidRoot w:val="3229390C"/>
    <w:rsid w:val="24E4344E"/>
    <w:rsid w:val="322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2024-07-05T07:59:00Z</dcterms:created>
  <dc:creator>zoey</dc:creator>
  <cp:lastModifiedBy>Administrator</cp:lastModifiedBy>
  <dcterms:modified xsi:type="dcterms:W3CDTF">2024-07-09T03:53:27Z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0E271ACA0EC44E5A894A30A5ECF0CBED_11</vt:lpwstr>
  </property>
</Properties>
</file>