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ascii="仿宋_GB2312" w:eastAsia="仿宋_GB2312"/>
          <w:sz w:val="32"/>
          <w:szCs w:val="32"/>
          <w:highlight w:val="white"/>
        </w:rPr>
      </w:pPr>
    </w:p>
    <w:p>
      <w:pPr>
        <w:widowControl w:val="0"/>
        <w:spacing w:line="560" w:lineRule="exact"/>
        <w:jc w:val="center"/>
        <w:rPr>
          <w:rFonts w:ascii="方正小标宋简体" w:eastAsia="方正小标宋简体"/>
          <w:sz w:val="42"/>
          <w:szCs w:val="42"/>
          <w:highlight w:val="white"/>
        </w:rPr>
      </w:pPr>
      <w:bookmarkStart w:id="1" w:name="_GoBack"/>
      <w:r>
        <w:rPr>
          <w:rFonts w:hint="eastAsia" w:ascii="方正小标宋简体" w:eastAsia="方正小标宋简体"/>
          <w:sz w:val="42"/>
          <w:szCs w:val="42"/>
          <w:highlight w:val="white"/>
        </w:rPr>
        <w:t>2020年度益阳市金银山街道办事处部门决算</w:t>
      </w:r>
    </w:p>
    <w:bookmarkEnd w:id="1"/>
    <w:p>
      <w:pPr>
        <w:widowControl w:val="0"/>
        <w:spacing w:line="560" w:lineRule="exact"/>
        <w:rPr>
          <w:rFonts w:ascii="仿宋_GB2312" w:eastAsia="仿宋_GB2312"/>
          <w:sz w:val="32"/>
          <w:szCs w:val="32"/>
          <w:highlight w:val="white"/>
        </w:rPr>
      </w:pPr>
    </w:p>
    <w:p>
      <w:pPr>
        <w:widowControl w:val="0"/>
        <w:spacing w:line="560" w:lineRule="exact"/>
        <w:jc w:val="center"/>
        <w:rPr>
          <w:rFonts w:ascii="黑体" w:hAnsi="黑体" w:eastAsia="黑体"/>
          <w:sz w:val="32"/>
          <w:szCs w:val="32"/>
          <w:highlight w:val="white"/>
        </w:rPr>
      </w:pPr>
      <w:r>
        <w:rPr>
          <w:rFonts w:hint="eastAsia" w:ascii="黑体" w:hAnsi="黑体" w:eastAsia="黑体"/>
          <w:sz w:val="32"/>
          <w:szCs w:val="32"/>
          <w:highlight w:val="white"/>
        </w:rPr>
        <w:t>目 录</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 xml:space="preserve">第一部分 </w:t>
      </w:r>
      <w:r>
        <w:rPr>
          <w:rFonts w:ascii="黑体" w:hAnsi="黑体" w:eastAsia="黑体"/>
          <w:sz w:val="32"/>
          <w:szCs w:val="32"/>
          <w:highlight w:val="white"/>
        </w:rPr>
        <w:t xml:space="preserve"> </w:t>
      </w:r>
      <w:r>
        <w:rPr>
          <w:rFonts w:hint="eastAsia" w:ascii="黑体" w:hAnsi="黑体" w:eastAsia="黑体"/>
          <w:sz w:val="32"/>
          <w:szCs w:val="32"/>
          <w:highlight w:val="white"/>
        </w:rPr>
        <w:t>益阳市金银山街道办事处概况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一、部门职责</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二、机构设置</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第二部分  2020年度部门决算表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九、国有资本经营预算财政拨款收入支出决算表</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第三部分  2020年度部门决算情况说明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第四部分  名词解释</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第五部分  附件</w:t>
      </w:r>
    </w:p>
    <w:p>
      <w:pPr>
        <w:widowControl w:val="0"/>
        <w:spacing w:line="560" w:lineRule="exact"/>
        <w:ind w:firstLine="640" w:firstLineChars="200"/>
        <w:rPr>
          <w:rFonts w:ascii="仿宋_GB2312" w:eastAsia="仿宋_GB2312"/>
          <w:sz w:val="32"/>
          <w:szCs w:val="32"/>
        </w:rPr>
      </w:pPr>
    </w:p>
    <w:p>
      <w:pPr>
        <w:jc w:val="left"/>
        <w:rPr>
          <w:rFonts w:ascii="仿宋_GB2312" w:eastAsia="仿宋_GB2312"/>
          <w:sz w:val="32"/>
          <w:szCs w:val="32"/>
          <w:highlight w:val="white"/>
        </w:rPr>
      </w:pPr>
      <w:r>
        <w:rPr>
          <w:rFonts w:ascii="仿宋_GB2312" w:eastAsia="仿宋_GB2312"/>
          <w:sz w:val="32"/>
          <w:szCs w:val="32"/>
          <w:highlight w:val="white"/>
        </w:rPr>
        <w:br w:type="page"/>
      </w: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第一部分：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益阳市金银山街道办事处概况</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一、部门职责</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金银山街道办事处是赫山区委、区政府的派出机构，是城市行政管理的基础和社区建设的基础，依据法律、法规的规定，在本辖区内行使相应的政府管理职能。具体为：指导、帮助社区开展组织建设、制度建设和其它工作；负责本辖区社区建设、管理和服务工作；做好社会救助和其他社会保障工作；执行本辖区内经济和社会发展计划、财政预算，管理本辖区内的社会事务管理、劳动和社会保障、计划生育、环境保护、文化、卫生、安全生产、计划生育等行政工作；负责维护本辖区内社会秩序稳定，做好社会治安综合治理和人民调解工作；维护老年人、未成年人、妇女、残疾人等的合法权益；开展拥军优属，做好国防动员和兵役工作；配合做好防灾救灾工作；向区人民政府反映居民的意见和要求，处理群众来信来访事项以及办理区人民政府交办的事项。</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二、机构设置</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（一）内设机构设置</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办事处分设党政办、党建办、经济发展办、社会事务办、自然资源和生态环境办、社会治安和应急管理办、财政所、综合执法大队、社会事务综合服务中心、党群和政务服务中心、退役军人服务站。</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（二）决算单位构成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益阳市金银山街道办事处单位2020年部门决算公开单位构成包括：益阳市金银山街道办事处本级，没有其他二级预算单位，因此，纳入2020年部门决算编制范围的只有本级。</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第二部分：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益阳市金银山街道办事处</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2020年度部门决算表（见附表）</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第三部分：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益阳市金银山街道办事处</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2020年度部门决算情况说明</w:t>
      </w:r>
    </w:p>
    <w:p>
      <w:pPr>
        <w:widowControl w:val="0"/>
        <w:spacing w:line="560" w:lineRule="exact"/>
        <w:ind w:firstLine="640" w:firstLineChars="200"/>
        <w:rPr>
          <w:rFonts w:ascii="黑体" w:hAnsi="黑体" w:eastAsia="黑体"/>
          <w:sz w:val="32"/>
          <w:szCs w:val="32"/>
          <w:highlight w:val="white"/>
        </w:rPr>
      </w:pP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一、收入支出决算总体情况说明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2020年度收入2802.76万元，年初结转和结余287.29万元，总计3090.06万元，与2019年收入（2713.82万元）相比，增加88.94万元，增长3.28%。主要原因是：人员经费及社区运转经费的增加。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2020年度支出2756.47万元，年末结转和结余333.59万元，总计3090.06万元，与2019年支出（2436.67万元）相比，319.80万元，增长13.12%。主要原因是：城乡社区支出和抗疫特别国债安排的支出增加。</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二、收入决算情况说明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本年收入合计2802.76万元，其中：财政拨款收入1645.58万元，占58.71%。政府性基金预算财政拨款收入142.00万元，占5.07%。其他收入1015.19万元，占36.22%。</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三、支出决算情况说明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本年支出合计2756.47万元，其中：基本支出2756.47万元，占100%。</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 xml:space="preserve">四、财政拨款收入支出决算总体情况说明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2020年度财政拨款收入1787.58万元，年初财政拨款结转和结余156.09万元（其中：一般公共预算财政拨款156.09万元），总计1943.67万元，与2019年度财政拨款收入（1742.86万元）相比，增加44.72万元，增长2.57%,主要原因是: 人员经费及社区运转经费的增加。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1758.27万元，年末财政拨款结转和结余185.40万元（其中：一般公共预算财政拨款185.40万元），总计1943.67万元，与2019年度财政拨款支出（1596.91万元）相比，增加161.36万元，增长10.10%。主要原因是：人员经费及社区运转经费的增加。</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五、一般公共预算财政拨款支出决算情况说明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（一）一般公共预算财政拨款支出决算总体情况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2020年度一般公共预算财政拨款支出1616.27万元，占本年支出合计的58.64%。与2019年度一般公共预算财政拨款支出（1567.91万元）相比，增加48.36万元，增长3.08%,主要原因是：一般公共服务支出等增加。</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（二）一般公共预算财政拨款支出决算结构情况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1616.27万元，主要用于以下方面：一般公共服务（类）支出1443.48万元，占89.31%；社会保障和就业（类）支出66.61万元，占4.12%；卫生健康（类）支出57.86万元，占3.58%；住房保障（类）支出48.43万元，占2.99%。</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（三）一般公共预算财政拨款支出决算具体情况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2020年度一般公共预算财政拨款支出年初预算为1057.90万元，支出决算为1616.27万元，完成年初预算的152.78%。其中：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1.一般公共服务支出（类），政府办公厅（室）及相关机构事务（款）行政运行（项）。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年初预算为885万元，支出决算为1443.38万元，完成年初预算的163.09%，决算数大于年初预算数的主要原因是：调整追加预算数。</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2.社会保障和就业支出（类）行政事业单位养老支出（款）机关事业单位基本养老保险缴费支出（项）。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年初预算为66.61万元，支出决算为66.61万元，决算数等于预算数。</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3.卫生健康支出（类）行政事业单位医疗（款）行政单位医疗（项）。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年初预算为57.86万元，支出决算为57.86万元，决算数等于预算数。</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4.住房保障支出（类）住房改革支出（款）住房公积金（项）。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年初预算为48.43万元，支出决算为48.43万元，决算数等于预算数。</w:t>
      </w:r>
      <w:r>
        <w:rPr>
          <w:rFonts w:hint="eastAsia" w:ascii="仿宋_GB2312" w:eastAsia="仿宋_GB2312"/>
          <w:sz w:val="32"/>
          <w:szCs w:val="32"/>
          <w:highlight w:val="white"/>
        </w:rPr>
        <w:t xml:space="preserve">                                                                                                                                                                                                                                                                                                                                                                                                                                                                                                                                                                                                                                                                                                                                                                                                                                                                                                                                                                                                                                                                                                                                                                                                                                                                                                                                                                                                                                                                                                                                                                                                                                                                                                                                                                                                                                                                                                                                                                                                                                                                                                                                                                                                                                                                                                                                                                                                                                                                                                                                                                                                                                                                                                                                                                                                                                                                                                                                                                                                                                                                                                                                                                                                                                                                                                                                                                                                                                                                                                                                                                                                                                                                                                                                                                                                                                                                                                                                                                                                                                                                                                                                                                                                                </w:t>
      </w:r>
      <w:r>
        <w:rPr>
          <w:rFonts w:hint="eastAsia" w:ascii="仿宋_GB2312" w:eastAsia="仿宋_GB2312"/>
          <w:sz w:val="32"/>
          <w:szCs w:val="32"/>
          <w:highlight w:val="white"/>
        </w:rPr>
        <w:t xml:space="preserve">                                                                                                                                                                                                                                                                                                                                                                                                                                                                                                                                                                                                                                                                                                                                                                                                                                                                                                                                                                                                                                                                                                                                                                                                                                                                          </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六、一般公共预算财政拨款基本支出决算情况说明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2020年度一般公共预算财政拨款基本支出1616.27万元，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中:人员经费1022.22万元，占基本支出的63.25%，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594.05万元，占基本支出的36.75%，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七、一般公共预算财政拨款“三公”经费支出决算情况说明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（一）“三公”经费财政拨款支出决算总体情况说明。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2020年度“三公”经费财政拨款支出预算为10万元，支出决算为0万元,决算数小于预算数的主要原因是：认真贯彻落实中央八项规定精神和厉行节约要求，从严控制“三公”经费开支。其中：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因公出国（境）费支出预算为0万元，支出决算为0万元，决算数等于预算数，与上年相比没有变化。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公务用车购置费及运行维护费支出预算为0万元，支出决算为0万元，决算数等于预算数。与上年持平。</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公务接待费支出预算为10万元，支出决算为0万元，决算数小于预算数原因：认真贯彻落实中央“八项规定”精神和厉行节约要求，从严控制“三公”经费开支。</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（二）“三公”经费财政拨款支出决算具体情况说明。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2020年度“三公”经费财政拨款支出决算为0。</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八、政府性基金预算收入支出决算情况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2020年度政府性基金本年收入142.00万元,占本年收入合计的5.07%，与2019年度政府性基金收入（29.00万元）相比，增加113.00万元，增长389.66%。增长原因是：抗疫特别国债安排的收入增加。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2020年政府性基金本年支出142.00万元,占本年支出合计的5.15%，与2019年政府性基金支出（29.00万元）相比，增加113.00万元，增长389.66%。增长原因是：抗疫特别国债安排的支出增加。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其中：基本支出142.00万元, 项目支出0万元，年末结转和结余0万元。</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九</w:t>
      </w:r>
      <w:r>
        <w:rPr>
          <w:rFonts w:ascii="黑体" w:hAnsi="黑体" w:eastAsia="黑体"/>
          <w:sz w:val="32"/>
          <w:szCs w:val="32"/>
          <w:highlight w:val="white"/>
        </w:rPr>
        <w:t>、</w:t>
      </w:r>
      <w:r>
        <w:rPr>
          <w:rFonts w:hint="eastAsia" w:ascii="黑体" w:hAnsi="黑体" w:eastAsia="黑体"/>
          <w:sz w:val="32"/>
          <w:szCs w:val="32"/>
          <w:highlight w:val="white"/>
        </w:rPr>
        <w:t>国有资本经营预算财政拨款支出决算情况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无国有资产经营预算财政拨款。</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十、关于机关运行经费支出说明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益阳市金银山街道办事处2020年机关运行经费支出594.05万元。比年初预算数（72.13万元）增加521.92万元，增加723.58%，主要原因是疫情造成的支出增加。</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 xml:space="preserve">十一、一般性支出情况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本单位开支会议费5.32万元，用于召开人大会议、党员大会、经济工作会议等，人数200余人，内容为上年度政府工作报告等；开支培训费0万元，本年无发生；没有举办节庆、晚会、论坛、赛事活动，开支0万元，本年无发生。</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十二、关于政府采购支出说明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本年度无政府采购。</w:t>
      </w:r>
      <w:r>
        <w:rPr>
          <w:rFonts w:hint="eastAsia" w:ascii="仿宋_GB2312" w:eastAsia="仿宋_GB2312"/>
          <w:sz w:val="32"/>
          <w:szCs w:val="32"/>
          <w:highlight w:val="white"/>
        </w:rPr>
        <w:t xml:space="preserve">  </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十三、关于国有资产占有情况说明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本单位年末无车辆；年末无单价50万元以上通用设备；年末无单价100万元以上专用设备。</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十四、关于2020年度预算绩效情况的说明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（一）绩效管理工作开展情况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本部门按照有关政策文件和赫山区财政局要求开展预算绩效管理工作，加强了绩效目标管理。在编制2020年部门预算时，本部门将所有预算资金纳入绩效目标管理，实现了绩效目标与部门预算同步编制、同步申报。</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（二）部门决算中项目绩效自评结果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我单位部门支出使用情况较好，基本保证了机构的正常运转，确保了干职工工资福利待遇按政策落实到位，确保了各项民生支出，加大了对基层社区的投入，确保了各项重点工程支出，扶持了我单位下属各部门站所。所有这些都取到了维护基层在局稳定的作用，创造了良好的社会效益。</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（三）以部门为主体开展的重点绩效评价结果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我街道整体支出情况良好，资金主要用于保证机关正常运转、干职工工资、民生保障等重点绩效方面。行政效率评价良好，通过进一步加强办事处机关作风建设和效能建设,使办事处上下服务理念得到了进一步加强,执行能力得到了进一步提升,行政效率得到了进一步提高,行政行为得到了进一步规范,工作成效得到了进一步突出； 社会效益评价良好，2020年我街道较好的落实了社区经费、惠民资金，资金监管到位，保障了社区的正常运转，提高了居民生活质量；我街道较好的完成了防汛抗旱工作，确保了防汛大堤的安全，保障了人民群众的生命财产安全；我街道抓实辖区的社会主义精神文明建设以及经济建设，取得了较好的成绩，达到了年初设定的绩效目标。</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第四部分：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名词解释</w:t>
      </w:r>
    </w:p>
    <w:p>
      <w:pPr>
        <w:widowControl w:val="0"/>
        <w:spacing w:line="560" w:lineRule="exact"/>
        <w:ind w:firstLine="640" w:firstLineChars="200"/>
        <w:rPr>
          <w:rFonts w:ascii="仿宋_GB2312" w:eastAsia="仿宋_GB2312"/>
          <w:sz w:val="32"/>
          <w:szCs w:val="32"/>
        </w:rPr>
      </w:pP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财政拨款收入：指本级财政当年拨付的资金。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政府性基金预算财政拨款收入：指本级财政当年拨付的政府性基金预算资金。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其他收入：指除上述“财政拨款收入”、“上级补助收入”、“事业收入”、“经营收入”、“附属单位上缴收入”等以外的收入。</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上年结转和结余：指以前年度尚未完成、结转到本年按有关规定继续使用的资金。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年末结转和结余资金：指本年度或以前年度预算安排、因客观条件发生变化无法按原计划实施，需要延迟到以后年度按有关规定继续使用的资金。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事务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科学技术支出（类）：是指用于科学技术方面的支出，包括保障机构正常运转、完成日常和特定的工作任务或事业发展目标的支出。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文化体育与传媒支出（类）：是指用于文化、文物、体育、新闻出版广播影视等方面的支出，包括保障机构正常运转、完成日常和特定的工作任务或事业发展目标的支出。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卫生健康支出（类）：是指用于医疗卫生与计划生育方面的支出，包括保障机构正常运转、完成日常和特定的工作任务或事业发展目标的支出。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节能环保支出（类）：是指用于节能环保支出，包括保障机构正常运转、完成日常和特定的工作任务或事业发展目标的支出。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城乡社区支出（类）：是指用于城乡社区事务支出，包括保障机构正常运转、完成日常和特定的工作任务或事业发展目标的支出。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农林水支出（类）：是指用于农林水事务支出，包括保障机构正常运转、完成日常和特定的工作任务或事业发展目标的支出。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住房保障支出（类）：是指用于住房方面的支出，包括保障机构正常运转、完成日常和特定的工作任务或事业发展目标的支出。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灾害防治及应急管理支出（类）：是指用于反映政府用于自然灾害防治、安全生产监管及应急管理等方面的支出，包括保障机构正常运转、完成日常和特定的工作任务或事业发展目标的支出。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其他支出（类）：是指用于反映除上述项目以外其他不能划分到具体功能科目中的支出项目，包括保障机构正常运转、完成日常和特定的工作任务或事业发展目标的支出。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基本支出：指保障机构正常运转、完成支日常工作任务而发生的人员支出和公用支出。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工资福利支出：反映单位开支的在职职工和编制外长期聘用人员的各类劳动报酬，以及为上述人员缴纳的各项社会保险费等。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津贴补贴：反映经国家批准建立的机关事业单位艰苦边远地区津贴、机关工作人员地区附加津贴、机关工作人员岗位津贴、事业单位工作人员特殊岗位津贴补贴等。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奖金：反映机关工作人员年终一次性奖金。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伙食补助费：反映单位发给职工的伙食补助费，如误餐补助等。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绩效工资：反映事业单位工作人员的绩效工资。</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机关事业单位基本养老保险缴费：反映机关事业单位缴纳的基本养老保险费。由单位代扣的工作人员基本养老保险缴费，不在此科目反映。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职业年金缴费：反映机关事业单位实际缴纳的职业年金支出。由单位代扣的工作人员职业年金缴费，不在此科目反映。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职工基本医疗保险缴费：反映单位为职工缴纳的基本医疗保险费。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公务员医疗补助缴费：反映按规定可享受公务员医疗补助单位为职工缴纳的公务员医疗补助费。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其他社会保障缴费：反映单位为职工缴纳的基本医疗、失业、工伤、生育等社会保险费，残疾人就业保障金，军队（含武警）为军人缴纳的伤亡、退役医疗等社会保险费。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住房公积金：反映行政事业单位按人力资源和社会保障部、财政部规定的基本工资和津贴补贴以及规定比例为职工缴纳的住房公积金。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商品和服务支出：反映单位购买商品和服务的支出（不包括用于购置固定资产的支出、战略性和应急储备支出）。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办公费：反映单位购买按财务会计制度规定不符合固定资产确认标准的日常办公用品、书报杂志等支出。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印刷费：反映单位的印刷费支出。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水费：反映单位支付的水费、污水处理费等支出。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电费：反映单位的电费支出。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邮电费：反映单位开支的信函、包裹、货物等物品的邮寄费及电话费、电报费、传真费、网络通讯费等。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物业管理费：反映单位开支的办公用房以及未实行职工住宅物业服务改革的在职职工和离退休人员宿舍等的物业管理费，包括综合治理、绿化、卫生等方面的支出。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差旅费：反映单位工作人员出差发生的城市间交通费、住宿费、伙食补贴费和市内交通费。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维修(护)费：反映单位日常开支的固定资产（不包括车船等交通工具）修理和维护费用，网络信息系统运行与维护费用，以及按规定提取的修购基金。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会议费：反映会议中按规定开支的住宿费、伙食费、会议室租金、交通费、文件印刷费、医药费等。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培训费：反映除因公出国（境）培训费以外的各类培训支出。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劳务费：反映支付给单位和个人的劳务费用，如临时聘用人员、钟点工工资，稿费、翻译费，评审费等。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委托业务费：反映因委托外单位办理业务而支付的委托业务费。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工会经费：反映单位按规定提取的工会经费。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其他交通费用：反映单位除公务用车运行维护费以外的其他交通费用。如公务交通补贴，租车费用、出租车费用，飞机、船舶等的燃料费、维修费、保险费等。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其他商品和服务支出：反映上述科目未包括的日常公用支出。如行政赔偿费和诉讼费、国内组织的会员费、来访费、广告宣传、其他劳务费及离休人员特需费、公用经费等。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对个人和家庭的补助：反映政府用于对个人和家庭的补助支出。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离休费：反映行政事业单位和军队移交政府安置的离休人员的离休费、护理费和其他补贴。</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抚恤金：反映按规定开支的烈士遗属、牺牲病故人员遗属的一次性和定期抚恤金，伤残人员的抚恤金，离退休人员等其他人员的各项抚恤金。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第五部分：附件</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赫山区金银山街道办事处</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部门整体支出绩效评价报告</w:t>
      </w:r>
    </w:p>
    <w:p>
      <w:pPr>
        <w:widowControl w:val="0"/>
        <w:spacing w:line="560" w:lineRule="exact"/>
        <w:ind w:firstLine="640" w:firstLineChars="200"/>
        <w:rPr>
          <w:rFonts w:ascii="仿宋_GB2312" w:eastAsia="仿宋_GB2312"/>
          <w:sz w:val="32"/>
          <w:szCs w:val="32"/>
        </w:rPr>
      </w:pP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根据益阳市赫山区财政局《做好2020年度预算绩效自评工作的通知》等有关文件精神，我单位组织力量对2020年部门预算整体支出进行了绩效评价，现将部门整体支出绩效评价情况报告如下： </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一、基本情况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部门基本情况。金银山办事处属区人民政府的派出机关,设党政办、党建办、经济发展办、社会事务办、自然资源和生态环境办、社会治安和应急管理办、财政所、综合执法大队、社会事务综合服务中心、党群和政务服务中心、退役军人服务站、司法所等12个机构。单位主要职责：1.贯彻执行党和国家的路线方针、政策以及市、区关于街道工作方面的指示，制订具体的管理办法并组织实施。2.指导、搞好辖区内居委会的工作。3.负责街道的</w:t>
      </w:r>
      <w:r>
        <w:fldChar w:fldCharType="begin"/>
      </w:r>
      <w:r>
        <w:instrText xml:space="preserve"> HYPERLINK "http://baike.sogou.com/lemma/ShowInnerLink.htm?lemmaId=301875" </w:instrText>
      </w:r>
      <w:r>
        <w:fldChar w:fldCharType="separate"/>
      </w:r>
      <w:r>
        <w:rPr>
          <w:rStyle w:val="12"/>
          <w:rFonts w:hint="eastAsia" w:ascii="仿宋_GB2312" w:eastAsia="仿宋_GB2312"/>
          <w:color w:val="auto"/>
          <w:sz w:val="32"/>
          <w:szCs w:val="32"/>
          <w:u w:val="none"/>
        </w:rPr>
        <w:t>人民调解</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、加强对违法青少年的帮教转化，保护老人、妇女、儿童的合法权益。4.协助有关部门做好辖区</w:t>
      </w:r>
      <w:r>
        <w:fldChar w:fldCharType="begin"/>
      </w:r>
      <w:r>
        <w:instrText xml:space="preserve"> HYPERLINK "http://baike.sogou.com/lemma/ShowInnerLink.htm?lemmaId=8324950" </w:instrText>
      </w:r>
      <w:r>
        <w:fldChar w:fldCharType="separate"/>
      </w:r>
      <w:r>
        <w:rPr>
          <w:rStyle w:val="12"/>
          <w:rFonts w:hint="eastAsia" w:ascii="仿宋_GB2312" w:eastAsia="仿宋_GB2312"/>
          <w:color w:val="auto"/>
          <w:sz w:val="32"/>
          <w:szCs w:val="32"/>
          <w:u w:val="none"/>
        </w:rPr>
        <w:t>拥军优属</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w:t>
      </w:r>
      <w:r>
        <w:fldChar w:fldCharType="begin"/>
      </w:r>
      <w:r>
        <w:instrText xml:space="preserve"> HYPERLINK "http://baike.sogou.com/lemma/ShowInnerLink.htm?lemmaId=66777445" </w:instrText>
      </w:r>
      <w:r>
        <w:fldChar w:fldCharType="separate"/>
      </w:r>
      <w:r>
        <w:rPr>
          <w:rStyle w:val="12"/>
          <w:rFonts w:hint="eastAsia" w:ascii="仿宋_GB2312" w:eastAsia="仿宋_GB2312"/>
          <w:color w:val="auto"/>
          <w:sz w:val="32"/>
          <w:szCs w:val="32"/>
          <w:u w:val="none"/>
        </w:rPr>
        <w:t>优抚安置</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w:t>
      </w:r>
      <w:r>
        <w:fldChar w:fldCharType="begin"/>
      </w:r>
      <w:r>
        <w:instrText xml:space="preserve"> HYPERLINK "http://baike.sogou.com/lemma/ShowInnerLink.htm?lemmaId=374432" </w:instrText>
      </w:r>
      <w:r>
        <w:fldChar w:fldCharType="separate"/>
      </w:r>
      <w:r>
        <w:rPr>
          <w:rStyle w:val="12"/>
          <w:rFonts w:hint="eastAsia" w:ascii="仿宋_GB2312" w:eastAsia="仿宋_GB2312"/>
          <w:color w:val="auto"/>
          <w:sz w:val="32"/>
          <w:szCs w:val="32"/>
          <w:u w:val="none"/>
        </w:rPr>
        <w:t>社会救济</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w:t>
      </w:r>
      <w:r>
        <w:fldChar w:fldCharType="begin"/>
      </w:r>
      <w:r>
        <w:instrText xml:space="preserve"> HYPERLINK "http://baike.sogou.com/lemma/ShowInnerLink.htm?lemmaId=9020418" </w:instrText>
      </w:r>
      <w:r>
        <w:fldChar w:fldCharType="separate"/>
      </w:r>
      <w:r>
        <w:rPr>
          <w:rStyle w:val="12"/>
          <w:rFonts w:hint="eastAsia" w:ascii="仿宋_GB2312" w:eastAsia="仿宋_GB2312"/>
          <w:color w:val="auto"/>
          <w:sz w:val="32"/>
          <w:szCs w:val="32"/>
          <w:u w:val="none"/>
        </w:rPr>
        <w:t>殡葬改革</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、残疾人就业等工作。5.会同有关部门做好辖区内常住和流动人口的管理及计划生育工作。6.协助武装部门做好辖区</w:t>
      </w:r>
      <w:r>
        <w:fldChar w:fldCharType="begin"/>
      </w:r>
      <w:r>
        <w:instrText xml:space="preserve"> HYPERLINK "http://baike.sogou.com/lemma/ShowInnerLink.htm?lemmaId=7602576" </w:instrText>
      </w:r>
      <w:r>
        <w:fldChar w:fldCharType="separate"/>
      </w:r>
      <w:r>
        <w:rPr>
          <w:rStyle w:val="12"/>
          <w:rFonts w:hint="eastAsia" w:ascii="仿宋_GB2312" w:eastAsia="仿宋_GB2312"/>
          <w:color w:val="auto"/>
          <w:sz w:val="32"/>
          <w:szCs w:val="32"/>
          <w:u w:val="none"/>
        </w:rPr>
        <w:t>民兵训练</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和公民服兵役工作。7.负责在辖区开展</w:t>
      </w:r>
      <w:r>
        <w:fldChar w:fldCharType="begin"/>
      </w:r>
      <w:r>
        <w:instrText xml:space="preserve"> HYPERLINK "http://baike.sogou.com/lemma/ShowInnerLink.htm?lemmaId=57077760" </w:instrText>
      </w:r>
      <w:r>
        <w:fldChar w:fldCharType="separate"/>
      </w:r>
      <w:r>
        <w:rPr>
          <w:rStyle w:val="12"/>
          <w:rFonts w:hint="eastAsia" w:ascii="仿宋_GB2312" w:eastAsia="仿宋_GB2312"/>
          <w:color w:val="auto"/>
          <w:sz w:val="32"/>
          <w:szCs w:val="32"/>
          <w:u w:val="none"/>
        </w:rPr>
        <w:t>普法教育</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工作，做好</w:t>
      </w:r>
      <w:r>
        <w:fldChar w:fldCharType="begin"/>
      </w:r>
      <w:r>
        <w:instrText xml:space="preserve"> HYPERLINK "http://baike.sogou.com/lemma/ShowInnerLink.htm?lemmaId=7680267" </w:instrText>
      </w:r>
      <w:r>
        <w:fldChar w:fldCharType="separate"/>
      </w:r>
      <w:r>
        <w:rPr>
          <w:rStyle w:val="12"/>
          <w:rFonts w:hint="eastAsia" w:ascii="仿宋_GB2312" w:eastAsia="仿宋_GB2312"/>
          <w:color w:val="auto"/>
          <w:sz w:val="32"/>
          <w:szCs w:val="32"/>
          <w:u w:val="none"/>
        </w:rPr>
        <w:t>民事调解</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，开展</w:t>
      </w:r>
      <w:r>
        <w:fldChar w:fldCharType="begin"/>
      </w:r>
      <w:r>
        <w:instrText xml:space="preserve"> HYPERLINK "http://baike.sogou.com/lemma/ShowInnerLink.htm?lemmaId=795841" </w:instrText>
      </w:r>
      <w:r>
        <w:fldChar w:fldCharType="separate"/>
      </w:r>
      <w:r>
        <w:rPr>
          <w:rStyle w:val="12"/>
          <w:rFonts w:hint="eastAsia" w:ascii="仿宋_GB2312" w:eastAsia="仿宋_GB2312"/>
          <w:color w:val="auto"/>
          <w:sz w:val="32"/>
          <w:szCs w:val="32"/>
          <w:u w:val="none"/>
        </w:rPr>
        <w:t>法律咨询</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、服务等工作，维护居民的合法权益，搞好辖区内</w:t>
      </w:r>
      <w:r>
        <w:fldChar w:fldCharType="begin"/>
      </w:r>
      <w:r>
        <w:instrText xml:space="preserve"> HYPERLINK "http://baike.sogou.com/lemma/ShowInnerLink.htm?lemmaId=457829" </w:instrText>
      </w:r>
      <w:r>
        <w:fldChar w:fldCharType="separate"/>
      </w:r>
      <w:r>
        <w:rPr>
          <w:rStyle w:val="12"/>
          <w:rFonts w:hint="eastAsia" w:ascii="仿宋_GB2312" w:eastAsia="仿宋_GB2312"/>
          <w:color w:val="auto"/>
          <w:sz w:val="32"/>
          <w:szCs w:val="32"/>
          <w:u w:val="none"/>
        </w:rPr>
        <w:t>社会治安综合治理</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工作。8.负责辖区的城市管理工作，发动群众开展</w:t>
      </w:r>
      <w:r>
        <w:fldChar w:fldCharType="begin"/>
      </w:r>
      <w:r>
        <w:instrText xml:space="preserve"> HYPERLINK "http://baike.sogou.com/lemma/ShowInnerLink.htm?lemmaId=399101" </w:instrText>
      </w:r>
      <w:r>
        <w:fldChar w:fldCharType="separate"/>
      </w:r>
      <w:r>
        <w:rPr>
          <w:rStyle w:val="12"/>
          <w:rFonts w:hint="eastAsia" w:ascii="仿宋_GB2312" w:eastAsia="仿宋_GB2312"/>
          <w:color w:val="auto"/>
          <w:sz w:val="32"/>
          <w:szCs w:val="32"/>
          <w:u w:val="none"/>
        </w:rPr>
        <w:t>爱国卫生运动</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，绿化、美化、净化</w:t>
      </w:r>
      <w:r>
        <w:fldChar w:fldCharType="begin"/>
      </w:r>
      <w:r>
        <w:instrText xml:space="preserve"> HYPERLINK "http://baike.sogou.com/lemma/ShowInnerLink.htm?lemmaId=46351" </w:instrText>
      </w:r>
      <w:r>
        <w:fldChar w:fldCharType="separate"/>
      </w:r>
      <w:r>
        <w:rPr>
          <w:rStyle w:val="12"/>
          <w:rFonts w:hint="eastAsia" w:ascii="仿宋_GB2312" w:eastAsia="仿宋_GB2312"/>
          <w:color w:val="auto"/>
          <w:sz w:val="32"/>
          <w:szCs w:val="32"/>
          <w:u w:val="none"/>
        </w:rPr>
        <w:t>城市环境</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。10.负责研究辖区经济发展的规划，协助有关部门抓好辖区内的三防、抢险救灾、</w:t>
      </w:r>
      <w:r>
        <w:fldChar w:fldCharType="begin"/>
      </w:r>
      <w:r>
        <w:instrText xml:space="preserve"> HYPERLINK "http://baike.sogou.com/lemma/ShowInnerLink.htm?lemmaId=6602079" </w:instrText>
      </w:r>
      <w:r>
        <w:fldChar w:fldCharType="separate"/>
      </w:r>
      <w:r>
        <w:rPr>
          <w:rStyle w:val="12"/>
          <w:rFonts w:hint="eastAsia" w:ascii="仿宋_GB2312" w:eastAsia="仿宋_GB2312"/>
          <w:color w:val="auto"/>
          <w:sz w:val="32"/>
          <w:szCs w:val="32"/>
          <w:u w:val="none"/>
        </w:rPr>
        <w:t>安全生产检查</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、居民迁移等工作。11.承办赫山区党委、区政府交办的其它事项。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部门整体收支情况。2020年区财政批复部门预算为1223.5万元，其中一般公共预算拨款1057.9万元，其他收入165.6万元，追加1579.6万元，实际支出决算为2756.5万元。其中，工资福利支出1062.9元，商品和服务支出1520.4万元，对个人和家庭的补助支出173.2万元。2020年“三公经费”支出10万元，较去年相对减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（三）部门整体支出绩效目标。</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1.2020年重点工作计划。一是大力发展街道的经济建设工作，提高服务能力；二是协助好市、区两级重点工程项目建设工作；三是做好辖区内的民政优抚、社会治安综合治理等工作；四是抓实辖区的社会主义精神文明建设。</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2.预决算公开：2020年，按照区委、区政府和区财政局的要求，我单位2020年预决算在中国·赫山网站上进行了预决算公开。</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3.资产管理：为进一步加强国有资产管理，我单位明确了具体责任人，完善了固定资产档案，严格报批、销审等手续，做好资产统计工作。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4.“三公经费”控制情况：严格贯彻落实上级有关文件精神，厉行节约、反对浪费，严格审批程序，做到了事前、事中、事后监督，取得了良好效果。2020年度“三公经费”同比上年有所降低。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（四）部门整体支出实施情况。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三公经费等各项开支实施情况。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2020年办事处严格控制三公经费以及各项办公经费的支出，三公经费支出0万元，与上年同比减少，其他各项办公经费严格控制在预算内，没有出现超支等情况。</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二、绩效评价工作情况</w:t>
      </w:r>
      <w:bookmarkStart w:id="0" w:name="_Toc22631"/>
    </w:p>
    <w:bookmarkEnd w:id="0"/>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（一）绩效评价目的</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此次绩效评价的目的是：严格落实《预算法》及省、市绩效管理工作的有关规定，进一步规范财政资金的管理，强化财政支出绩效理念，提升部门责任意识，提高资金使用效益。</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（二）绩效评价实施过程</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根据益阳市赫山区财政局《做好2020年度预算绩效自评工作的通知》等相关文件要求，办事处成立了自评工作领导小组，对照自评方案进行研究和布署，按照自评方案的要求，对照各实施项目的内容逐条逐项自评。在自评过程发现问题，查找原因，及时纠正偏差，为下一步工作夯实基础。</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三、主要绩效及评价结论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通过加强预算收支的管理，不断建立健全内部管理制度，理顺内部管理流程，部门整体支出管理情况得到了提升。部门整体支出绩效情况如下：</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（一）经济性评价</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1.本年预算安排控制较好，财政供养人员控制率95%，编制内在职人员控制率小于100%，控制在预算编制以内；“三公”经费预算总额未突破上年。</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2.预算执行方面，支出总额控制在预算总额以内；本年无转移资金支付，不存在截留或滞留专项资金情况。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（二）行政效率评价</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通过进一步加强办事处机关作风建设和效能建设,使办事处上下服务理念得到了进一步加强,执行能力得到了进一步提升,行政效率得到了进一步提高,行政行为得到了进一步规范,工作成效得到了进一步突出,作风、效能建设长效机制得到了进一步完善,在社会上树立了办事处的良好社会形象。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资金监管到位；我街道较好的完成了防汛抗旱工作，确保了防汛大堤的安全，保障了人民群众的生命财产安全；我办事处抓实辖区的社会主义精神文明建设以及经济建设，取得了较好的成绩，达到了年初设定的绩效目标。</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四、存在的问题</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对群众反映的信访问题，不能及时解决，留有隐患,刚性支出较大，财政资金来源不足。</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五、有关建议</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加大信访问题的解决力度。</w:t>
      </w:r>
    </w:p>
    <w:p>
      <w:pPr>
        <w:pStyle w:val="8"/>
        <w:spacing w:before="0" w:beforeAutospacing="0" w:after="0" w:afterAutospacing="0" w:line="560" w:lineRule="exact"/>
        <w:ind w:firstLine="645"/>
        <w:rPr>
          <w:rFonts w:ascii="仿宋_GB2312" w:eastAsia="仿宋_GB2312"/>
          <w:bCs/>
          <w:sz w:val="32"/>
          <w:szCs w:val="32"/>
        </w:rPr>
      </w:pPr>
    </w:p>
    <w:p>
      <w:pPr>
        <w:jc w:val="left"/>
        <w:rPr>
          <w:rFonts w:ascii="方正小标宋简体" w:eastAsia="方正小标宋简体" w:cs="方正小标宋简体"/>
          <w:sz w:val="36"/>
          <w:szCs w:val="36"/>
        </w:rPr>
      </w:pPr>
      <w:r>
        <w:rPr>
          <w:rFonts w:ascii="方正小标宋简体" w:eastAsia="方正小标宋简体" w:cs="方正小标宋简体"/>
          <w:sz w:val="36"/>
          <w:szCs w:val="36"/>
        </w:rPr>
        <w:br w:type="page"/>
      </w:r>
    </w:p>
    <w:p>
      <w:pPr>
        <w:spacing w:line="480" w:lineRule="exact"/>
        <w:jc w:val="center"/>
        <w:rPr>
          <w:rFonts w:ascii="方正小标宋简体" w:eastAsia="方正小标宋简体"/>
          <w:sz w:val="36"/>
          <w:szCs w:val="36"/>
        </w:rPr>
      </w:pPr>
      <w:r>
        <w:rPr>
          <w:rFonts w:ascii="方正小标宋简体" w:eastAsia="方正小标宋简体" w:cs="方正小标宋简体"/>
          <w:sz w:val="36"/>
          <w:szCs w:val="36"/>
        </w:rPr>
        <w:t>20</w:t>
      </w:r>
      <w:r>
        <w:rPr>
          <w:rFonts w:hint="eastAsia" w:ascii="方正小标宋简体" w:eastAsia="方正小标宋简体" w:cs="方正小标宋简体"/>
          <w:sz w:val="36"/>
          <w:szCs w:val="36"/>
        </w:rPr>
        <w:t>20年度部门整体支出绩效自评指标计分表</w:t>
      </w:r>
    </w:p>
    <w:p>
      <w:pPr>
        <w:spacing w:line="80" w:lineRule="exact"/>
        <w:rPr>
          <w:rFonts w:ascii="仿宋_GB2312"/>
        </w:rPr>
      </w:pPr>
    </w:p>
    <w:tbl>
      <w:tblPr>
        <w:tblStyle w:val="9"/>
        <w:tblW w:w="936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47"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一级</w:t>
            </w:r>
            <w:r>
              <w:rPr>
                <w:rFonts w:ascii="宋体"/>
              </w:rPr>
              <w:br w:type="textWrapping"/>
            </w:r>
            <w:r>
              <w:rPr>
                <w:rFonts w:hint="eastAsia" w:ascii="宋体" w:hAnsi="宋体" w:cs="宋体"/>
              </w:rPr>
              <w:t>指标</w:t>
            </w:r>
          </w:p>
        </w:tc>
        <w:tc>
          <w:tcPr>
            <w:tcW w:w="57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二级指标</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三级指标</w:t>
            </w:r>
          </w:p>
        </w:tc>
        <w:tc>
          <w:tcPr>
            <w:tcW w:w="44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自评分</w:t>
            </w:r>
          </w:p>
        </w:tc>
        <w:tc>
          <w:tcPr>
            <w:tcW w:w="297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指标解释</w:t>
            </w:r>
          </w:p>
        </w:tc>
        <w:tc>
          <w:tcPr>
            <w:tcW w:w="4122"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目标</w:t>
            </w:r>
            <w:r>
              <w:rPr>
                <w:rFonts w:ascii="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绩效目标合理性（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①符合国家法律法规、国民经济和社会发展总体规划计</w:t>
            </w:r>
            <w:r>
              <w:rPr>
                <w:rFonts w:ascii="宋体" w:hAnsi="宋体" w:cs="宋体"/>
              </w:rPr>
              <w:t>1</w:t>
            </w:r>
            <w:r>
              <w:rPr>
                <w:rFonts w:hint="eastAsia" w:ascii="宋体" w:hAnsi="宋体" w:cs="宋体"/>
              </w:rPr>
              <w:t>分；②符合部门“三定”方案确定的职责计</w:t>
            </w:r>
            <w:r>
              <w:rPr>
                <w:rFonts w:ascii="宋体" w:hAnsi="宋体" w:cs="宋体"/>
              </w:rPr>
              <w:t>0.5</w:t>
            </w:r>
            <w:r>
              <w:rPr>
                <w:rFonts w:hint="eastAsia" w:ascii="宋体" w:hAnsi="宋体" w:cs="宋体"/>
              </w:rPr>
              <w:t>分；③是否符合部门制定的中长期实施规划计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绩效指标明确性（</w:t>
            </w:r>
            <w:r>
              <w:rPr>
                <w:rFonts w:ascii="宋体" w:hAnsi="宋体" w:cs="宋体"/>
              </w:rPr>
              <w:t>3</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3</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①将部门整体的绩效目标细化分解为具体的工作任务计</w:t>
            </w:r>
            <w:r>
              <w:rPr>
                <w:rFonts w:ascii="宋体" w:hAnsi="宋体" w:cs="宋体"/>
              </w:rPr>
              <w:t>1</w:t>
            </w:r>
            <w:r>
              <w:rPr>
                <w:rFonts w:hint="eastAsia" w:ascii="宋体" w:hAnsi="宋体" w:cs="宋体"/>
              </w:rPr>
              <w:t>分；②通过清晰、可衡量的指标值予以体现计</w:t>
            </w:r>
            <w:r>
              <w:rPr>
                <w:rFonts w:ascii="宋体" w:hAnsi="宋体" w:cs="宋体"/>
              </w:rPr>
              <w:t>0.5</w:t>
            </w:r>
            <w:r>
              <w:rPr>
                <w:rFonts w:hint="eastAsia" w:ascii="宋体" w:hAnsi="宋体" w:cs="宋体"/>
              </w:rPr>
              <w:t>分。③与部门年度的任务数或计划数相对应计</w:t>
            </w:r>
            <w:r>
              <w:rPr>
                <w:rFonts w:ascii="宋体" w:hAnsi="宋体" w:cs="宋体"/>
              </w:rPr>
              <w:t>0.5</w:t>
            </w:r>
            <w:r>
              <w:rPr>
                <w:rFonts w:hint="eastAsia" w:ascii="宋体" w:hAnsi="宋体" w:cs="宋体"/>
              </w:rPr>
              <w:t>分；④与本年度部门预算资金相匹配计</w:t>
            </w:r>
            <w:r>
              <w:rPr>
                <w:rFonts w:ascii="宋体" w:hAnsi="宋体" w:cs="宋体"/>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在职人员控制率（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小于或等于</w:t>
            </w:r>
            <w:r>
              <w:rPr>
                <w:rFonts w:ascii="宋体" w:hAnsi="宋体" w:cs="宋体"/>
              </w:rPr>
              <w:t>1</w:t>
            </w:r>
            <w:r>
              <w:rPr>
                <w:rFonts w:hint="eastAsia" w:ascii="宋体" w:hAnsi="宋体" w:cs="宋体"/>
              </w:rPr>
              <w:t>计</w:t>
            </w:r>
            <w:r>
              <w:rPr>
                <w:rFonts w:ascii="宋体" w:hAnsi="宋体" w:cs="宋体"/>
              </w:rPr>
              <w:t>5</w:t>
            </w:r>
            <w:r>
              <w:rPr>
                <w:rFonts w:hint="eastAsia" w:ascii="宋体" w:hAnsi="宋体" w:cs="宋体"/>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“三公经费”</w:t>
            </w:r>
          </w:p>
          <w:p>
            <w:pPr>
              <w:spacing w:line="240" w:lineRule="exact"/>
              <w:jc w:val="center"/>
              <w:rPr>
                <w:rFonts w:ascii="宋体"/>
              </w:rPr>
            </w:pPr>
            <w:r>
              <w:rPr>
                <w:rFonts w:hint="eastAsia" w:ascii="宋体" w:hAnsi="宋体" w:cs="宋体"/>
              </w:rPr>
              <w:t>变动率（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。下降的计</w:t>
            </w:r>
            <w:r>
              <w:rPr>
                <w:rFonts w:ascii="宋体" w:hAnsi="宋体" w:cs="宋体"/>
              </w:rPr>
              <w:t>5</w:t>
            </w:r>
            <w:r>
              <w:rPr>
                <w:rFonts w:hint="eastAsia" w:ascii="宋体" w:hAnsi="宋体" w:cs="宋体"/>
              </w:rPr>
              <w:t>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重点支出安排率（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重点支出安排率</w:t>
            </w:r>
            <w:r>
              <w:rPr>
                <w:rFonts w:ascii="宋体" w:hAnsi="宋体" w:cs="宋体"/>
              </w:rPr>
              <w:t>=</w:t>
            </w:r>
            <w:r>
              <w:rPr>
                <w:rFonts w:hint="eastAsia" w:ascii="宋体" w:hAnsi="宋体" w:cs="宋体"/>
              </w:rPr>
              <w:t>（重点项目支出</w:t>
            </w:r>
            <w:r>
              <w:rPr>
                <w:rFonts w:ascii="宋体" w:hAnsi="宋体" w:cs="宋体"/>
              </w:rPr>
              <w:t>/</w:t>
            </w:r>
            <w:r>
              <w:rPr>
                <w:rFonts w:hint="eastAsia" w:ascii="宋体" w:hAnsi="宋体" w:cs="宋体"/>
              </w:rPr>
              <w:t>项目总支出）×</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支出安排率</w:t>
            </w:r>
            <w:r>
              <w:rPr>
                <w:rFonts w:ascii="宋体" w:hAnsi="宋体" w:cs="宋体"/>
              </w:rPr>
              <w:t>*5</w:t>
            </w:r>
            <w:r>
              <w:rPr>
                <w:rFonts w:hint="eastAsia" w:ascii="宋体" w:hAnsi="宋体" w:cs="宋体"/>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4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预算完成率（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4</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部门本年度预算完成数与预算数的比率，用以反映和考核部门预算完成程度。</w:t>
            </w:r>
          </w:p>
        </w:tc>
        <w:tc>
          <w:tcPr>
            <w:tcW w:w="4122" w:type="dxa"/>
            <w:tcMar>
              <w:top w:w="10" w:type="dxa"/>
              <w:left w:w="10" w:type="dxa"/>
              <w:bottom w:w="0" w:type="dxa"/>
              <w:right w:w="10" w:type="dxa"/>
            </w:tcMar>
            <w:vAlign w:val="center"/>
          </w:tcPr>
          <w:p>
            <w:pPr>
              <w:spacing w:line="220" w:lineRule="exact"/>
              <w:rPr>
                <w:rFonts w:ascii="宋体"/>
                <w:spacing w:val="-6"/>
              </w:rPr>
            </w:pPr>
            <w:r>
              <w:rPr>
                <w:rFonts w:hint="eastAsia" w:ascii="宋体" w:hAnsi="宋体" w:cs="宋体"/>
                <w:spacing w:val="-6"/>
              </w:rPr>
              <w:t>预算完成率</w:t>
            </w:r>
            <w:r>
              <w:rPr>
                <w:rFonts w:ascii="宋体" w:hAnsi="宋体" w:cs="宋体"/>
                <w:spacing w:val="-6"/>
              </w:rPr>
              <w:t>=</w:t>
            </w:r>
            <w:r>
              <w:rPr>
                <w:rFonts w:hint="eastAsia" w:ascii="宋体" w:hAnsi="宋体" w:cs="宋体"/>
                <w:spacing w:val="-6"/>
              </w:rPr>
              <w:t>（预算完成数</w:t>
            </w:r>
            <w:r>
              <w:rPr>
                <w:rFonts w:ascii="宋体" w:hAnsi="宋体" w:cs="宋体"/>
                <w:spacing w:val="-6"/>
              </w:rPr>
              <w:t>/</w:t>
            </w:r>
            <w:r>
              <w:rPr>
                <w:rFonts w:hint="eastAsia" w:ascii="宋体" w:hAnsi="宋体" w:cs="宋体"/>
                <w:spacing w:val="-6"/>
              </w:rPr>
              <w:t>预算数）×</w:t>
            </w:r>
            <w:r>
              <w:rPr>
                <w:rFonts w:ascii="宋体" w:hAnsi="宋体" w:cs="宋体"/>
                <w:spacing w:val="-6"/>
              </w:rPr>
              <w:t>100%</w:t>
            </w:r>
            <w:r>
              <w:rPr>
                <w:rFonts w:hint="eastAsia" w:ascii="宋体" w:hAnsi="宋体" w:cs="宋体"/>
                <w:spacing w:val="-6"/>
              </w:rPr>
              <w:t>。完成年初预算计</w:t>
            </w:r>
            <w:r>
              <w:rPr>
                <w:rFonts w:ascii="宋体" w:hAnsi="宋体" w:cs="宋体"/>
                <w:spacing w:val="-6"/>
              </w:rPr>
              <w:t>4</w:t>
            </w:r>
            <w:r>
              <w:rPr>
                <w:rFonts w:hint="eastAsia" w:ascii="宋体" w:hAnsi="宋体" w:cs="宋体"/>
                <w:spacing w:val="-6"/>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预算调整率（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部门本年度预算调整数与预算数的比率，用以反映和考核部门预算的调整程度。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。未调整的计</w:t>
            </w:r>
            <w:r>
              <w:rPr>
                <w:rFonts w:ascii="宋体" w:hAnsi="宋体" w:cs="宋体"/>
              </w:rPr>
              <w:t>2</w:t>
            </w:r>
            <w:r>
              <w:rPr>
                <w:rFonts w:hint="eastAsia" w:ascii="宋体" w:hAnsi="宋体" w:cs="宋体"/>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支付进度率（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。完成年终进度的计</w:t>
            </w:r>
            <w:r>
              <w:rPr>
                <w:rFonts w:ascii="宋体" w:hAnsi="宋体" w:cs="宋体"/>
              </w:rPr>
              <w:t>1</w:t>
            </w:r>
            <w:r>
              <w:rPr>
                <w:rFonts w:hint="eastAsia" w:ascii="宋体" w:hAnsi="宋体" w:cs="宋体"/>
              </w:rPr>
              <w:t>分，按季度完成预算进度的计</w:t>
            </w:r>
            <w:r>
              <w:rPr>
                <w:rFonts w:ascii="宋体" w:hAnsi="宋体" w:cs="宋体"/>
              </w:rPr>
              <w:t>1</w:t>
            </w:r>
            <w:r>
              <w:rPr>
                <w:rFonts w:hint="eastAsia" w:ascii="宋体" w:hAnsi="宋体" w:cs="宋体"/>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6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结转结余控制率（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结转结余控制率</w:t>
            </w:r>
            <w:r>
              <w:rPr>
                <w:rFonts w:ascii="宋体" w:hAnsi="宋体" w:cs="宋体"/>
              </w:rPr>
              <w:t>=</w:t>
            </w:r>
            <w:r>
              <w:rPr>
                <w:rFonts w:hint="eastAsia" w:ascii="宋体" w:hAnsi="宋体" w:cs="宋体"/>
              </w:rPr>
              <w:t>（本年结转结余总额</w:t>
            </w:r>
            <w:r>
              <w:rPr>
                <w:rFonts w:ascii="宋体" w:cs="宋体"/>
              </w:rPr>
              <w:t>-</w:t>
            </w:r>
            <w:r>
              <w:rPr>
                <w:rFonts w:hint="eastAsia" w:ascii="宋体" w:hAnsi="宋体" w:cs="宋体"/>
              </w:rPr>
              <w:t>上年结转结余总额）</w:t>
            </w:r>
            <w:r>
              <w:rPr>
                <w:rFonts w:ascii="宋体" w:hAnsi="宋体" w:cs="宋体"/>
              </w:rPr>
              <w:t>/</w:t>
            </w:r>
            <w:r>
              <w:rPr>
                <w:rFonts w:hint="eastAsia" w:ascii="宋体" w:hAnsi="宋体" w:cs="宋体"/>
              </w:rPr>
              <w:t>上年结转结余总额×</w:t>
            </w:r>
            <w:r>
              <w:rPr>
                <w:rFonts w:ascii="宋体" w:hAnsi="宋体" w:cs="宋体"/>
              </w:rPr>
              <w:t>100%</w:t>
            </w:r>
            <w:r>
              <w:rPr>
                <w:rFonts w:hint="eastAsia" w:ascii="宋体" w:hAnsi="宋体" w:cs="宋体"/>
              </w:rPr>
              <w:t>。低于</w:t>
            </w:r>
            <w:r>
              <w:rPr>
                <w:rFonts w:ascii="宋体" w:hAnsi="宋体" w:cs="宋体"/>
              </w:rPr>
              <w:t>15%</w:t>
            </w:r>
            <w:r>
              <w:rPr>
                <w:rFonts w:hint="eastAsia" w:ascii="宋体" w:hAnsi="宋体" w:cs="宋体"/>
              </w:rPr>
              <w:t>的计</w:t>
            </w:r>
            <w:r>
              <w:rPr>
                <w:rFonts w:ascii="宋体" w:hAnsi="宋体" w:cs="宋体"/>
              </w:rPr>
              <w:t>4</w:t>
            </w:r>
            <w:r>
              <w:rPr>
                <w:rFonts w:hint="eastAsia" w:ascii="宋体" w:hAnsi="宋体" w:cs="宋体"/>
              </w:rPr>
              <w:t>分，每超过</w:t>
            </w:r>
            <w:r>
              <w:rPr>
                <w:rFonts w:ascii="宋体" w:hAnsi="宋体" w:cs="宋体"/>
              </w:rPr>
              <w:t>5</w:t>
            </w:r>
            <w:r>
              <w:rPr>
                <w:rFonts w:hint="eastAsia" w:ascii="宋体" w:hAnsi="宋体" w:cs="宋体"/>
              </w:rPr>
              <w:t>个百分点扣</w:t>
            </w:r>
            <w:r>
              <w:rPr>
                <w:rFonts w:ascii="宋体" w:hAnsi="宋体" w:cs="宋体"/>
              </w:rPr>
              <w:t>1</w:t>
            </w:r>
            <w:r>
              <w:rPr>
                <w:rFonts w:hint="eastAsia" w:ascii="宋体" w:hAnsi="宋体" w:cs="宋体"/>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公用经费</w:t>
            </w:r>
          </w:p>
          <w:p>
            <w:pPr>
              <w:spacing w:line="260" w:lineRule="exact"/>
              <w:jc w:val="center"/>
              <w:rPr>
                <w:rFonts w:ascii="宋体"/>
              </w:rPr>
            </w:pPr>
            <w:r>
              <w:rPr>
                <w:rFonts w:hint="eastAsia" w:ascii="宋体" w:hAnsi="宋体" w:cs="宋体"/>
              </w:rPr>
              <w:t>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政府采购</w:t>
            </w:r>
          </w:p>
          <w:p>
            <w:pPr>
              <w:spacing w:line="260" w:lineRule="exact"/>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分，每低于</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p>
          <w:p>
            <w:pPr>
              <w:spacing w:line="260" w:lineRule="exact"/>
              <w:jc w:val="center"/>
              <w:rPr>
                <w:rFonts w:ascii="宋体"/>
              </w:rPr>
            </w:pP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已制定或具有预算资金管理办法、内部财务管理制度、会计核算制度等管理制度计</w:t>
            </w:r>
            <w:r>
              <w:rPr>
                <w:rFonts w:ascii="宋体" w:hAnsi="宋体" w:cs="宋体"/>
              </w:rPr>
              <w:t>1</w:t>
            </w:r>
            <w:r>
              <w:rPr>
                <w:rFonts w:hint="eastAsia" w:ascii="宋体" w:hAnsi="宋体" w:cs="宋体"/>
              </w:rPr>
              <w:t>分；相关管理制度合法、合规、完整计</w:t>
            </w:r>
            <w:r>
              <w:rPr>
                <w:rFonts w:ascii="宋体" w:hAnsi="宋体" w:cs="宋体"/>
              </w:rPr>
              <w:t>0.5</w:t>
            </w:r>
            <w:r>
              <w:rPr>
                <w:rFonts w:hint="eastAsia" w:ascii="宋体" w:hAnsi="宋体" w:cs="宋体"/>
              </w:rPr>
              <w:t>分；相关管理制度得到有效执行计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资金使用</w:t>
            </w:r>
          </w:p>
          <w:p>
            <w:pPr>
              <w:spacing w:line="260" w:lineRule="exact"/>
              <w:jc w:val="center"/>
              <w:rPr>
                <w:rFonts w:ascii="宋体"/>
              </w:rPr>
            </w:pPr>
            <w:r>
              <w:rPr>
                <w:rFonts w:hint="eastAsia" w:ascii="宋体" w:hAnsi="宋体" w:cs="宋体"/>
              </w:rPr>
              <w:t>合规性（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①符合国家财经法规和财务管理制度规定以及有关专项资金管理办法的规定计</w:t>
            </w:r>
            <w:r>
              <w:rPr>
                <w:rFonts w:ascii="宋体" w:hAnsi="宋体" w:cs="宋体"/>
              </w:rPr>
              <w:t>0.2</w:t>
            </w:r>
            <w:r>
              <w:rPr>
                <w:rFonts w:hint="eastAsia" w:ascii="宋体" w:hAnsi="宋体" w:cs="宋体"/>
              </w:rPr>
              <w:t>分；②资金的拨付有完整的审批程序和手续计</w:t>
            </w:r>
            <w:r>
              <w:rPr>
                <w:rFonts w:ascii="宋体" w:hAnsi="宋体" w:cs="宋体"/>
              </w:rPr>
              <w:t>0.2</w:t>
            </w:r>
            <w:r>
              <w:rPr>
                <w:rFonts w:hint="eastAsia" w:ascii="宋体" w:hAnsi="宋体" w:cs="宋体"/>
              </w:rPr>
              <w:t>分；③项目的重大开支经过评估论证计</w:t>
            </w:r>
            <w:r>
              <w:rPr>
                <w:rFonts w:ascii="宋体" w:hAnsi="宋体" w:cs="宋体"/>
              </w:rPr>
              <w:t>0.2</w:t>
            </w:r>
            <w:r>
              <w:rPr>
                <w:rFonts w:hint="eastAsia" w:ascii="宋体" w:hAnsi="宋体" w:cs="宋体"/>
              </w:rPr>
              <w:t>分；④符合部门预算批复的用途计</w:t>
            </w:r>
            <w:r>
              <w:rPr>
                <w:rFonts w:ascii="宋体" w:hAnsi="宋体" w:cs="宋体"/>
              </w:rPr>
              <w:t>0.2</w:t>
            </w:r>
            <w:r>
              <w:rPr>
                <w:rFonts w:hint="eastAsia" w:ascii="宋体" w:hAnsi="宋体" w:cs="宋体"/>
              </w:rPr>
              <w:t>分；⑤不存在截留、挤占、挪用、虚列支出等情况计</w:t>
            </w:r>
            <w:r>
              <w:rPr>
                <w:rFonts w:ascii="宋体" w:hAnsi="宋体" w:cs="宋体"/>
              </w:rPr>
              <w:t>0.2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预决算信</w:t>
            </w:r>
          </w:p>
          <w:p>
            <w:pPr>
              <w:spacing w:line="260" w:lineRule="exact"/>
              <w:jc w:val="center"/>
              <w:rPr>
                <w:rFonts w:ascii="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①按规定内容公开预决算信息计</w:t>
            </w:r>
            <w:r>
              <w:rPr>
                <w:rFonts w:ascii="宋体" w:hAnsi="宋体" w:cs="宋体"/>
              </w:rPr>
              <w:t>0.5</w:t>
            </w:r>
            <w:r>
              <w:rPr>
                <w:rFonts w:hint="eastAsia" w:ascii="宋体" w:hAnsi="宋体" w:cs="宋体"/>
              </w:rPr>
              <w:t>分；②按规定时限公开预决算信息计</w:t>
            </w:r>
            <w:r>
              <w:rPr>
                <w:rFonts w:ascii="宋体" w:hAnsi="宋体" w:cs="宋体"/>
              </w:rPr>
              <w:t>0.5</w:t>
            </w:r>
            <w:r>
              <w:rPr>
                <w:rFonts w:hint="eastAsia" w:ascii="宋体" w:hAnsi="宋体" w:cs="宋体"/>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基础信息</w:t>
            </w:r>
          </w:p>
          <w:p>
            <w:pPr>
              <w:spacing w:line="260" w:lineRule="exact"/>
              <w:jc w:val="center"/>
              <w:rPr>
                <w:rFonts w:ascii="宋体"/>
              </w:rPr>
            </w:pPr>
            <w:r>
              <w:rPr>
                <w:rFonts w:hint="eastAsia" w:ascii="宋体" w:hAnsi="宋体" w:cs="宋体"/>
              </w:rPr>
              <w:t>完善性（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部门基础信息是否完善，用以反映和考核基础信息对预算管理工作的支撑情况。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①基础数据信息和会计信息资料真实计</w:t>
            </w:r>
            <w:r>
              <w:rPr>
                <w:rFonts w:ascii="宋体" w:hAnsi="宋体" w:cs="宋体"/>
              </w:rPr>
              <w:t>0.4</w:t>
            </w:r>
            <w:r>
              <w:rPr>
                <w:rFonts w:hint="eastAsia" w:ascii="宋体" w:hAnsi="宋体" w:cs="宋体"/>
              </w:rPr>
              <w:t>分；②基础数据信息和会计信息资料完整计</w:t>
            </w:r>
            <w:r>
              <w:rPr>
                <w:rFonts w:ascii="宋体" w:hAnsi="宋体" w:cs="宋体"/>
              </w:rPr>
              <w:t>0.3</w:t>
            </w:r>
            <w:r>
              <w:rPr>
                <w:rFonts w:hint="eastAsia" w:ascii="宋体" w:hAnsi="宋体" w:cs="宋体"/>
              </w:rPr>
              <w:t>分；③基础数据信息和会计信息资料准确计</w:t>
            </w:r>
            <w:r>
              <w:rPr>
                <w:rFonts w:ascii="宋体" w:hAnsi="宋体" w:cs="宋体"/>
              </w:rPr>
              <w:t>0.3</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57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管理制度</w:t>
            </w:r>
          </w:p>
          <w:p>
            <w:pPr>
              <w:spacing w:line="22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①制定或具有资产管理制度计</w:t>
            </w:r>
            <w:r>
              <w:rPr>
                <w:rFonts w:ascii="宋体" w:hAnsi="宋体" w:cs="宋体"/>
              </w:rPr>
              <w:t>1</w:t>
            </w:r>
            <w:r>
              <w:rPr>
                <w:rFonts w:hint="eastAsia" w:ascii="宋体" w:hAnsi="宋体" w:cs="宋体"/>
              </w:rPr>
              <w:t>分；②相关资金管理制度合法、合规、完整计</w:t>
            </w:r>
            <w:r>
              <w:rPr>
                <w:rFonts w:ascii="宋体" w:hAnsi="宋体" w:cs="宋体"/>
              </w:rPr>
              <w:t>0.5</w:t>
            </w:r>
            <w:r>
              <w:rPr>
                <w:rFonts w:hint="eastAsia" w:ascii="宋体" w:hAnsi="宋体" w:cs="宋体"/>
              </w:rPr>
              <w:t>分；③相关资产管理制度得到有效执行计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资产管理</w:t>
            </w:r>
          </w:p>
          <w:p>
            <w:pPr>
              <w:spacing w:line="220" w:lineRule="exact"/>
              <w:jc w:val="center"/>
              <w:rPr>
                <w:rFonts w:ascii="宋体"/>
              </w:rPr>
            </w:pPr>
            <w:r>
              <w:rPr>
                <w:rFonts w:hint="eastAsia" w:ascii="宋体" w:hAnsi="宋体" w:cs="宋体"/>
              </w:rPr>
              <w:t>安全性（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761"/>
                <w:tab w:val="left" w:pos="2604"/>
              </w:tabs>
              <w:spacing w:line="22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761"/>
                <w:tab w:val="left" w:pos="2604"/>
              </w:tabs>
              <w:spacing w:line="220" w:lineRule="exact"/>
              <w:rPr>
                <w:rFonts w:ascii="宋体"/>
              </w:rPr>
            </w:pPr>
            <w:r>
              <w:rPr>
                <w:rFonts w:hint="eastAsia" w:ascii="宋体" w:hAnsi="宋体" w:cs="宋体"/>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①资产保存完整计</w:t>
            </w:r>
            <w:r>
              <w:rPr>
                <w:rFonts w:ascii="宋体" w:hAnsi="宋体" w:cs="宋体"/>
              </w:rPr>
              <w:t>0.4</w:t>
            </w:r>
            <w:r>
              <w:rPr>
                <w:rFonts w:hint="eastAsia" w:ascii="宋体" w:hAnsi="宋体" w:cs="宋体"/>
              </w:rPr>
              <w:t>分；②资产配置合理计</w:t>
            </w:r>
            <w:r>
              <w:rPr>
                <w:rFonts w:ascii="宋体" w:hAnsi="宋体" w:cs="宋体"/>
              </w:rPr>
              <w:t>0.4</w:t>
            </w:r>
            <w:r>
              <w:rPr>
                <w:rFonts w:hint="eastAsia" w:ascii="宋体" w:hAnsi="宋体" w:cs="宋体"/>
              </w:rPr>
              <w:t>分；③资产处置规范计</w:t>
            </w:r>
            <w:r>
              <w:rPr>
                <w:rFonts w:ascii="宋体" w:hAnsi="宋体" w:cs="宋体"/>
              </w:rPr>
              <w:t>0.4</w:t>
            </w:r>
            <w:r>
              <w:rPr>
                <w:rFonts w:hint="eastAsia" w:ascii="宋体" w:hAnsi="宋体" w:cs="宋体"/>
              </w:rPr>
              <w:t>分；④资产账务管理合规、帐实相符计</w:t>
            </w:r>
            <w:r>
              <w:rPr>
                <w:rFonts w:ascii="宋体" w:hAnsi="宋体" w:cs="宋体"/>
              </w:rPr>
              <w:t>0.4</w:t>
            </w:r>
            <w:r>
              <w:rPr>
                <w:rFonts w:hint="eastAsia" w:ascii="宋体" w:hAnsi="宋体" w:cs="宋体"/>
              </w:rPr>
              <w:t>分；⑤资产有偿使用及处置收入及时足额上缴计</w:t>
            </w:r>
            <w:r>
              <w:rPr>
                <w:rFonts w:ascii="宋体" w:hAnsi="宋体" w:cs="宋体"/>
              </w:rPr>
              <w:t>0.4</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固定资产</w:t>
            </w:r>
          </w:p>
          <w:p>
            <w:pPr>
              <w:spacing w:line="220" w:lineRule="exact"/>
              <w:jc w:val="center"/>
              <w:rPr>
                <w:rFonts w:ascii="宋体"/>
              </w:rPr>
            </w:pPr>
            <w:r>
              <w:rPr>
                <w:rFonts w:hint="eastAsia" w:ascii="宋体" w:hAnsi="宋体" w:cs="宋体"/>
              </w:rPr>
              <w:t>利用率（</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。利用率为</w:t>
            </w:r>
            <w:r>
              <w:rPr>
                <w:rFonts w:ascii="宋体" w:hAnsi="宋体" w:cs="宋体"/>
              </w:rPr>
              <w:t>100%</w:t>
            </w:r>
            <w:r>
              <w:rPr>
                <w:rFonts w:hint="eastAsia" w:ascii="宋体" w:hAnsi="宋体" w:cs="宋体"/>
              </w:rPr>
              <w:t>的计</w:t>
            </w:r>
            <w:r>
              <w:rPr>
                <w:rFonts w:ascii="宋体" w:hAnsi="宋体" w:cs="宋体"/>
              </w:rPr>
              <w:t>1</w:t>
            </w:r>
            <w:r>
              <w:rPr>
                <w:rFonts w:hint="eastAsia" w:ascii="宋体" w:hAnsi="宋体" w:cs="宋体"/>
              </w:rPr>
              <w:t>分，每降</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职责</w:t>
            </w:r>
            <w:r>
              <w:rPr>
                <w:rFonts w:ascii="宋体"/>
              </w:rPr>
              <w:br w:type="textWrapping"/>
            </w:r>
            <w:r>
              <w:rPr>
                <w:rFonts w:hint="eastAsia" w:ascii="宋体" w:hAnsi="宋体" w:cs="宋体"/>
              </w:rPr>
              <w:t>履行</w:t>
            </w: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实际完成率（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7.5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实际完成率得分</w:t>
            </w:r>
            <w:r>
              <w:rPr>
                <w:rFonts w:ascii="宋体" w:hAnsi="宋体" w:cs="宋体"/>
              </w:rPr>
              <w:t>=</w:t>
            </w:r>
            <w:r>
              <w:rPr>
                <w:rFonts w:hint="eastAsia" w:ascii="宋体" w:hAnsi="宋体" w:cs="宋体"/>
              </w:rPr>
              <w:t>完成市委市政府绩效考核得分或上级主管部门考核指标得分</w:t>
            </w:r>
            <w:r>
              <w:rPr>
                <w:rFonts w:ascii="宋体" w:hAnsi="宋体" w:cs="宋体"/>
              </w:rPr>
              <w:t>/</w:t>
            </w:r>
            <w:r>
              <w:rPr>
                <w:rFonts w:hint="eastAsia" w:ascii="宋体" w:hAnsi="宋体" w:cs="宋体"/>
              </w:rPr>
              <w:t>指标分值</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完成及时率（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4</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部门在规定时限内及时完成的实际工作数与计划工作数的比率</w:t>
            </w:r>
            <w:r>
              <w:rPr>
                <w:rFonts w:ascii="宋体" w:cs="宋体"/>
              </w:rPr>
              <w:t>,</w:t>
            </w:r>
            <w:r>
              <w:rPr>
                <w:rFonts w:hint="eastAsia" w:ascii="宋体" w:hAnsi="宋体" w:cs="宋体"/>
              </w:rPr>
              <w:t>用以反映和考核部门履职时效目标的实现程度。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hAnsi="宋体" w:cs="宋体"/>
              </w:rPr>
              <w:t>1-4</w:t>
            </w:r>
            <w:r>
              <w:rPr>
                <w:rFonts w:hint="eastAsia" w:ascii="宋体" w:hAnsi="宋体" w:cs="宋体"/>
              </w:rPr>
              <w:t>季度各得</w:t>
            </w:r>
            <w:r>
              <w:rPr>
                <w:rFonts w:ascii="宋体" w:hAnsi="宋体" w:cs="宋体"/>
              </w:rPr>
              <w:t>1</w:t>
            </w:r>
            <w:r>
              <w:rPr>
                <w:rFonts w:hint="eastAsia" w:ascii="宋体" w:hAnsi="宋体" w:cs="宋体"/>
              </w:rPr>
              <w:t>分</w:t>
            </w:r>
            <w:r>
              <w:rPr>
                <w:rFonts w:ascii="宋体"/>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质量达标率（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8</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达到质量标准（绩效标准值）的实际工作数与计划工作数的比率</w:t>
            </w:r>
            <w:r>
              <w:rPr>
                <w:rFonts w:ascii="宋体" w:cs="宋体"/>
              </w:rPr>
              <w:t>,</w:t>
            </w:r>
            <w:r>
              <w:rPr>
                <w:rFonts w:hint="eastAsia" w:ascii="宋体" w:hAnsi="宋体" w:cs="宋体"/>
              </w:rPr>
              <w:t>用以反映和考核部门履职质量目标的实现程度。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达标率</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重点工作</w:t>
            </w:r>
          </w:p>
          <w:p>
            <w:pPr>
              <w:spacing w:line="220" w:lineRule="exact"/>
              <w:jc w:val="center"/>
              <w:rPr>
                <w:rFonts w:ascii="宋体"/>
              </w:rPr>
            </w:pPr>
            <w:r>
              <w:rPr>
                <w:rFonts w:hint="eastAsia" w:ascii="宋体" w:hAnsi="宋体" w:cs="宋体"/>
              </w:rPr>
              <w:t>办结率（</w:t>
            </w:r>
            <w:r>
              <w:rPr>
                <w:rFonts w:ascii="宋体" w:hAnsi="宋体" w:cs="宋体"/>
              </w:rPr>
              <w:t>10</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10</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办结率</w:t>
            </w:r>
            <w:r>
              <w:rPr>
                <w:rFonts w:ascii="宋体" w:hAnsi="宋体" w:cs="宋体"/>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履职</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部门履行职责对经济发展所带来的直接或间接影响。</w:t>
            </w:r>
          </w:p>
        </w:tc>
        <w:tc>
          <w:tcPr>
            <w:tcW w:w="4122" w:type="dxa"/>
            <w:vMerge w:val="restart"/>
            <w:tcMar>
              <w:top w:w="10" w:type="dxa"/>
              <w:left w:w="10" w:type="dxa"/>
              <w:bottom w:w="0" w:type="dxa"/>
              <w:right w:w="10" w:type="dxa"/>
            </w:tcMar>
            <w:vAlign w:val="center"/>
          </w:tcPr>
          <w:p>
            <w:pPr>
              <w:spacing w:line="220" w:lineRule="exact"/>
              <w:rPr>
                <w:rFonts w:ascii="宋体"/>
              </w:rPr>
            </w:pPr>
            <w:r>
              <w:rPr>
                <w:rFonts w:hint="eastAsia" w:ascii="宋体" w:hAnsi="宋体" w:cs="宋体"/>
                <w:kern w:val="0"/>
              </w:rPr>
              <w:t>按经济效益实现程度计算得分（</w:t>
            </w:r>
            <w:r>
              <w:rPr>
                <w:rFonts w:ascii="宋体" w:hAnsi="宋体" w:cs="宋体"/>
                <w:kern w:val="0"/>
              </w:rPr>
              <w:t>5</w:t>
            </w:r>
            <w:r>
              <w:rPr>
                <w:rFonts w:hint="eastAsia" w:ascii="宋体" w:hAnsi="宋体" w:cs="宋体"/>
                <w:kern w:val="0"/>
              </w:rPr>
              <w:t>分）；按社会效益实现程度计算得分（</w:t>
            </w:r>
            <w:r>
              <w:rPr>
                <w:rFonts w:ascii="宋体" w:hAnsi="宋体" w:cs="宋体"/>
                <w:kern w:val="0"/>
              </w:rPr>
              <w:t>5</w:t>
            </w:r>
            <w:r>
              <w:rPr>
                <w:rFonts w:hint="eastAsia" w:ascii="宋体" w:hAnsi="宋体" w:cs="宋体"/>
                <w:kern w:val="0"/>
              </w:rPr>
              <w:t>分）；按生态效益实现程度计算得分（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2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部门履行职责对社会发展所带来的直接或间接影响。</w:t>
            </w:r>
          </w:p>
        </w:tc>
        <w:tc>
          <w:tcPr>
            <w:tcW w:w="4122" w:type="dxa"/>
            <w:vMerge w:val="continue"/>
            <w:vAlign w:val="center"/>
          </w:tcPr>
          <w:p>
            <w:pPr>
              <w:spacing w:line="22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2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部门履行职责对生态环境所带来的直接或间接影响。</w:t>
            </w:r>
          </w:p>
        </w:tc>
        <w:tc>
          <w:tcPr>
            <w:tcW w:w="4122" w:type="dxa"/>
            <w:vMerge w:val="continue"/>
            <w:vAlign w:val="center"/>
          </w:tcPr>
          <w:p>
            <w:pPr>
              <w:spacing w:line="22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社会公众</w:t>
            </w:r>
          </w:p>
          <w:p>
            <w:pPr>
              <w:spacing w:line="220" w:lineRule="exact"/>
              <w:jc w:val="center"/>
              <w:rPr>
                <w:rFonts w:ascii="宋体"/>
              </w:rPr>
            </w:pPr>
            <w:r>
              <w:rPr>
                <w:rFonts w:hint="eastAsia" w:ascii="宋体" w:hAnsi="宋体" w:cs="宋体"/>
              </w:rPr>
              <w:t>或服务对</w:t>
            </w:r>
          </w:p>
          <w:p>
            <w:pPr>
              <w:spacing w:line="220" w:lineRule="exact"/>
              <w:jc w:val="center"/>
              <w:rPr>
                <w:rFonts w:ascii="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社会公众或部门的服务对象对部门履职效果的满意程度。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kern w:val="0"/>
              </w:rPr>
              <w:t>按收集到的服务对象的满意率计算得分（</w:t>
            </w:r>
            <w:r>
              <w:rPr>
                <w:rFonts w:ascii="宋体" w:hAnsi="宋体" w:cs="宋体"/>
                <w:kern w:val="0"/>
              </w:rPr>
              <w:t>5</w:t>
            </w:r>
            <w:r>
              <w:rPr>
                <w:rFonts w:hint="eastAsia" w:ascii="宋体" w:hAnsi="宋体" w:cs="宋体"/>
                <w:kern w:val="0"/>
              </w:rPr>
              <w:t>分）</w:t>
            </w:r>
          </w:p>
        </w:tc>
      </w:tr>
    </w:tbl>
    <w:p>
      <w:pPr>
        <w:spacing w:line="600" w:lineRule="exact"/>
        <w:rPr>
          <w:rFonts w:ascii="黑体" w:eastAsia="黑体"/>
        </w:rPr>
      </w:pPr>
    </w:p>
    <w:sectPr>
      <w:footerReference r:id="rId3" w:type="default"/>
      <w:pgSz w:w="12240" w:h="15840"/>
      <w:pgMar w:top="2098" w:right="1474" w:bottom="1985" w:left="1588" w:header="720"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AF7CD1-F61D-476A-8840-C03321306F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333251EA-F9C2-46D6-AEAF-66EB1839993E}"/>
  </w:font>
  <w:font w:name="方正小标宋简体">
    <w:panose1 w:val="02000000000000000000"/>
    <w:charset w:val="86"/>
    <w:family w:val="auto"/>
    <w:pitch w:val="default"/>
    <w:sig w:usb0="00000001" w:usb1="080E0000" w:usb2="00000000" w:usb3="00000000" w:csb0="00040000" w:csb1="00000000"/>
    <w:embedRegular r:id="rId3" w:fontKey="{FFD63CE8-2288-4055-AE37-52D729491E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6488726"/>
      <w:docPartObj>
        <w:docPartGallery w:val="AutoText"/>
      </w:docPartObj>
    </w:sdtPr>
    <w:sdtContent>
      <w:p>
        <w:pPr>
          <w:pStyle w:val="6"/>
          <w:jc w:val="center"/>
        </w:pPr>
        <w:r>
          <w:fldChar w:fldCharType="begin"/>
        </w:r>
        <w:r>
          <w:instrText xml:space="preserve">PAGE   \* MERGEFORMAT</w:instrText>
        </w:r>
        <w:r>
          <w:fldChar w:fldCharType="separate"/>
        </w:r>
        <w:r>
          <w:rPr>
            <w:lang w:val="zh-CN"/>
          </w:rPr>
          <w:t>18</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720"/>
  <w:drawingGridHorizontalSpacing w:val="120"/>
  <w:drawingGridVerticalSpacing w:val="120"/>
  <w:displayHorizontalDrawingGridEvery w:val="0"/>
  <w:doNotUseMarginsForDrawingGridOrigin w:val="1"/>
  <w:drawingGridHorizontalOrigin w:val="1800"/>
  <w:drawingGridVerticalOrigin w:val="1440"/>
  <w:doNotShadeFormData w:val="1"/>
  <w:characterSpacingControl w:val="compressPunctuation"/>
  <w:noLineBreaksAfter w:lang="zh-CN" w:val="([{·‘“〈《「『【〔〖（．［｛￡￥"/>
  <w:noLineBreaksBefore w:lang="zh-CN" w:val="!),.:;?]}¨·ˇˉ―‖’”…∶、。〃々〉》」』】〕〗！＂＇），．：；？］｀｜｝～￠"/>
  <w:compat>
    <w:spaceForUL/>
    <w:balanceSingleByteDoubleByteWidth/>
    <w:ulTrailSpace/>
    <w:doNotExpandShiftReturn/>
    <w:adjustLineHeightInTable/>
    <w:useFELayout/>
    <w:compatSetting w:name="compatibilityMode" w:uri="http://schemas.microsoft.com/office/word" w:val="12"/>
  </w:compat>
  <w:rsids>
    <w:rsidRoot w:val="00485F15"/>
    <w:rsid w:val="00442B36"/>
    <w:rsid w:val="00485F15"/>
    <w:rsid w:val="007270A7"/>
    <w:rsid w:val="009B340C"/>
    <w:rsid w:val="00A01DEE"/>
    <w:rsid w:val="00B80843"/>
    <w:rsid w:val="00BA76F2"/>
    <w:rsid w:val="1858093D"/>
    <w:rsid w:val="354F1C82"/>
    <w:rsid w:val="4C634B9B"/>
    <w:rsid w:val="5DD13BCE"/>
    <w:rsid w:val="647F37A1"/>
    <w:rsid w:val="74A14D06"/>
    <w:rsid w:val="75E971A8"/>
    <w:rsid w:val="770F0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szCs w:val="24"/>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szCs w:val="24"/>
    </w:rPr>
  </w:style>
  <w:style w:type="character" w:styleId="11">
    <w:name w:val="page number"/>
    <w:basedOn w:val="10"/>
    <w:qFormat/>
    <w:uiPriority w:val="99"/>
  </w:style>
  <w:style w:type="character" w:styleId="12">
    <w:name w:val="Hyperlink"/>
    <w:basedOn w:val="10"/>
    <w:uiPriority w:val="0"/>
    <w:rPr>
      <w:color w:val="0000FF" w:themeColor="hyperlink"/>
      <w:u w:val="single"/>
    </w:rPr>
  </w:style>
  <w:style w:type="paragraph" w:styleId="13">
    <w:name w:val="List Paragraph"/>
    <w:basedOn w:val="1"/>
    <w:qFormat/>
    <w:uiPriority w:val="0"/>
    <w:pPr>
      <w:ind w:firstLine="200" w:firstLineChars="200"/>
    </w:pPr>
  </w:style>
  <w:style w:type="character" w:customStyle="1" w:styleId="14">
    <w:name w:val="页脚 Char"/>
    <w:basedOn w:val="10"/>
    <w:link w:val="6"/>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2980</Words>
  <Characters>16991</Characters>
  <Lines>141</Lines>
  <Paragraphs>39</Paragraphs>
  <TotalTime>17</TotalTime>
  <ScaleCrop>false</ScaleCrop>
  <LinksUpToDate>false</LinksUpToDate>
  <CharactersWithSpaces>19932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2021-10-26T06:10:00Z</dcterms:created>
  <dc:creator>Administrator</dc:creator>
  <cp:lastModifiedBy>丫丫</cp:lastModifiedBy>
  <dcterms:modified xsi:type="dcterms:W3CDTF">2024-08-12T03:21:41Z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ADCD2D0E55044D74840E7687F17F206D</vt:lpwstr>
  </property>
</Properties>
</file>