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44"/>
          <w:szCs w:val="44"/>
          <w:highlight w:val="none"/>
          <w:lang w:val="en-US" w:eastAsia="zh-CN"/>
        </w:rPr>
        <w:t>赫山区红十字会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44"/>
          <w:szCs w:val="44"/>
          <w:highlight w:val="none"/>
        </w:rPr>
        <w:t>年度部门整体支出绩效评价报告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根据上级文件精神，我会从预算配置、预算执行、预算管理、职责履行、履职效益等五方面入手，对照《部门整体支出绩效评价指标表》，认真负责、客观公正地开展2023年度部门整体支出绩效自评工作，现将相关情况报告如下：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基本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highlight w:val="none"/>
        </w:rPr>
        <w:t>（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highlight w:val="none"/>
        </w:rPr>
        <w:t>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24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</w:rPr>
        <w:t>赫山区红十字会为区人民政府主管的全额拨款参公事业单位，</w:t>
      </w:r>
      <w:r>
        <w:rPr>
          <w:rFonts w:hint="eastAsia" w:ascii="仿宋" w:hAnsi="仿宋" w:eastAsia="仿宋"/>
          <w:color w:val="000000" w:themeColor="text1"/>
          <w:sz w:val="32"/>
          <w:szCs w:val="24"/>
          <w:highlight w:val="none"/>
          <w:lang w:val="zh-CN" w:eastAsia="zh-CN"/>
        </w:rPr>
        <w:t>益阳市赫山区红十字会内设对外联络股、组宣筹资股、赈济救护股三个业务股室。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楷体" w:hAnsi="华文楷体" w:eastAsia="华文楷体" w:cs="华文楷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（二）人员编制情况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赫山区红十字会编制数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仿宋_GB2312"/>
          <w:sz w:val="32"/>
          <w:szCs w:val="32"/>
          <w:highlight w:val="none"/>
        </w:rPr>
        <w:t>人，实际在职数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eastAsia="仿宋_GB2312"/>
          <w:sz w:val="32"/>
          <w:szCs w:val="32"/>
          <w:highlight w:val="none"/>
        </w:rPr>
        <w:t>人，退休人员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/>
          <w:sz w:val="32"/>
          <w:szCs w:val="32"/>
          <w:highlight w:val="none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二、一般公共预算支出情况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年一般公共预算财政拨款收入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177.13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万元，具体安排情况如下：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基本支出：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年年初预算数为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177.13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万元，主要用于基本工资、津贴补贴等人员经费以及办公费、印刷费、水电费、办公设备购置等日常公用经费。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三、政府性基金预算支出情况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年本单位无政府性基金预算支出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四、国有资本经营预算支出情况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年本单位无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国有资本经营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预算支出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五、社会保险基金预算支出情况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宋体" w:eastAsia="仿宋" w:cs="宋体"/>
          <w:color w:val="FF0000"/>
          <w:kern w:val="0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年本单位无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社会保险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经营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预算支出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六、部门整体支出绩效情况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楷体" w:hAnsi="华文楷体" w:eastAsia="华文楷体" w:cs="华文楷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（一）预算绩效目标情况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红十字会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整体支出绩效目标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197.09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万元，其中：基本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支出171.09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万元，项目支出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万元。全部实行整体绩效目标管理，涉及一般公共预算当年拨款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177.13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项目支出2023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年年初预算数为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。其中：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无偿献血，造血干细胞，遗体与组织器官捐献3万元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救护培训8万元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人道救助，红十字青少年与志愿服务活动9万元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备灾救灾2万元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红十字会宣传2万元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党建经费2万元。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主要用于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单位为完成特定行政工作任务或事业发展目标而发生的支出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赫山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红十字会无重点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项目支出。</w:t>
      </w:r>
    </w:p>
    <w:p>
      <w:pPr>
        <w:pStyle w:val="2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华文楷体" w:hAnsi="华文楷体" w:eastAsia="华文楷体" w:cs="华文楷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（二）部门整体支出绩效目标完成情况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预决算公开：根据区财政局的统一部署及相关要求，我会已在赫山区人民政府网站上进行了预（决）算公开。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存量资金管理：我会已实行国库集中支付管理。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资产管理：制定了《赫山区红十字会固定资产管理制度》，建立了固定资产台帐，指定专人管理，及时登记，科学使用，实现了“一物一卡一条码”。固定资产的调出、处置、报废、报损严格执行国家有关规定的审批程序办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“三公”经费控制：2023年，我会“三公”经费支出0万元，其中：无公务用车运行维护费，公务接待费0万元，无出国出境费。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内部控制制度建设：我会制定了《赫山区红十字会机关管理制度》、《财务管理制度》、《赫山区红十字会政府采购制度》、《赫山区红十字会资产管理制度》等一系列内部控制制度，相关制度合法合规、完整，并得到有效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绩效目标完成情况：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进一步完善救灾备灾机制，充实救灾物资和救援队伍，加强基础设施建设，提高应急保障能力。加强与公安、交通等部门配合，强化培训演练，提升应急救援专业化水平。宣传普及健康和救护知识，推进红十字应急救护培训“五进”工程，不断提高广大群众特别是提高高危行业人群的自救互救能力。逐步实现红十字救护知识普及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培训参训人数达到全区人口总数的20%以上，重点行业人员接受救护培训率达50%，中小学生救护知识普及率逐年提高。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楷体" w:hAnsi="华文楷体" w:eastAsia="华文楷体" w:cs="华文楷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（三）部门整体支出实施情况分析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我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会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在部门整体支出中，严格按照年初预算安排，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坚持“无预算，不支出；有预算，严格按预算支出”的原则，以及“细化预算和提前编制预算”原则，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严格遵守资金管理制度，强化监督，专款专用，确保各项资金及时到位，无截留、挪用等现象。健全和完善管理制度，加强基本支出管理。严格审批程序，严格执行国家规定的开支范围及开支标准，量入为出，坚持联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审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会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签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制度。严格报账程序，实行国库集中支付制度，严格完善相关资料手续、审核审批程序，保证了各项资金使用的合理合规，充分发挥了各项资金的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使用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效益。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楷体" w:hAnsi="华文楷体" w:eastAsia="华文楷体" w:cs="华文楷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（四）绩效评价工作情况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highlight w:val="none"/>
        </w:rPr>
        <w:t>绩效评价目的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本次绩效评价的目的是为了全面分析和综合评价我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会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本级财政预算资金的使用管理情况，为切实提高财政资金使用效益，强化预算支出的责任和效率提供参考依据。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highlight w:val="none"/>
        </w:rPr>
        <w:t>绩效评价工作过程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前期准备。按照绩效自评工作要求，成立以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eastAsia="zh-CN"/>
        </w:rPr>
        <w:t>党组书记、常务副会长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为组长的绩效评价工作小组，对相关的国家法律法规进行了认真学习，掌握政策，根据部门整体收支情况制定了部门整体支出绩效评价实施方案。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组织实施。采用核查法核查20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年同级财政预算批复执行及部门整体支出情况，着重核查了“三公”经费及资产管理、内部控制制度等情况。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分析评价。对评价过程中收集资料进行归纳，汇总分析，依据设定的部门整体支出绩效评价指标体系进行了评分，形成了综合性书面报告。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楷体" w:hAnsi="华文楷体" w:eastAsia="华文楷体" w:cs="华文楷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 xml:space="preserve"> （五）主要绩效及评价结论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</w:rPr>
        <w:t>经济性分析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本年预算配置控制较好。财政供养人员控制在预算编制以内，编制内在职人员控制率为100%；“三公”经费支出总额小，低于年初预算。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预算执行方面。支出总额控制在预算总额以内，所有支出严格依照相关财务管理规定执行，特别重视量财办事、量力而行，严格控制标准、注重节约，少花钱办好事，各项支出都在合理范围内。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预算管理方面。我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会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制定了切实有效的内部管理制度和经费支出控制方案，有较强的内控风险管理意识、各项经费支出得到了有效控制。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2.效率性分析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2023年，我会贯彻中央、省、市及区委区政府的决策部署，广泛动员凝聚人道力量，努力开创赫山红十字事业高质量发展新局面，为建设现代化新赫山努力奋斗。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3.效益性分析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，我会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时刻牢记使命，紧扣主责主业，调动积极因素，凝聚各方力量，充分履行《红十字会法》赋予的光荣职责，落实各项工作任务。开展形式多样的红十字精神宣传普及活动，做好人体器官捐献宣传动员协调、造血干细胞采集推动工作、无偿献血宣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动员全社会关爱生命，重视健康，践行人道。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</w:rPr>
        <w:t>评价结论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一是预算执行到位。严格执行《预算法》和各项财经纪律，机关管理制度健全，财务管理规范，预算编制合理;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二是资金监管到位。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七、存在的问题及原因分析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因部分工作不可预见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性，有些支出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无法纳入预算，导致预算执行存在偏差。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下一步改进措施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提高认识，突出重点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1．提高对预算绩效管理的认识，充分理解财政绩效评价指标体系，注重绩效目标、评价指标的关联性，依据部门职责和年度工作重点，更加科学合理地确定部门绩效目标和评价目标。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2．强化全过程预算绩效管理理念，强化部门项目选择与部门职责的相关性。按财政管理要求进一步建立完善项目库和内部项目选择机制，完善项目管理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制度，实施项目强化领导，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合理设定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绩效目标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强化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管理措施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科学编制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预算,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认真组织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绩效考评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（二）强化管理，规范行为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1．强化部门预算约束，细化预算编制，严格预算执行，合理制定项目方案和计划，减少预算执行中的项目预算调整和结余，平衡好预算执行进度，提高财政资金使用效率和效益。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2．加强预算项目事前、事中、事后管控，做到事前有评估、事中有监控、事后有评价，并且按预期绩效目标完成程度考核项目实施效果。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华文楷体" w:hAnsi="华文楷体" w:eastAsia="华文楷体" w:cs="华文楷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（三）科学考核，注重实效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1．建立科学合理的项目预算效果考核机制，依据预设的绩效数量、质量指标全面衡量预算实施效果，既重“绩”，更重“效”。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2．注重服务对象满意度调查工作，根据部门职责明确服务对象、确定调查范围，采取适当方式全面收集服务对象满意度资料，反映部门服务效果。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3．注重考核的全面性和客观性，对预设指标之外的项目效果同样纳入考核评价报告。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>总之，部门整体绩效考评是一项系统性、全局性的工作，需要领导重视，全员参与，科学考核，注重实效。只有这样，才能不断增强绩效考评的客观性和科学性，切实促进财政资金科学管理和实际绩效水平不断提高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  <w:t>科学合理编制预算，严格执行预算。要按照《预算法》及其实施条例的相关规定，参考上一年的预算执行情况和年度的收支预测、部门重点工作等科学编制预算，避免年中大幅追加以及超预算。同时严格预算执行，提高资金使用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               益阳市赫山区红十字会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eastAsia="仿宋_GB2312"/>
          <w:sz w:val="32"/>
          <w:highlight w:val="none"/>
          <w:lang w:val="en-US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                    2024年9月2日</w:t>
      </w:r>
    </w:p>
    <w:p>
      <w:pPr>
        <w:jc w:val="left"/>
        <w:rPr>
          <w:rFonts w:cs="黑体" w:asciiTheme="minorEastAsia" w:hAnsiTheme="minorEastAsia"/>
          <w:color w:val="000000"/>
          <w:kern w:val="0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5C7ED0-075E-4513-A4AC-5834888A4E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8EE21C-0983-4A6E-8273-56F19279BA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B7F1E5F-EA81-4E29-A570-85FA21D253A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F06061A-5CAD-450B-A760-C3E22BCE0BD4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9E0AE9D-8712-410C-9FC3-1CEFB07F793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36C891"/>
    <w:multiLevelType w:val="singleLevel"/>
    <w:tmpl w:val="E336C89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E49903"/>
    <w:multiLevelType w:val="singleLevel"/>
    <w:tmpl w:val="FFE4990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2EBEE90"/>
    <w:multiLevelType w:val="singleLevel"/>
    <w:tmpl w:val="62EBEE9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3F682E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56FBD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13EE53CE"/>
    <w:rsid w:val="1D97DEFF"/>
    <w:rsid w:val="1DFF72E5"/>
    <w:rsid w:val="1EFC6F07"/>
    <w:rsid w:val="29AE3D01"/>
    <w:rsid w:val="2FDF85B8"/>
    <w:rsid w:val="2FFFEE04"/>
    <w:rsid w:val="34DF85B0"/>
    <w:rsid w:val="3B8F36BC"/>
    <w:rsid w:val="491FF225"/>
    <w:rsid w:val="4FFD214C"/>
    <w:rsid w:val="5777D4F5"/>
    <w:rsid w:val="59DD8326"/>
    <w:rsid w:val="5DEF592A"/>
    <w:rsid w:val="5FC6BB1E"/>
    <w:rsid w:val="5FF720F1"/>
    <w:rsid w:val="67FF5C0B"/>
    <w:rsid w:val="6EFC0924"/>
    <w:rsid w:val="6FB74722"/>
    <w:rsid w:val="6FEF8B7E"/>
    <w:rsid w:val="71A6591B"/>
    <w:rsid w:val="737D59BA"/>
    <w:rsid w:val="77C37683"/>
    <w:rsid w:val="79FF515B"/>
    <w:rsid w:val="7DDE448F"/>
    <w:rsid w:val="7E9E1962"/>
    <w:rsid w:val="7E9F11B4"/>
    <w:rsid w:val="7F37EC1E"/>
    <w:rsid w:val="7F7DCD9D"/>
    <w:rsid w:val="7F970A6F"/>
    <w:rsid w:val="7FC1FFF3"/>
    <w:rsid w:val="7FC69637"/>
    <w:rsid w:val="7FDF8620"/>
    <w:rsid w:val="7FE489D8"/>
    <w:rsid w:val="7FEF28DC"/>
    <w:rsid w:val="7FF8FA13"/>
    <w:rsid w:val="7FFB242F"/>
    <w:rsid w:val="7FFDB408"/>
    <w:rsid w:val="7FFE4EEB"/>
    <w:rsid w:val="95FB2B98"/>
    <w:rsid w:val="9A639BC2"/>
    <w:rsid w:val="9FF7D786"/>
    <w:rsid w:val="9FFEFEE7"/>
    <w:rsid w:val="ABBFB23D"/>
    <w:rsid w:val="AFDF9D9F"/>
    <w:rsid w:val="C3B4DA5A"/>
    <w:rsid w:val="CBFF70E0"/>
    <w:rsid w:val="CFF50B82"/>
    <w:rsid w:val="CFFFAD89"/>
    <w:rsid w:val="DE56C1D3"/>
    <w:rsid w:val="DFFA7565"/>
    <w:rsid w:val="DFFE359E"/>
    <w:rsid w:val="DFFE4FFD"/>
    <w:rsid w:val="EEABED75"/>
    <w:rsid w:val="EEFF7E8D"/>
    <w:rsid w:val="F3FE5596"/>
    <w:rsid w:val="F56FDF51"/>
    <w:rsid w:val="F6B69F17"/>
    <w:rsid w:val="F77F1D61"/>
    <w:rsid w:val="F7FED3A9"/>
    <w:rsid w:val="F8C9DB26"/>
    <w:rsid w:val="F91F722A"/>
    <w:rsid w:val="F97E8EAE"/>
    <w:rsid w:val="FB36E1A6"/>
    <w:rsid w:val="FB3BE134"/>
    <w:rsid w:val="FCFF4275"/>
    <w:rsid w:val="FD7FEEEA"/>
    <w:rsid w:val="FDFFB577"/>
    <w:rsid w:val="FEEA50FE"/>
    <w:rsid w:val="FF7C6CCE"/>
    <w:rsid w:val="FF7D47A9"/>
    <w:rsid w:val="FFCF21CB"/>
    <w:rsid w:val="FFF97725"/>
    <w:rsid w:val="FFFC62FC"/>
    <w:rsid w:val="FFFF1C8B"/>
    <w:rsid w:val="FFFF3B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hint="eastAsia"/>
      <w:sz w:val="21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next w:val="4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26</Pages>
  <Words>1308</Words>
  <Characters>7457</Characters>
  <Lines>62</Lines>
  <Paragraphs>17</Paragraphs>
  <TotalTime>2</TotalTime>
  <ScaleCrop>false</ScaleCrop>
  <LinksUpToDate>false</LinksUpToDate>
  <CharactersWithSpaces>8748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2020-07-10T18:32:00Z</dcterms:created>
  <dc:creator>李航 null</dc:creator>
  <cp:lastModifiedBy>丫丫</cp:lastModifiedBy>
  <cp:lastPrinted>2024-08-11T02:20:00Z</cp:lastPrinted>
  <dcterms:modified xsi:type="dcterms:W3CDTF">2024-09-04T02:17:03Z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C569962564854F8E8F275BA98E87A4BB</vt:lpwstr>
  </property>
</Properties>
</file>