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bookmarkStart w:id="1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赫山区计生协会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2023年度整体支出绩效自评报告</w:t>
      </w:r>
    </w:p>
    <w:bookmarkEnd w:id="1"/>
    <w:p>
      <w:pPr>
        <w:pStyle w:val="9"/>
        <w:widowControl/>
        <w:spacing w:line="33" w:lineRule="atLeast"/>
        <w:ind w:right="180"/>
        <w:rPr>
          <w:rFonts w:ascii="仿宋" w:hAnsi="仿宋" w:eastAsia="仿宋" w:cs="仿宋"/>
          <w:color w:val="212121"/>
          <w:sz w:val="32"/>
          <w:szCs w:val="32"/>
        </w:rPr>
      </w:pPr>
      <w:r>
        <w:rPr>
          <w:rFonts w:hint="eastAsia" w:ascii="仿宋" w:hAnsi="仿宋" w:eastAsia="仿宋" w:cs="仿宋"/>
          <w:color w:val="212121"/>
          <w:sz w:val="32"/>
          <w:szCs w:val="32"/>
        </w:rPr>
        <w:t xml:space="preserve">    </w:t>
      </w:r>
    </w:p>
    <w:p>
      <w:pPr>
        <w:pStyle w:val="9"/>
        <w:widowControl/>
        <w:spacing w:line="580" w:lineRule="exact"/>
        <w:ind w:right="18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212121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为确实做好2023年度预算绩效自评价工作，提高财政资金使用效益，结合实际，现将协会整体支出绩效自评结果报告如下：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21212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color w:val="212121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/>
          <w:bCs/>
          <w:color w:val="212121"/>
          <w:sz w:val="32"/>
          <w:szCs w:val="32"/>
        </w:rPr>
        <w:t>一、基本情况</w:t>
      </w: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部门职责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1.组织发动会员在控制人口数量、提高人口素质、改善人口结构、稳定低生育水平中起带头作用；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2.向群众宣传人口科学理论、宣传国家的计划生育方针、政策和法律、法规，传播计划生育和生殖健康等科学技术知识；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3.协调社会力量，向群众提供生产、生活、生育服务，发展人口福利事业，帮助群众解决实行计划生育的实际困难和后顾之忧；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4.履行民主参与民主监督职能，反映群众的意愿与要求，维护群众的合法权益；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5.交流工作经验，进行交流与合作。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b/>
          <w:bCs/>
          <w:color w:val="21212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212121"/>
          <w:sz w:val="32"/>
          <w:szCs w:val="32"/>
        </w:rPr>
        <w:t>部门整体收支概况：</w:t>
      </w:r>
    </w:p>
    <w:p>
      <w:pPr>
        <w:snapToGrid w:val="0"/>
        <w:spacing w:line="520" w:lineRule="exact"/>
        <w:ind w:firstLine="645"/>
        <w:rPr>
          <w:rFonts w:ascii="宋体" w:hAnsi="宋体"/>
          <w:sz w:val="28"/>
          <w:szCs w:val="28"/>
        </w:rPr>
      </w:pPr>
      <w:bookmarkStart w:id="0" w:name="YS060102"/>
      <w:r>
        <w:rPr>
          <w:rFonts w:hint="eastAsia" w:ascii="宋体" w:hAnsi="宋体"/>
          <w:sz w:val="28"/>
          <w:szCs w:val="28"/>
        </w:rPr>
        <w:t>2023年部门决算1707838.37元，2023年支出1707838.37元。</w:t>
      </w:r>
      <w:bookmarkEnd w:id="0"/>
    </w:p>
    <w:p>
      <w:pPr>
        <w:spacing w:line="58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（1）人员经费460335.79元，其中：基本工资211191.8元，津贴补贴0元，奖金11478元,伙食补助费27730元,绩效工资7920元,养老保险缴费60081.12元,职业年金缴费11167.52元,职工医疗保险缴费52453.14，公务员医疗补助缴费8184元，其他社会保障缴费0元,住房公积金70130.21元。</w:t>
      </w:r>
    </w:p>
    <w:p>
      <w:pPr>
        <w:spacing w:line="58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（2）日常公用经费577212.08元，其中：办公费375770.06元，印刷费6480元，电费5262元，会议费1581元，培训费1680元，专用材料费58178.02元，劳务费6000元，工会经费16648元，其他交通费19600元，其他商品和服务支出86013元。</w:t>
      </w:r>
    </w:p>
    <w:p>
      <w:pPr>
        <w:spacing w:line="58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（3）对个人和家庭的补助670290.5元，其中：退休费12230.5元，生活补助7200元，救济费9000元，医疗费补助387000元，代缴社会保险费247650元，其他对个人和家庭的补助7210元。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2、年终无结余。</w:t>
      </w:r>
    </w:p>
    <w:p>
      <w:pPr>
        <w:pStyle w:val="9"/>
        <w:widowControl/>
        <w:spacing w:line="580" w:lineRule="exact"/>
        <w:ind w:right="18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二、单位整体支出资金使用情况</w:t>
      </w:r>
    </w:p>
    <w:p>
      <w:pPr>
        <w:ind w:firstLine="555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2023年总支出</w:t>
      </w:r>
      <w:r>
        <w:rPr>
          <w:rFonts w:hint="eastAsia" w:ascii="宋体" w:hAnsi="宋体"/>
          <w:sz w:val="28"/>
          <w:szCs w:val="28"/>
        </w:rPr>
        <w:t>1707838.37</w:t>
      </w:r>
      <w:r>
        <w:rPr>
          <w:rFonts w:hint="eastAsia" w:ascii="仿宋" w:hAnsi="仿宋" w:eastAsia="仿宋" w:cs="仿宋"/>
          <w:sz w:val="32"/>
          <w:szCs w:val="32"/>
        </w:rPr>
        <w:t>元，主要包括人员工资、离退休费和医疗保险、住房公积金和日常公用经费等。2023年我局严格按照财经制度认真贯彻落实厉行节约，严控“三公”经费、降低一般运行经费、加强日常支出管理等方面取得了一定的成绩。实行了“三公”经费预算和公示制度，有效地控制了“三公”经费支出。实际支出没有超出预算规模、范围和标准。</w:t>
      </w:r>
      <w:r>
        <w:rPr>
          <w:rFonts w:hint="eastAsia" w:asciiTheme="majorEastAsia" w:hAnsiTheme="majorEastAsia" w:eastAsiaTheme="majorEastAsia"/>
          <w:sz w:val="28"/>
          <w:szCs w:val="28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三、绩效评价工作情况</w:t>
      </w:r>
    </w:p>
    <w:p>
      <w:pPr>
        <w:pStyle w:val="9"/>
        <w:widowControl/>
        <w:spacing w:line="580" w:lineRule="exact"/>
        <w:ind w:right="180" w:firstLine="56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严格落实《预算法》及省、市、区绩效管理工作的有关规定，进一步规范财政资金的管理，强化财政支出绩效理念，提升部门责任意识，提高资金使用效益，促进计生协会事业的发展。</w:t>
      </w:r>
    </w:p>
    <w:p>
      <w:pPr>
        <w:pStyle w:val="9"/>
        <w:widowControl/>
        <w:spacing w:line="580" w:lineRule="exact"/>
        <w:ind w:right="180" w:firstLine="56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主要绩效及评价结论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绩效评价的要求，我们成立了自评工作领导小组，对照自评方案进行研究和布署，会领导、各股室全程参与，按照自评方案的要求，对照各实施项目的内容逐条逐项自评。在自评过程发现问题，查找原因，及时纠正偏差，为下一步工作夯实基础。</w:t>
      </w:r>
    </w:p>
    <w:p>
      <w:pPr>
        <w:pStyle w:val="9"/>
        <w:spacing w:line="600" w:lineRule="exact"/>
        <w:ind w:firstLine="640" w:firstLineChars="200"/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今年5月23日，我区在兰溪镇北岸新村成功举办了以“弘扬婚育新风 促进家庭健康”为主题的“5.29”宣传服务活动，省计生协副会长梁文明、市政府副市长罗晓皓、市卫生健康委主任夏大，赫山区委书记周卫星等相关领导出席会议。其他市、区县（市）卫生健康部门主要负责人和计生协常务副会长，计生协理事、会员、志愿者、当地群众共300余人参加宣传服务活动。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活动现场设立了咨询台和展板专区，以图文并茂的形式展现婚育新风、计生惠民、三孩生育政策等内容。志愿者们向群众发放宣传资料，宣传普及新型婚育文化、优生优育、健康保健等知识，倡导科学、文明、进步的婚育观念和生活理念。会员日期间，全区</w:t>
      </w:r>
      <w:r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共开展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“5.29会员日”宣传服务活动</w:t>
      </w:r>
      <w:r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8场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/>
          <w:sz w:val="32"/>
          <w:shd w:val="clear" w:color="auto" w:fill="FFFFFF"/>
        </w:rPr>
        <w:t>发放各类宣传资料20000余份，免费药具5000余盒，提供测血压、血糖、血脂等免费义诊服务3000余人，惠及群众达到20000余人。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全区各级计生协组织</w:t>
      </w:r>
      <w:r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走访慰问了计生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困难</w:t>
      </w:r>
      <w:r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家庭及三留守人员共120户，发放了慰问资金物资 7万余元。</w:t>
      </w:r>
    </w:p>
    <w:p>
      <w:pPr>
        <w:pStyle w:val="7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在宣传引导上下功夫，充分利用计生协独有的宣传网络体系，不断加大宣传力度，培育新型婚育文化，营造生育友好的社会氛围，倡导尊重生育的社会价值，向广大群众传播积极健康的婚育观念。</w:t>
      </w:r>
    </w:p>
    <w:p>
      <w:pPr>
        <w:pStyle w:val="7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在完善生育服务上下功夫，广泛开展生殖健康咨询服务，积极联合卫健、妇幼等单位向广大育龄群众普及科学正确的生育保健知识，做好优生优育指导工作。</w:t>
      </w:r>
    </w:p>
    <w:p>
      <w:pPr>
        <w:pStyle w:val="7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在加强生育支持上下功夫，实施积极的生育支持措施，建立健全“三孩政策”落实落地生育支持机制，参与共建婴幼儿照护服务体系，降低婴幼儿养育成本。</w:t>
      </w:r>
    </w:p>
    <w:p>
      <w:pPr>
        <w:pStyle w:val="7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在维护计生家庭合法权益上下功夫，协助做好政策调整有序衔接，维护计生家庭合法权益，大力推进暖心行动，建立健全计生特殊家庭帮扶保障机制，全方位帮扶关爱计生特殊家庭。</w:t>
      </w:r>
    </w:p>
    <w:p>
      <w:pPr>
        <w:spacing w:line="580" w:lineRule="exact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 xml:space="preserve"> 五、工作建议</w:t>
      </w:r>
    </w:p>
    <w:p>
      <w:pPr>
        <w:widowControl/>
        <w:ind w:firstLine="64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color w:val="01010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1、资金使用效益有待进一步提高；</w:t>
      </w:r>
    </w:p>
    <w:p>
      <w:pPr>
        <w:widowControl/>
        <w:ind w:firstLine="64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2、绩效目标设立不够明确、细化和量化；</w:t>
      </w:r>
    </w:p>
    <w:p>
      <w:pPr>
        <w:widowControl/>
        <w:ind w:firstLine="64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3、计生专项经费不足，相关专项活动无法全面开展，需要增加资金来源。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六、有关建议</w:t>
      </w:r>
    </w:p>
    <w:p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区财政资金拨付环节适当简化，资金拨付手续太繁琐，建议在财政资金管理上进一步改进和提高。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七、其他需要说明的问题：无</w:t>
      </w:r>
    </w:p>
    <w:p>
      <w:pPr>
        <w:pStyle w:val="14"/>
        <w:jc w:val="center"/>
        <w:rPr>
          <w:sz w:val="72"/>
          <w:szCs w:val="72"/>
        </w:rPr>
      </w:pPr>
    </w:p>
    <w:p>
      <w:pPr>
        <w:pStyle w:val="14"/>
        <w:jc w:val="center"/>
        <w:rPr>
          <w:sz w:val="72"/>
          <w:szCs w:val="72"/>
        </w:rPr>
      </w:pPr>
    </w:p>
    <w:p>
      <w:pPr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MzQ1NDJjODQzYTEwN2JiMWZkMjQxMjQ1Yzc3ZDIifQ=="/>
  </w:docVars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9276B"/>
    <w:rsid w:val="003C47E6"/>
    <w:rsid w:val="003C4FC2"/>
    <w:rsid w:val="003F682E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56FBD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F5044D6"/>
    <w:rsid w:val="1D97DEFF"/>
    <w:rsid w:val="1DFF72E5"/>
    <w:rsid w:val="1EFC6F07"/>
    <w:rsid w:val="2E34177B"/>
    <w:rsid w:val="2FDF85B8"/>
    <w:rsid w:val="2FFFEE04"/>
    <w:rsid w:val="34DF85B0"/>
    <w:rsid w:val="353A58B1"/>
    <w:rsid w:val="37DA5F5D"/>
    <w:rsid w:val="3B8F36BC"/>
    <w:rsid w:val="491FF225"/>
    <w:rsid w:val="4B3C77C1"/>
    <w:rsid w:val="4FFD214C"/>
    <w:rsid w:val="50722F70"/>
    <w:rsid w:val="56520D9D"/>
    <w:rsid w:val="5690437C"/>
    <w:rsid w:val="5777D4F5"/>
    <w:rsid w:val="59DD8326"/>
    <w:rsid w:val="5DEF592A"/>
    <w:rsid w:val="5FB4164E"/>
    <w:rsid w:val="5FC6BB1E"/>
    <w:rsid w:val="5FF720F1"/>
    <w:rsid w:val="67FF5C0B"/>
    <w:rsid w:val="68556DB7"/>
    <w:rsid w:val="6EFC0924"/>
    <w:rsid w:val="6FB74722"/>
    <w:rsid w:val="6FEF8B7E"/>
    <w:rsid w:val="71A6591B"/>
    <w:rsid w:val="737D59BA"/>
    <w:rsid w:val="77C37683"/>
    <w:rsid w:val="79FF515B"/>
    <w:rsid w:val="7E9E1962"/>
    <w:rsid w:val="7E9F11B4"/>
    <w:rsid w:val="7F37EC1E"/>
    <w:rsid w:val="7F7DCD9D"/>
    <w:rsid w:val="7F970A6F"/>
    <w:rsid w:val="7FC1FFF3"/>
    <w:rsid w:val="7FC69637"/>
    <w:rsid w:val="7FDF8620"/>
    <w:rsid w:val="7FFB242F"/>
    <w:rsid w:val="7FFDB408"/>
    <w:rsid w:val="7FFE4EEB"/>
    <w:rsid w:val="95FB2B98"/>
    <w:rsid w:val="9A639BC2"/>
    <w:rsid w:val="9FF7D786"/>
    <w:rsid w:val="ABBFB23D"/>
    <w:rsid w:val="C3B4DA5A"/>
    <w:rsid w:val="CBFF70E0"/>
    <w:rsid w:val="CFF50B82"/>
    <w:rsid w:val="CFFFAD89"/>
    <w:rsid w:val="DFFE359E"/>
    <w:rsid w:val="DFFE4FFD"/>
    <w:rsid w:val="EEABED75"/>
    <w:rsid w:val="F56FDF51"/>
    <w:rsid w:val="F6B69F17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F1C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cs="Arial" w:eastAsiaTheme="minorEastAsia"/>
      <w:snapToGrid w:val="0"/>
      <w:color w:val="000000"/>
      <w:kern w:val="0"/>
    </w:rPr>
  </w:style>
  <w:style w:type="paragraph" w:styleId="8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character" w:customStyle="1" w:styleId="12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5"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17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29</Pages>
  <Words>9099</Words>
  <Characters>10598</Characters>
  <Lines>62</Lines>
  <Paragraphs>17</Paragraphs>
  <TotalTime>6</TotalTime>
  <ScaleCrop>false</ScaleCrop>
  <LinksUpToDate>false</LinksUpToDate>
  <CharactersWithSpaces>11100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2020-07-08T02:32:00Z</dcterms:created>
  <dc:creator>李航 null</dc:creator>
  <cp:lastModifiedBy>丫丫</cp:lastModifiedBy>
  <cp:lastPrinted>2024-08-08T10:20:00Z</cp:lastPrinted>
  <dcterms:modified xsi:type="dcterms:W3CDTF">2024-09-04T02:29:16Z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028F95B58B2241ECB0C07A37AA8F2310</vt:lpwstr>
  </property>
</Properties>
</file>