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auto"/>
        <w:outlineLvl w:val="2"/>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rPr>
        <w:t>20</w:t>
      </w:r>
      <w:r>
        <w:rPr>
          <w:rFonts w:hint="eastAsia" w:ascii="方正小标宋简体" w:hAnsi="方正小标宋简体" w:eastAsia="方正小标宋简体" w:cs="方正小标宋简体"/>
          <w:color w:val="000000"/>
          <w:kern w:val="0"/>
          <w:sz w:val="44"/>
          <w:szCs w:val="44"/>
          <w:lang w:val="en-US" w:eastAsia="zh-CN"/>
        </w:rPr>
        <w:t>23</w:t>
      </w:r>
      <w:r>
        <w:rPr>
          <w:rFonts w:hint="eastAsia" w:ascii="方正小标宋简体" w:hAnsi="方正小标宋简体" w:eastAsia="方正小标宋简体" w:cs="方正小标宋简体"/>
          <w:color w:val="000000"/>
          <w:kern w:val="0"/>
          <w:sz w:val="44"/>
          <w:szCs w:val="44"/>
        </w:rPr>
        <w:t>年度</w:t>
      </w:r>
      <w:r>
        <w:rPr>
          <w:rFonts w:hint="eastAsia" w:ascii="方正小标宋简体" w:hAnsi="方正小标宋简体" w:eastAsia="方正小标宋简体" w:cs="方正小标宋简体"/>
          <w:color w:val="000000"/>
          <w:kern w:val="0"/>
          <w:sz w:val="44"/>
          <w:szCs w:val="44"/>
          <w:lang w:val="en-US" w:eastAsia="zh-CN"/>
        </w:rPr>
        <w:t>益阳市赫山区总工会</w:t>
      </w:r>
    </w:p>
    <w:p>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auto"/>
        <w:outlineLvl w:val="2"/>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rPr>
        <w:t>部门</w:t>
      </w:r>
      <w:r>
        <w:rPr>
          <w:rFonts w:hint="eastAsia" w:ascii="方正小标宋简体" w:hAnsi="方正小标宋简体" w:eastAsia="方正小标宋简体" w:cs="方正小标宋简体"/>
          <w:color w:val="000000"/>
          <w:kern w:val="0"/>
          <w:sz w:val="44"/>
          <w:szCs w:val="44"/>
        </w:rPr>
        <w:t>整体支出绩效评价报告</w:t>
      </w:r>
    </w:p>
    <w:p>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auto"/>
        <w:outlineLvl w:val="2"/>
        <w:rPr>
          <w:rFonts w:hint="eastAsia" w:ascii="方正小标宋简体" w:hAnsi="方正小标宋简体" w:eastAsia="方正小标宋简体" w:cs="方正小标宋简体"/>
          <w:color w:val="000000"/>
          <w:kern w:val="0"/>
          <w:sz w:val="30"/>
          <w:szCs w:val="30"/>
          <w:lang w:val="en-US" w:eastAsia="zh-CN"/>
        </w:rPr>
      </w:pPr>
    </w:p>
    <w:p>
      <w:pPr>
        <w:pStyle w:val="22"/>
        <w:keepNext w:val="0"/>
        <w:keepLines w:val="0"/>
        <w:pageBreakBefore w:val="0"/>
        <w:kinsoku/>
        <w:wordWrap/>
        <w:overflowPunct/>
        <w:topLinePunct w:val="0"/>
        <w:autoSpaceDE/>
        <w:autoSpaceDN/>
        <w:bidi w:val="0"/>
        <w:adjustRightInd/>
        <w:snapToGrid/>
        <w:spacing w:beforeAutospacing="0" w:afterAutospacing="0" w:line="240" w:lineRule="atLeas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为进一步强化部门责任意识，规范财政资金管理，提高财政资金使用效益，根据《益阳市赫山区财政局关于做好20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年度</w:t>
      </w:r>
      <w:r>
        <w:rPr>
          <w:rFonts w:hint="eastAsia" w:ascii="仿宋_GB2312" w:hAnsi="仿宋_GB2312" w:eastAsia="仿宋_GB2312" w:cs="仿宋_GB2312"/>
          <w:color w:val="000000"/>
          <w:sz w:val="32"/>
          <w:szCs w:val="32"/>
          <w:lang w:val="en-US" w:eastAsia="zh-CN"/>
        </w:rPr>
        <w:t>区级</w:t>
      </w:r>
      <w:r>
        <w:rPr>
          <w:rFonts w:hint="eastAsia" w:ascii="仿宋_GB2312" w:hAnsi="仿宋_GB2312" w:eastAsia="仿宋_GB2312" w:cs="仿宋_GB2312"/>
          <w:color w:val="000000"/>
          <w:sz w:val="32"/>
          <w:szCs w:val="32"/>
        </w:rPr>
        <w:t>预算</w:t>
      </w:r>
      <w:r>
        <w:rPr>
          <w:rFonts w:hint="eastAsia" w:ascii="仿宋_GB2312" w:hAnsi="仿宋_GB2312" w:eastAsia="仿宋_GB2312" w:cs="仿宋_GB2312"/>
          <w:color w:val="000000"/>
          <w:sz w:val="32"/>
          <w:szCs w:val="32"/>
          <w:lang w:val="en-US" w:eastAsia="zh-CN"/>
        </w:rPr>
        <w:t>部门绩效</w:t>
      </w:r>
      <w:r>
        <w:rPr>
          <w:rFonts w:hint="eastAsia" w:ascii="仿宋_GB2312" w:hAnsi="仿宋_GB2312" w:eastAsia="仿宋_GB2312" w:cs="仿宋_GB2312"/>
          <w:color w:val="000000"/>
          <w:sz w:val="32"/>
          <w:szCs w:val="32"/>
        </w:rPr>
        <w:t>自评和部门评价工作的通知》（益赫财绩〔20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2号）</w:t>
      </w:r>
      <w:r>
        <w:rPr>
          <w:rFonts w:hint="eastAsia" w:ascii="仿宋_GB2312" w:hAnsi="仿宋_GB2312" w:eastAsia="仿宋_GB2312" w:cs="仿宋_GB2312"/>
          <w:color w:val="000000"/>
          <w:sz w:val="32"/>
          <w:szCs w:val="32"/>
        </w:rPr>
        <w:t>文件的要求，我单位组织力量对部门整体支出进行了绩效评价，现将情况汇报如下：</w:t>
      </w:r>
    </w:p>
    <w:p>
      <w:pPr>
        <w:adjustRightInd w:val="0"/>
        <w:snapToGrid w:val="0"/>
        <w:spacing w:line="600" w:lineRule="exact"/>
        <w:ind w:firstLine="640" w:firstLineChars="200"/>
        <w:rPr>
          <w:rFonts w:eastAsia="黑体"/>
          <w:sz w:val="32"/>
          <w:szCs w:val="32"/>
        </w:rPr>
      </w:pPr>
      <w:r>
        <w:rPr>
          <w:rFonts w:ascii="黑体" w:hAnsi="黑体" w:eastAsia="黑体"/>
          <w:sz w:val="32"/>
          <w:szCs w:val="32"/>
        </w:rPr>
        <w:t>一、部门（单位）基本情况</w:t>
      </w:r>
    </w:p>
    <w:p>
      <w:pPr>
        <w:adjustRightInd w:val="0"/>
        <w:snapToGrid w:val="0"/>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（一）机构设置及人员编制情况</w:t>
      </w:r>
    </w:p>
    <w:p>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区总工会本级作为财政预算一级单位。2023年区总工会机关内设办公室、经费管理部、综合业务部等3个部室。下辖区工人文化宫1个二级机构。2023年年末，在编在职公职人员18人，兼挂职人员3人，社会化工作者8人，离休1人，退休13人。</w:t>
      </w:r>
    </w:p>
    <w:p>
      <w:pPr>
        <w:pStyle w:val="3"/>
        <w:ind w:firstLine="640" w:firstLineChars="200"/>
        <w:rPr>
          <w:rFonts w:hint="eastAsia"/>
          <w:sz w:val="32"/>
          <w:szCs w:val="24"/>
        </w:rPr>
      </w:pPr>
      <w:r>
        <w:rPr>
          <w:rFonts w:hint="eastAsia" w:ascii="Times New Roman" w:hAnsi="Times New Roman" w:eastAsia="仿宋_GB2312"/>
          <w:sz w:val="32"/>
          <w:szCs w:val="32"/>
        </w:rPr>
        <w:t>（二）部门职能职责</w:t>
      </w:r>
    </w:p>
    <w:p>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tLeas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依据《中华人民共和国工会法》和《中国工会章程》的规定，以及区经济工作会议精神，区总工会机关的主要职责是</w:t>
      </w:r>
      <w:bookmarkStart w:id="0" w:name="_GoBack"/>
      <w:bookmarkEnd w:id="0"/>
      <w:r>
        <w:rPr>
          <w:rFonts w:hint="eastAsia" w:ascii="仿宋_GB2312" w:hAnsi="仿宋_GB2312" w:eastAsia="仿宋_GB2312" w:cs="仿宋_GB2312"/>
          <w:color w:val="000000"/>
          <w:kern w:val="2"/>
          <w:sz w:val="32"/>
          <w:szCs w:val="32"/>
          <w:lang w:val="en-US" w:eastAsia="zh-CN" w:bidi="ar-SA"/>
        </w:rPr>
        <w:t>：1、认真贯彻执行党的路线、方针、政策。围绕区委区政府和市总工会工作部署，确定全区工会工作的指导思想和工作任务，指导全区工会工作。2、依照《工会法》、《劳动法》及《中国工会章程》的规定，组织、指导全区各级工会组织，以维护职工合法权益为基本职责，全面履行工会的各项社会职能。认真贯彻执行区工会代表大会的决议，积极开展工会的各项业务工作。根据有关规定，与区政府建立联席会议制度，参与涉及职工切身利益的有关政策、措施和办法的制定，代表和反映职工群众的愿望和要求。3、围绕全区的中心工作，组织、动员、指导基层工会广泛开展社会主义劳动竞赛、合理化建议和经济技术创新等活动。4、贯彻执行党的全心全意依靠工人阶级的根本指导方针，积极参与和支持企业改革，并在改革中切实当好职工利益的代表者和维护者，指导基层工会搞好民主管理和民主监督，加强职代会及平等协商签订集体合同制度建设，建立健全协调劳动关系的有效机制。认真履行帮扶特困职工“第一责任人”职责。5、进一步加强工会组织的自身建设和改革。协助各乡（镇）、区直机关、企事业单位党组织调整配备好同级工会领导班子，指导全区基层工会换届选举，突出抓好新建企业工会组建工作。研究制定、建立适合我区工会情况的工会组织制度和管理办法；指导和帮助各级工会领导班子搞好思想作风建设。制定工会干部的管理制度和培训规划，负责工会干部的培训工作。6、进一步做好工会劳动保护工作，切实维护职工的劳动安全和健康，建立和完善全区工会劳动保护监督检查组织，强化群众性安全监督检查措施。参与安全事故的调查处理工作。7、负责工会经费的管理、审查、审计工作及工会资产的管理，制定工会财务收支管理办法和措施，负责企事业单位工会经费的审查审计工作。8、积极做好与区外工会组织的经济、技术、文化交流与合作，建立友好关系。完成区委区政府交办的其它各项工作任务。</w:t>
      </w:r>
    </w:p>
    <w:p>
      <w:pPr>
        <w:pStyle w:val="3"/>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rPr>
        <w:t>财务情况及绩效目标</w:t>
      </w:r>
    </w:p>
    <w:p>
      <w:pPr>
        <w:autoSpaceDE w:val="0"/>
        <w:spacing w:line="56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1、财务情况：2023年年初收入预算</w:t>
      </w:r>
      <w:r>
        <w:rPr>
          <w:rFonts w:hint="eastAsia" w:ascii="仿宋_GB2312" w:hAnsi="仿宋_GB2312" w:cs="仿宋_GB2312"/>
          <w:color w:val="000000"/>
          <w:kern w:val="2"/>
          <w:sz w:val="32"/>
          <w:szCs w:val="32"/>
          <w:lang w:val="en-US" w:eastAsia="zh-CN" w:bidi="ar-SA"/>
        </w:rPr>
        <w:t>243.51</w:t>
      </w:r>
      <w:r>
        <w:rPr>
          <w:rFonts w:hint="eastAsia" w:ascii="仿宋_GB2312" w:hAnsi="仿宋_GB2312" w:eastAsia="仿宋_GB2312" w:cs="仿宋_GB2312"/>
          <w:color w:val="000000"/>
          <w:kern w:val="2"/>
          <w:sz w:val="32"/>
          <w:szCs w:val="32"/>
          <w:lang w:val="en-US" w:eastAsia="zh-CN" w:bidi="ar-SA"/>
        </w:rPr>
        <w:t>万元，其中：一般公共预算拨款</w:t>
      </w:r>
      <w:r>
        <w:rPr>
          <w:rFonts w:hint="eastAsia" w:ascii="仿宋_GB2312" w:hAnsi="仿宋_GB2312" w:cs="仿宋_GB2312"/>
          <w:color w:val="000000"/>
          <w:kern w:val="2"/>
          <w:sz w:val="32"/>
          <w:szCs w:val="32"/>
          <w:lang w:val="en-US" w:eastAsia="zh-CN" w:bidi="ar-SA"/>
        </w:rPr>
        <w:t>243.51</w:t>
      </w:r>
      <w:r>
        <w:rPr>
          <w:rFonts w:hint="eastAsia" w:ascii="仿宋_GB2312" w:hAnsi="仿宋_GB2312" w:eastAsia="仿宋_GB2312" w:cs="仿宋_GB2312"/>
          <w:color w:val="000000"/>
          <w:kern w:val="2"/>
          <w:sz w:val="32"/>
          <w:szCs w:val="32"/>
          <w:lang w:val="en-US" w:eastAsia="zh-CN" w:bidi="ar-SA"/>
        </w:rPr>
        <w:t>万元，占100%；本年度年初基本支出预算</w:t>
      </w:r>
      <w:r>
        <w:rPr>
          <w:rFonts w:hint="eastAsia" w:ascii="仿宋_GB2312" w:hAnsi="仿宋_GB2312" w:cs="仿宋_GB2312"/>
          <w:color w:val="000000"/>
          <w:kern w:val="2"/>
          <w:sz w:val="32"/>
          <w:szCs w:val="32"/>
          <w:lang w:val="en-US" w:eastAsia="zh-CN" w:bidi="ar-SA"/>
        </w:rPr>
        <w:t>243.51</w:t>
      </w:r>
      <w:r>
        <w:rPr>
          <w:rFonts w:hint="eastAsia" w:ascii="仿宋_GB2312" w:hAnsi="仿宋_GB2312" w:eastAsia="仿宋_GB2312" w:cs="仿宋_GB2312"/>
          <w:color w:val="000000"/>
          <w:kern w:val="2"/>
          <w:sz w:val="32"/>
          <w:szCs w:val="32"/>
          <w:lang w:val="en-US" w:eastAsia="zh-CN" w:bidi="ar-SA"/>
        </w:rPr>
        <w:t>万元，其中按支出经济分类科目：工资福利支出</w:t>
      </w:r>
      <w:r>
        <w:rPr>
          <w:rFonts w:hint="eastAsia" w:ascii="仿宋_GB2312" w:hAnsi="仿宋_GB2312" w:cs="仿宋_GB2312"/>
          <w:color w:val="000000"/>
          <w:kern w:val="2"/>
          <w:sz w:val="32"/>
          <w:szCs w:val="32"/>
          <w:lang w:val="en-US" w:eastAsia="zh-CN" w:bidi="ar-SA"/>
        </w:rPr>
        <w:t>201.85</w:t>
      </w:r>
      <w:r>
        <w:rPr>
          <w:rFonts w:hint="eastAsia" w:ascii="仿宋_GB2312" w:hAnsi="仿宋_GB2312" w:eastAsia="仿宋_GB2312" w:cs="仿宋_GB2312"/>
          <w:color w:val="000000"/>
          <w:kern w:val="2"/>
          <w:sz w:val="32"/>
          <w:szCs w:val="32"/>
          <w:lang w:val="en-US" w:eastAsia="zh-CN" w:bidi="ar-SA"/>
        </w:rPr>
        <w:t>万元，商品和服务支出30.18万元，对个人和家庭补助支出11.48万元；项目支出预算0万元。</w:t>
      </w:r>
    </w:p>
    <w:p>
      <w:pPr>
        <w:autoSpaceDE w:val="0"/>
        <w:spacing w:line="56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2、绩效目标：</w:t>
      </w:r>
      <w:r>
        <w:rPr>
          <w:rFonts w:hint="eastAsia" w:ascii="仿宋_GB2312" w:hAnsi="仿宋_GB2312" w:cs="仿宋_GB2312"/>
          <w:color w:val="000000"/>
          <w:kern w:val="2"/>
          <w:sz w:val="32"/>
          <w:szCs w:val="32"/>
          <w:lang w:val="en-US" w:eastAsia="zh-CN" w:bidi="ar-SA"/>
        </w:rPr>
        <w:t>依法</w:t>
      </w:r>
      <w:r>
        <w:rPr>
          <w:rFonts w:hint="eastAsia" w:ascii="仿宋_GB2312" w:hAnsi="仿宋_GB2312" w:eastAsia="仿宋_GB2312" w:cs="仿宋_GB2312"/>
          <w:color w:val="000000"/>
          <w:kern w:val="2"/>
          <w:sz w:val="32"/>
          <w:szCs w:val="32"/>
          <w:lang w:val="en-US" w:eastAsia="zh-CN" w:bidi="ar-SA"/>
        </w:rPr>
        <w:t>完成工会经费的收缴、</w:t>
      </w:r>
      <w:r>
        <w:rPr>
          <w:rFonts w:hint="eastAsia" w:ascii="仿宋_GB2312" w:hAnsi="仿宋_GB2312" w:cs="仿宋_GB2312"/>
          <w:color w:val="000000"/>
          <w:kern w:val="2"/>
          <w:sz w:val="32"/>
          <w:szCs w:val="32"/>
          <w:lang w:val="en-US" w:eastAsia="zh-CN" w:bidi="ar-SA"/>
        </w:rPr>
        <w:t>上解、管理和使用等</w:t>
      </w:r>
      <w:r>
        <w:rPr>
          <w:rFonts w:hint="eastAsia" w:ascii="仿宋_GB2312" w:hAnsi="仿宋_GB2312" w:eastAsia="仿宋_GB2312" w:cs="仿宋_GB2312"/>
          <w:color w:val="000000"/>
          <w:kern w:val="2"/>
          <w:sz w:val="32"/>
          <w:szCs w:val="32"/>
          <w:lang w:val="en-US" w:eastAsia="zh-CN" w:bidi="ar-SA"/>
        </w:rPr>
        <w:t>工作，</w:t>
      </w:r>
      <w:r>
        <w:rPr>
          <w:rFonts w:hint="eastAsia" w:ascii="仿宋_GB2312" w:hAnsi="仿宋_GB2312" w:cs="仿宋_GB2312"/>
          <w:color w:val="000000"/>
          <w:kern w:val="2"/>
          <w:sz w:val="32"/>
          <w:szCs w:val="32"/>
          <w:lang w:val="en-US" w:eastAsia="zh-CN" w:bidi="ar-SA"/>
        </w:rPr>
        <w:t>依法</w:t>
      </w:r>
      <w:r>
        <w:rPr>
          <w:rFonts w:hint="eastAsia" w:ascii="仿宋_GB2312" w:hAnsi="仿宋_GB2312" w:eastAsia="仿宋_GB2312" w:cs="仿宋_GB2312"/>
          <w:color w:val="000000"/>
          <w:kern w:val="2"/>
          <w:sz w:val="32"/>
          <w:szCs w:val="32"/>
          <w:lang w:val="en-US" w:eastAsia="zh-CN" w:bidi="ar-SA"/>
        </w:rPr>
        <w:t>加强工会组织建设，维护职工合法权益、维护社会经济秩序；履行好工会的各项社会职能</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组织和指导全</w:t>
      </w:r>
      <w:r>
        <w:rPr>
          <w:rFonts w:hint="eastAsia" w:ascii="仿宋_GB2312" w:hAnsi="仿宋_GB2312" w:cs="仿宋_GB2312"/>
          <w:color w:val="000000"/>
          <w:kern w:val="2"/>
          <w:sz w:val="32"/>
          <w:szCs w:val="32"/>
          <w:lang w:val="en-US" w:eastAsia="zh-CN" w:bidi="ar-SA"/>
        </w:rPr>
        <w:t>区</w:t>
      </w:r>
      <w:r>
        <w:rPr>
          <w:rFonts w:hint="eastAsia" w:ascii="仿宋_GB2312" w:hAnsi="仿宋_GB2312" w:eastAsia="仿宋_GB2312" w:cs="仿宋_GB2312"/>
          <w:color w:val="000000"/>
          <w:kern w:val="2"/>
          <w:sz w:val="32"/>
          <w:szCs w:val="32"/>
          <w:lang w:val="en-US" w:eastAsia="zh-CN" w:bidi="ar-SA"/>
        </w:rPr>
        <w:t>各级工会开展以职工代表大会为基本制度的民主选举、民主决策、民主管理和民主监督工作，推动基层工会开展和谐企业创建，建立工资集体协商、劳动合同、集体合同制度和监督保障机制：开展群众性的劳动竞赛、经济技术创新、职工技能培训、职工素质提升、安全生产教育等工作</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；尽职尽责完成上级工会和区委区政府交办的各类工作。</w:t>
      </w:r>
    </w:p>
    <w:p>
      <w:pPr>
        <w:pStyle w:val="2"/>
        <w:ind w:firstLine="723" w:firstLineChars="200"/>
        <w:rPr>
          <w:rFonts w:hint="default"/>
          <w:lang w:val="en-US" w:eastAsia="zh-CN"/>
        </w:rPr>
      </w:pPr>
      <w:r>
        <w:rPr>
          <w:rFonts w:hint="eastAsia" w:ascii="黑体" w:hAnsi="黑体" w:eastAsia="黑体" w:cs="黑体"/>
          <w:b/>
          <w:bCs/>
          <w:color w:val="000000"/>
          <w:kern w:val="2"/>
          <w:sz w:val="36"/>
          <w:szCs w:val="36"/>
          <w:lang w:val="en-US" w:eastAsia="zh-CN" w:bidi="ar-SA"/>
        </w:rPr>
        <w:t>二、</w:t>
      </w:r>
      <w:r>
        <w:rPr>
          <w:rFonts w:ascii="黑体" w:hAnsi="黑体" w:eastAsia="黑体" w:cs="Times New Roman"/>
          <w:sz w:val="32"/>
          <w:szCs w:val="32"/>
        </w:rPr>
        <w:t>一般公共预算支出情况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39" w:firstLineChars="231"/>
        <w:jc w:val="both"/>
        <w:textAlignment w:val="auto"/>
        <w:rPr>
          <w:rFonts w:hint="eastAsia" w:ascii="Times New Roman" w:hAnsi="Times New Roman" w:eastAsia="仿宋_GB2312"/>
          <w:sz w:val="28"/>
          <w:szCs w:val="28"/>
        </w:rPr>
      </w:pPr>
      <w:r>
        <w:rPr>
          <w:rFonts w:hint="eastAsia" w:ascii="仿宋_GB2312" w:hAnsi="仿宋_GB2312" w:eastAsia="仿宋_GB2312" w:cs="仿宋_GB2312"/>
          <w:color w:val="000000"/>
          <w:kern w:val="2"/>
          <w:sz w:val="32"/>
          <w:szCs w:val="32"/>
          <w:lang w:val="en-US" w:eastAsia="zh-CN" w:bidi="ar-SA"/>
        </w:rPr>
        <w:t>2023年本单位收入决算数261.9万元，其中一般公共预算财政拨款收入261.9万元，其他收入0万元。全年支出决算数261.9万元，其中基本支出261.9万元，项目支出0万元。</w:t>
      </w:r>
    </w:p>
    <w:p>
      <w:pPr>
        <w:numPr>
          <w:ilvl w:val="0"/>
          <w:numId w:val="0"/>
        </w:numPr>
        <w:adjustRightInd w:val="0"/>
        <w:snapToGrid w:val="0"/>
        <w:spacing w:line="600" w:lineRule="exact"/>
        <w:ind w:leftChars="0" w:firstLine="640" w:firstLineChars="200"/>
        <w:rPr>
          <w:rFonts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一</w:t>
      </w:r>
      <w:r>
        <w:rPr>
          <w:rFonts w:hint="eastAsia" w:ascii="楷体_GB2312" w:eastAsia="楷体_GB2312"/>
          <w:sz w:val="32"/>
          <w:szCs w:val="32"/>
          <w:lang w:eastAsia="zh-CN"/>
        </w:rPr>
        <w:t>）</w:t>
      </w:r>
      <w:r>
        <w:rPr>
          <w:rFonts w:ascii="楷体_GB2312" w:eastAsia="楷体_GB2312"/>
          <w:sz w:val="32"/>
          <w:szCs w:val="32"/>
        </w:rPr>
        <w:t>基本支出情况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39" w:firstLineChars="231"/>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全年基本支出261.9万元，其中：工资福利支出230.79 万元，主要包括：（基本工资、津贴补贴、奖金、绩效工资、社会保障缴费、其他工资福利支出等）；商品和服务支出 23.08 万元，主要包括（会议费、工会经费、福利费、公务用车维护费、其他交通费用、其他商品服务支出等）；对个人和家庭的补助 8.03 万元，主要包括（退休费、奖励金等）。</w:t>
      </w:r>
    </w:p>
    <w:p>
      <w:pPr>
        <w:pStyle w:val="17"/>
        <w:numPr>
          <w:ilvl w:val="0"/>
          <w:numId w:val="0"/>
        </w:numPr>
        <w:adjustRightInd w:val="0"/>
        <w:snapToGrid w:val="0"/>
        <w:spacing w:line="600" w:lineRule="exact"/>
        <w:ind w:leftChars="0" w:firstLine="640" w:firstLineChars="200"/>
        <w:rPr>
          <w:rFonts w:hint="eastAsia" w:ascii="仿宋" w:hAnsi="仿宋" w:eastAsia="仿宋" w:cs="宋体"/>
          <w:kern w:val="2"/>
          <w:sz w:val="32"/>
          <w:szCs w:val="32"/>
          <w:lang w:val="en-US" w:eastAsia="zh-CN" w:bidi="ar-SA"/>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lang w:val="en-US" w:eastAsia="zh-CN"/>
        </w:rPr>
        <w:t>二</w:t>
      </w:r>
      <w:r>
        <w:rPr>
          <w:rFonts w:hint="eastAsia" w:ascii="楷体_GB2312" w:hAnsi="Times New Roman" w:eastAsia="楷体_GB2312" w:cs="Times New Roman"/>
          <w:sz w:val="32"/>
          <w:szCs w:val="32"/>
          <w:lang w:eastAsia="zh-CN"/>
        </w:rPr>
        <w:t>）</w:t>
      </w:r>
      <w:r>
        <w:rPr>
          <w:rFonts w:ascii="楷体_GB2312" w:hAnsi="Times New Roman" w:eastAsia="楷体_GB2312" w:cs="Times New Roman"/>
          <w:sz w:val="32"/>
          <w:szCs w:val="32"/>
        </w:rPr>
        <w:t>项目支出情况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39" w:firstLineChars="231"/>
        <w:jc w:val="both"/>
        <w:textAlignment w:val="auto"/>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全年项目支出0万元。</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firstLine="643" w:firstLineChars="200"/>
        <w:jc w:val="both"/>
        <w:textAlignment w:val="auto"/>
        <w:rPr>
          <w:rFonts w:hint="eastAsia" w:ascii="仿宋" w:hAnsi="仿宋" w:eastAsia="仿宋" w:cs="宋体"/>
          <w:kern w:val="2"/>
          <w:sz w:val="32"/>
          <w:szCs w:val="32"/>
          <w:lang w:val="en-US" w:eastAsia="zh-CN" w:bidi="ar-SA"/>
        </w:rPr>
      </w:pPr>
      <w:r>
        <w:rPr>
          <w:rFonts w:hint="eastAsia" w:ascii="黑体" w:hAnsi="黑体" w:eastAsia="黑体" w:cs="黑体"/>
          <w:b/>
          <w:bCs/>
          <w:kern w:val="2"/>
          <w:sz w:val="32"/>
          <w:szCs w:val="32"/>
          <w:lang w:val="en-US" w:eastAsia="zh-CN" w:bidi="ar-SA"/>
        </w:rPr>
        <w:t>三、政府性基金预算支出情况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39" w:firstLineChars="231"/>
        <w:jc w:val="both"/>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本年度无政府性基金预算支出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firstLine="643" w:firstLineChars="200"/>
        <w:jc w:val="both"/>
        <w:textAlignment w:val="auto"/>
        <w:rPr>
          <w:rFonts w:hint="eastAsia" w:ascii="仿宋" w:hAnsi="仿宋" w:eastAsia="仿宋" w:cs="宋体"/>
          <w:kern w:val="2"/>
          <w:sz w:val="32"/>
          <w:szCs w:val="32"/>
          <w:lang w:val="en-US" w:eastAsia="zh-CN" w:bidi="ar-SA"/>
        </w:rPr>
      </w:pPr>
      <w:r>
        <w:rPr>
          <w:rFonts w:hint="eastAsia" w:ascii="黑体" w:hAnsi="黑体" w:eastAsia="黑体" w:cs="黑体"/>
          <w:b/>
          <w:bCs/>
          <w:kern w:val="2"/>
          <w:sz w:val="32"/>
          <w:szCs w:val="32"/>
          <w:lang w:val="en-US" w:eastAsia="zh-CN" w:bidi="ar-SA"/>
        </w:rPr>
        <w:t>四、国有资本经营预算支出情况</w:t>
      </w:r>
    </w:p>
    <w:p>
      <w:pPr>
        <w:pStyle w:val="17"/>
        <w:adjustRightInd w:val="0"/>
        <w:snapToGrid w:val="0"/>
        <w:spacing w:line="600" w:lineRule="exact"/>
        <w:ind w:firstLine="640"/>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本年度无国有资本经营预算支出。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firstLine="643"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b/>
          <w:bCs/>
          <w:kern w:val="2"/>
          <w:sz w:val="32"/>
          <w:szCs w:val="32"/>
          <w:lang w:val="en-US" w:eastAsia="zh-CN" w:bidi="ar-SA"/>
        </w:rPr>
        <w:t>五、社会保险基金预算支出情况</w:t>
      </w:r>
    </w:p>
    <w:p>
      <w:pPr>
        <w:pStyle w:val="17"/>
        <w:adjustRightInd w:val="0"/>
        <w:snapToGrid w:val="0"/>
        <w:spacing w:line="600" w:lineRule="exact"/>
        <w:ind w:firstLine="640"/>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本年度无社会保险基金预算支出。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3" w:firstLineChars="200"/>
        <w:jc w:val="left"/>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b/>
          <w:bCs/>
          <w:kern w:val="2"/>
          <w:sz w:val="32"/>
          <w:szCs w:val="32"/>
          <w:lang w:val="en-US" w:eastAsia="zh-CN" w:bidi="ar-SA"/>
        </w:rPr>
        <w:t>六、部门整体支出绩效情况</w:t>
      </w:r>
    </w:p>
    <w:p>
      <w:pPr>
        <w:keepNext w:val="0"/>
        <w:keepLines w:val="0"/>
        <w:pageBreakBefore w:val="0"/>
        <w:kinsoku/>
        <w:wordWrap/>
        <w:overflowPunct/>
        <w:topLinePunct w:val="0"/>
        <w:autoSpaceDE/>
        <w:autoSpaceDN/>
        <w:bidi w:val="0"/>
        <w:adjustRightInd/>
        <w:snapToGrid/>
        <w:spacing w:beforeAutospacing="0" w:afterAutospacing="0" w:line="240" w:lineRule="atLeas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w:t>
      </w:r>
      <w:r>
        <w:rPr>
          <w:rFonts w:hint="eastAsia" w:ascii="仿宋" w:hAnsi="仿宋" w:eastAsia="仿宋" w:cs="宋体"/>
          <w:kern w:val="2"/>
          <w:sz w:val="32"/>
          <w:szCs w:val="32"/>
          <w:lang w:val="en-US" w:eastAsia="zh-CN" w:bidi="ar-SA"/>
        </w:rPr>
        <w:t>通过加强预算收支管理，不断建立健全内部资金管理制度，做到全年收支平衡的同时，依法完成工会经费的收缴、上解、管理和使用等工作，依法加强工</w:t>
      </w:r>
      <w:r>
        <w:rPr>
          <w:rFonts w:hint="eastAsia" w:ascii="仿宋_GB2312" w:hAnsi="仿宋_GB2312" w:eastAsia="仿宋_GB2312" w:cs="仿宋_GB2312"/>
          <w:color w:val="000000"/>
          <w:kern w:val="2"/>
          <w:sz w:val="32"/>
          <w:szCs w:val="32"/>
          <w:lang w:val="en-US" w:eastAsia="zh-CN" w:bidi="ar-SA"/>
        </w:rPr>
        <w:t>会组织建设，维护职工合法权益、维护社会经济秩序；履行好工会的各项社会职能</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组织和指导全</w:t>
      </w:r>
      <w:r>
        <w:rPr>
          <w:rFonts w:hint="eastAsia" w:ascii="仿宋_GB2312" w:hAnsi="仿宋_GB2312" w:cs="仿宋_GB2312"/>
          <w:color w:val="000000"/>
          <w:kern w:val="2"/>
          <w:sz w:val="32"/>
          <w:szCs w:val="32"/>
          <w:lang w:val="en-US" w:eastAsia="zh-CN" w:bidi="ar-SA"/>
        </w:rPr>
        <w:t>区</w:t>
      </w:r>
      <w:r>
        <w:rPr>
          <w:rFonts w:hint="eastAsia" w:ascii="仿宋_GB2312" w:hAnsi="仿宋_GB2312" w:eastAsia="仿宋_GB2312" w:cs="仿宋_GB2312"/>
          <w:color w:val="000000"/>
          <w:kern w:val="2"/>
          <w:sz w:val="32"/>
          <w:szCs w:val="32"/>
          <w:lang w:val="en-US" w:eastAsia="zh-CN" w:bidi="ar-SA"/>
        </w:rPr>
        <w:t>各级工会开展以职工代表大会为基本制度的民主选举、民主决策、民主管理和民主监督工作，推动基层工会开展和谐企业创建，建立工资集体协商、劳动合同、集体合同制度和监督保障机制：开展群众性的劳动竞赛、经济技术创新、职工技能培训、职工素质提升、安全生产教育等工作</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；尽职尽责完成上级工会和区委区政府交办的各类工作。1</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深入推进劳动技能竞赛。以创建“工人先锋号”为主要载体，以职工职业技能大赛、“芙蓉杯”素质达标竞赛等为平台，以安全、管理、学习、创新和节能降耗为重点，继续深入开展劳动竞赛活动，努力扩大劳动竞赛覆盖面和职工参与率。非公企业要以增强自主创新能力为重点，动员和组织职工广泛开展技术革新、技能比武和“五小”竞赛活动，发动职工为企业科学发展、创新发展献计出力。</w:t>
      </w:r>
    </w:p>
    <w:p>
      <w:pPr>
        <w:keepNext w:val="0"/>
        <w:keepLines w:val="0"/>
        <w:pageBreakBefore w:val="0"/>
        <w:kinsoku/>
        <w:wordWrap/>
        <w:overflowPunct/>
        <w:topLinePunct w:val="0"/>
        <w:autoSpaceDE/>
        <w:autoSpaceDN/>
        <w:bidi w:val="0"/>
        <w:adjustRightInd/>
        <w:snapToGrid/>
        <w:spacing w:beforeAutospacing="0" w:afterAutospacing="0" w:line="240" w:lineRule="atLeas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cs="仿宋_GB2312"/>
          <w:color w:val="000000"/>
          <w:kern w:val="2"/>
          <w:sz w:val="32"/>
          <w:szCs w:val="32"/>
          <w:lang w:val="en-US" w:eastAsia="zh-CN" w:bidi="ar-SA"/>
        </w:rPr>
        <w:t>、合理</w:t>
      </w:r>
      <w:r>
        <w:rPr>
          <w:rFonts w:hint="eastAsia" w:ascii="仿宋_GB2312" w:hAnsi="仿宋_GB2312" w:eastAsia="仿宋_GB2312" w:cs="仿宋_GB2312"/>
          <w:color w:val="000000"/>
          <w:kern w:val="2"/>
          <w:sz w:val="32"/>
          <w:szCs w:val="32"/>
          <w:lang w:val="en-US" w:eastAsia="zh-CN" w:bidi="ar-SA"/>
        </w:rPr>
        <w:t>推动</w:t>
      </w:r>
      <w:r>
        <w:rPr>
          <w:rFonts w:hint="eastAsia" w:ascii="仿宋_GB2312" w:hAnsi="仿宋_GB2312" w:cs="仿宋_GB2312"/>
          <w:color w:val="000000"/>
          <w:kern w:val="2"/>
          <w:sz w:val="32"/>
          <w:szCs w:val="32"/>
          <w:lang w:val="en-US" w:eastAsia="zh-CN" w:bidi="ar-SA"/>
        </w:rPr>
        <w:t>工会户外劳动者服务站点建设及</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cs="仿宋_GB2312"/>
          <w:color w:val="000000"/>
          <w:kern w:val="2"/>
          <w:sz w:val="32"/>
          <w:szCs w:val="32"/>
          <w:lang w:val="en-US" w:eastAsia="zh-CN" w:bidi="ar-SA"/>
        </w:rPr>
        <w:t>在中心城区范围内</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cs="仿宋_GB2312"/>
          <w:color w:val="000000"/>
          <w:kern w:val="2"/>
          <w:sz w:val="32"/>
          <w:szCs w:val="32"/>
          <w:lang w:val="en-US" w:eastAsia="zh-CN" w:bidi="ar-SA"/>
        </w:rPr>
        <w:t>建成3家户外劳动者服务站点。其中有一站点获得全国“最美站点”称号。</w:t>
      </w:r>
      <w:r>
        <w:rPr>
          <w:rFonts w:hint="eastAsia" w:ascii="仿宋_GB2312" w:hAnsi="仿宋_GB2312" w:eastAsia="仿宋_GB2312" w:cs="仿宋_GB2312"/>
          <w:color w:val="000000"/>
          <w:kern w:val="2"/>
          <w:sz w:val="32"/>
          <w:szCs w:val="32"/>
          <w:lang w:val="en-US" w:eastAsia="zh-CN" w:bidi="ar-SA"/>
        </w:rPr>
        <w:t>深化“模范职工之家”创建活动，积极探索职工之家建设的激励机制，深入开展会员评家及双爱、双评、双促活动，组织基层工会开展“五型”职工之家创建，模范职工之家创建面达到20%。</w:t>
      </w:r>
    </w:p>
    <w:p>
      <w:pPr>
        <w:keepNext w:val="0"/>
        <w:keepLines w:val="0"/>
        <w:pageBreakBefore w:val="0"/>
        <w:kinsoku/>
        <w:wordWrap/>
        <w:overflowPunct/>
        <w:topLinePunct w:val="0"/>
        <w:autoSpaceDE/>
        <w:autoSpaceDN/>
        <w:bidi w:val="0"/>
        <w:adjustRightInd/>
        <w:snapToGrid/>
        <w:spacing w:beforeAutospacing="0" w:afterAutospacing="0" w:line="240" w:lineRule="atLeas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大力推进工资集体协商工作。继续深入开展“工资集体协商全面推进年”活动,完善工资集体协商工作机制；根据不同行业、不同区域和各类企业不同特点，分别确定协商方式和协商重点，提高工资集体协商的针对性和实效性，实现年内已建工会组织的企业工资集体协商、女职工专项集体合同签订率达到80%的目标。</w:t>
      </w:r>
    </w:p>
    <w:p>
      <w:pPr>
        <w:keepNext w:val="0"/>
        <w:keepLines w:val="0"/>
        <w:pageBreakBefore w:val="0"/>
        <w:kinsoku/>
        <w:wordWrap/>
        <w:overflowPunct/>
        <w:topLinePunct w:val="0"/>
        <w:autoSpaceDE/>
        <w:autoSpaceDN/>
        <w:bidi w:val="0"/>
        <w:adjustRightInd/>
        <w:snapToGrid/>
        <w:spacing w:beforeAutospacing="0" w:afterAutospacing="0" w:line="240" w:lineRule="atLeas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延长帮扶链条，做大做强帮扶工作品牌。继续巩固 “双联”工作成果，做大工会四季服务活动品牌，着力为困难职工解决就业、就医及子女就学等实际问题。继续推进第三期职工互助医疗活动和第二期女职工特殊疾病保障工作，努力解决职工“看病贵”的问题，保障健康权。延长帮扶工作链条，选择1-3个基层工会作为重点扶持对象，建立基层帮扶站点，将帮扶主体从区一级向下延伸，帮助特困职工解决力所能及的问题，积极发挥“娘家人”的作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42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深入开展“中国梦·劳动美”主题宣教活动。整合工会系统信息资源和网络平台，通过微信、微博、QQ群等新型媒体形式加强对工会工作的宣传，扩大工会组织的社会影响力。同时，加强工人文化宫、职工教育基地、“职工书屋”等载体建设，经常性地开展职工就业和技能培训，在广大职工中大力培育和践行社会主义核心价值观，为职工学习成才搭建平台，形成向上向善的力量。广泛开展登山、羽毛球、乒乓球、书法美术摄影、征文、健身舞女职工拔河比赛等各类职工文化体育活动，满足职工日益增长的精神文化需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420"/>
        <w:jc w:val="both"/>
        <w:textAlignment w:val="auto"/>
      </w:pPr>
      <w:r>
        <w:rPr>
          <w:rFonts w:hint="eastAsia" w:ascii="仿宋_GB2312" w:hAnsi="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根据对202</w:t>
      </w:r>
      <w:r>
        <w:rPr>
          <w:rFonts w:hint="eastAsia" w:ascii="仿宋_GB2312"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年度部门整体支出状况分析，部门整体支出绩效情况如下：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92" w:firstLineChars="33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微软雅黑" w:hAnsi="微软雅黑" w:eastAsia="微软雅黑" w:cs="微软雅黑"/>
          <w:shd w:val="clear" w:color="auto" w:fill="FFFFFF"/>
          <w:lang w:val="en-US" w:eastAsia="zh-CN"/>
        </w:rPr>
        <w:t>1、</w:t>
      </w:r>
      <w:r>
        <w:rPr>
          <w:rFonts w:hint="eastAsia" w:ascii="仿宋_GB2312" w:hAnsi="仿宋_GB2312" w:eastAsia="仿宋_GB2312" w:cs="仿宋_GB2312"/>
          <w:color w:val="000000"/>
          <w:kern w:val="2"/>
          <w:sz w:val="32"/>
          <w:szCs w:val="32"/>
          <w:lang w:val="en-US" w:eastAsia="zh-CN" w:bidi="ar-SA"/>
        </w:rPr>
        <w:t>本年预算配置控制较好。财政供养人员控制在预算编制以内，编制内在职人员控制率小于100%；“三公”经费支出总额小，低于年初预算。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cs="仿宋_GB2312"/>
          <w:color w:val="000000"/>
          <w:kern w:val="2"/>
          <w:sz w:val="32"/>
          <w:szCs w:val="32"/>
          <w:lang w:val="en-US" w:eastAsia="zh-CN" w:bidi="ar-SA"/>
        </w:rPr>
        <w:t>2、</w:t>
      </w:r>
      <w:r>
        <w:rPr>
          <w:rFonts w:hint="eastAsia" w:ascii="仿宋_GB2312" w:hAnsi="仿宋_GB2312" w:eastAsia="仿宋_GB2312" w:cs="仿宋_GB2312"/>
          <w:color w:val="000000"/>
          <w:kern w:val="2"/>
          <w:sz w:val="32"/>
          <w:szCs w:val="32"/>
          <w:lang w:val="en-US" w:eastAsia="zh-CN" w:bidi="ar-SA"/>
        </w:rPr>
        <w:t>预算执行方面。支出总额控制在预算总额以内，除专项预算的追加和政策性工资绩效预算的追加外，本年部门预算未进行预算相关事项的调整；“三公”经费总体控制较好，未超本年预算。预算管理方面，制度执行总体较为有效，仍需进一步强化；资金使用管理需进一步加强。资产管理方面，建立了资产管理制度，定期进行了盘点和资产清理，总体执行较好。</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right="0" w:firstLine="643" w:firstLineChars="200"/>
        <w:jc w:val="both"/>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七、存在的问题及原因分析</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预算执行存在偏差。在实际经费列支中，资金使用进度慢，主要集中在下半年结账，没有积极盘活存量资金。需要慰问和救济人员较多，项目资金较少，无法实现全覆盖。单位内部缺乏对预算管理的有效监督。</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right="0"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八、下一步改进措施</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针对上述存在的问题及我单位整体支出管理工作的需要，拟实施的改进措施如下：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 细化预算编制工作，认真做好预算的编制。进一步加强预算管理意识，严格按照预算编制的相关制度和要求进行预算编制，强化监督，进一步提高预算编制的科学性、严谨性和可控性。</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 加强财务管理，严格财务审核。在费用报账支付时，按照预算规定的费用项目和用途进行资金使用审核、列报支付、财务核算，杜绝超支现象的发生。</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right="0"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九、部门整体支出绩效自评结果拟应用情况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739" w:firstLineChars="231"/>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w:t>
      </w:r>
      <w:r>
        <w:rPr>
          <w:rFonts w:hint="eastAsia" w:ascii="仿宋_GB2312"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年，根据单位年初工作规划和重点性工作，强化管理，较好的完成了年度工作目标。通过加强预算收支管理，不断建立健全内部管理制度，梳理内部管理流程，部门整体支出管理情况得到提升。202</w:t>
      </w:r>
      <w:r>
        <w:rPr>
          <w:rFonts w:hint="eastAsia" w:ascii="仿宋_GB2312"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年，我</w:t>
      </w:r>
      <w:r>
        <w:rPr>
          <w:rFonts w:hint="eastAsia" w:ascii="仿宋_GB2312" w:hAnsi="仿宋_GB2312" w:cs="仿宋_GB2312"/>
          <w:color w:val="000000"/>
          <w:kern w:val="2"/>
          <w:sz w:val="32"/>
          <w:szCs w:val="32"/>
          <w:lang w:val="en-US" w:eastAsia="zh-CN" w:bidi="ar-SA"/>
        </w:rPr>
        <w:t>单位</w:t>
      </w:r>
      <w:r>
        <w:rPr>
          <w:rFonts w:hint="eastAsia" w:ascii="仿宋_GB2312" w:hAnsi="仿宋_GB2312" w:eastAsia="仿宋_GB2312" w:cs="仿宋_GB2312"/>
          <w:color w:val="000000"/>
          <w:kern w:val="2"/>
          <w:sz w:val="32"/>
          <w:szCs w:val="32"/>
          <w:lang w:val="en-US" w:eastAsia="zh-CN" w:bidi="ar-SA"/>
        </w:rPr>
        <w:t>完成了绩效考核的各项工作任务。严格按照年初预算进行部门整体支出，所有资金均已到位并按照用途进行管理、使用，无截留、挪用等现象。所有项目支出均制定了详细的计划和方案，严格按照项目实施进度情况进行资金拨付。</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42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我们按照</w:t>
      </w:r>
      <w:r>
        <w:rPr>
          <w:rFonts w:hint="eastAsia" w:ascii="仿宋_GB2312" w:hAnsi="仿宋_GB2312" w:cs="仿宋_GB2312"/>
          <w:color w:val="000000"/>
          <w:kern w:val="2"/>
          <w:sz w:val="32"/>
          <w:szCs w:val="32"/>
          <w:lang w:val="en-US" w:eastAsia="zh-CN" w:bidi="ar-SA"/>
        </w:rPr>
        <w:t>区</w:t>
      </w:r>
      <w:r>
        <w:rPr>
          <w:rFonts w:hint="eastAsia" w:ascii="仿宋_GB2312" w:hAnsi="仿宋_GB2312" w:eastAsia="仿宋_GB2312" w:cs="仿宋_GB2312"/>
          <w:color w:val="000000"/>
          <w:kern w:val="2"/>
          <w:sz w:val="32"/>
          <w:szCs w:val="32"/>
          <w:lang w:val="en-US" w:eastAsia="zh-CN" w:bidi="ar-SA"/>
        </w:rPr>
        <w:t>财政局绩效评价管理要求，第一阶段为前期准备：由我会办公室牵头，组织有关业务部室制定了详细的工作方案，明确部室责任，确定评价指标细则；第二阶段为部室自评：根据上一阶段任务布置，各部室按照要求展开自评工作，并将评价结果报办公室；第三阶段为定性终评，并出具评价报告：办公室在部室自评的基础上，查阅相关文件资料和财务凭证，对收集资料进行定量定性分析，综合评议后形成评价结论，出具绩效评价报告。</w:t>
      </w:r>
    </w:p>
    <w:p>
      <w:pPr>
        <w:pStyle w:val="4"/>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其他需要说明的情况：</w:t>
      </w:r>
    </w:p>
    <w:p>
      <w:pPr>
        <w:pStyle w:val="4"/>
        <w:numPr>
          <w:ilvl w:val="0"/>
          <w:numId w:val="0"/>
        </w:num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cs="仿宋_GB2312"/>
          <w:color w:val="000000"/>
          <w:kern w:val="2"/>
          <w:sz w:val="32"/>
          <w:szCs w:val="32"/>
          <w:lang w:val="en-US" w:eastAsia="zh-CN" w:bidi="ar-SA"/>
        </w:rPr>
        <w:t>没有其他需要说明的情况。</w:t>
      </w:r>
    </w:p>
    <w:p>
      <w:pPr>
        <w:keepNext w:val="0"/>
        <w:keepLines w:val="0"/>
        <w:pageBreakBefore w:val="0"/>
        <w:kinsoku/>
        <w:wordWrap/>
        <w:overflowPunct/>
        <w:topLinePunct w:val="0"/>
        <w:autoSpaceDE/>
        <w:autoSpaceDN/>
        <w:bidi w:val="0"/>
        <w:adjustRightInd/>
        <w:snapToGrid/>
        <w:spacing w:beforeAutospacing="0" w:afterAutospacing="0" w:line="240" w:lineRule="atLeast"/>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fldChar w:fldCharType="begin"/>
      </w:r>
      <w:r>
        <w:rPr>
          <w:rFonts w:hint="eastAsia" w:ascii="仿宋_GB2312" w:hAnsi="仿宋_GB2312" w:eastAsia="仿宋_GB2312" w:cs="仿宋_GB2312"/>
          <w:color w:val="000000"/>
          <w:kern w:val="2"/>
          <w:sz w:val="32"/>
          <w:szCs w:val="32"/>
          <w:lang w:val="en-US" w:eastAsia="zh-CN" w:bidi="ar-SA"/>
        </w:rPr>
        <w:instrText xml:space="preserve"> HYPERLINK "http://zgh.yiyang.gov.cn/uploadfiles/202104/20210414144050513002.xls" \t "http://zgh.yiyang.gov.cn/3915/_blank" </w:instrText>
      </w:r>
      <w:r>
        <w:rPr>
          <w:rFonts w:hint="eastAsia" w:ascii="仿宋_GB2312" w:hAnsi="仿宋_GB2312" w:eastAsia="仿宋_GB2312" w:cs="仿宋_GB2312"/>
          <w:color w:val="000000"/>
          <w:kern w:val="2"/>
          <w:sz w:val="32"/>
          <w:szCs w:val="32"/>
          <w:lang w:val="en-US" w:eastAsia="zh-CN" w:bidi="ar-SA"/>
        </w:rPr>
        <w:fldChar w:fldCharType="separate"/>
      </w:r>
      <w:r>
        <w:rPr>
          <w:rFonts w:hint="eastAsia" w:ascii="仿宋_GB2312" w:hAnsi="仿宋_GB2312" w:eastAsia="仿宋_GB2312" w:cs="仿宋_GB2312"/>
          <w:color w:val="000000"/>
          <w:kern w:val="2"/>
          <w:sz w:val="32"/>
          <w:szCs w:val="32"/>
          <w:lang w:val="en-US" w:eastAsia="zh-CN" w:bidi="ar-SA"/>
        </w:rPr>
        <w:t>附件</w:t>
      </w:r>
      <w:r>
        <w:rPr>
          <w:rFonts w:hint="eastAsia" w:ascii="仿宋_GB2312"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、202</w:t>
      </w:r>
      <w:r>
        <w:rPr>
          <w:rFonts w:hint="eastAsia" w:ascii="仿宋_GB2312"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年度部门整体支出绩效自评</w:t>
      </w:r>
      <w:r>
        <w:rPr>
          <w:rFonts w:hint="eastAsia" w:ascii="仿宋_GB2312" w:hAnsi="仿宋_GB2312" w:cs="仿宋_GB2312"/>
          <w:color w:val="000000"/>
          <w:kern w:val="2"/>
          <w:sz w:val="32"/>
          <w:szCs w:val="32"/>
          <w:lang w:val="en-US" w:eastAsia="zh-CN" w:bidi="ar-SA"/>
        </w:rPr>
        <w:t>指标计分</w:t>
      </w:r>
      <w:r>
        <w:rPr>
          <w:rFonts w:hint="eastAsia" w:ascii="仿宋_GB2312" w:hAnsi="仿宋_GB2312" w:eastAsia="仿宋_GB2312" w:cs="仿宋_GB2312"/>
          <w:color w:val="000000"/>
          <w:kern w:val="2"/>
          <w:sz w:val="32"/>
          <w:szCs w:val="32"/>
          <w:lang w:val="en-US" w:eastAsia="zh-CN" w:bidi="ar-SA"/>
        </w:rPr>
        <w:t>表.xls</w:t>
      </w:r>
      <w:r>
        <w:rPr>
          <w:rFonts w:hint="eastAsia" w:ascii="仿宋_GB2312" w:hAnsi="仿宋_GB2312" w:eastAsia="仿宋_GB2312" w:cs="仿宋_GB2312"/>
          <w:color w:val="000000"/>
          <w:kern w:val="2"/>
          <w:sz w:val="32"/>
          <w:szCs w:val="32"/>
          <w:lang w:val="en-US" w:eastAsia="zh-CN" w:bidi="ar-SA"/>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cs="仿宋_GB2312"/>
          <w:color w:val="000000"/>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cs="仿宋_GB2312"/>
          <w:color w:val="000000"/>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640"/>
        <w:jc w:val="left"/>
        <w:textAlignment w:val="auto"/>
        <w:rPr>
          <w:rFonts w:hint="eastAsia" w:ascii="仿宋_GB2312" w:hAnsi="仿宋_GB2312" w:cs="仿宋_GB2312"/>
          <w:color w:val="000000"/>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jc w:val="left"/>
        <w:textAlignment w:val="auto"/>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w:t>
      </w:r>
      <w:r>
        <w:rPr>
          <w:rFonts w:hint="eastAsia" w:ascii="仿宋_GB2312" w:hAnsi="仿宋_GB2312" w:cs="仿宋_GB2312"/>
          <w:color w:val="000000"/>
          <w:kern w:val="0"/>
          <w:szCs w:val="32"/>
          <w:lang w:val="en-US" w:eastAsia="zh-CN"/>
        </w:rPr>
        <w:t xml:space="preserve"> </w:t>
      </w:r>
      <w:r>
        <w:rPr>
          <w:rFonts w:hint="eastAsia" w:ascii="仿宋_GB2312" w:hAnsi="仿宋_GB2312" w:cs="仿宋_GB2312"/>
          <w:color w:val="000000"/>
          <w:kern w:val="0"/>
          <w:szCs w:val="32"/>
        </w:rPr>
        <w:t>益阳市赫山区</w:t>
      </w:r>
      <w:r>
        <w:rPr>
          <w:rFonts w:hint="eastAsia" w:ascii="仿宋_GB2312" w:hAnsi="仿宋_GB2312" w:cs="仿宋_GB2312"/>
          <w:color w:val="000000"/>
          <w:kern w:val="0"/>
          <w:szCs w:val="32"/>
          <w:lang w:eastAsia="zh-CN"/>
        </w:rPr>
        <w:t>总工</w:t>
      </w:r>
      <w:r>
        <w:rPr>
          <w:rFonts w:hint="eastAsia" w:ascii="仿宋_GB2312" w:hAnsi="仿宋_GB2312" w:cs="仿宋_GB2312"/>
          <w:color w:val="000000"/>
          <w:kern w:val="0"/>
          <w:szCs w:val="32"/>
        </w:rPr>
        <w:t>会</w:t>
      </w:r>
    </w:p>
    <w:p>
      <w:pP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20</w:t>
      </w:r>
      <w:r>
        <w:rPr>
          <w:rFonts w:hint="eastAsia" w:ascii="仿宋_GB2312" w:hAnsi="仿宋_GB2312" w:cs="仿宋_GB2312"/>
          <w:color w:val="000000"/>
          <w:kern w:val="0"/>
          <w:szCs w:val="32"/>
          <w:lang w:val="en-US" w:eastAsia="zh-CN"/>
        </w:rPr>
        <w:t>24</w:t>
      </w:r>
      <w:r>
        <w:rPr>
          <w:rFonts w:hint="eastAsia" w:ascii="仿宋_GB2312" w:hAnsi="仿宋_GB2312" w:cs="仿宋_GB2312"/>
          <w:color w:val="000000"/>
          <w:kern w:val="0"/>
          <w:szCs w:val="32"/>
        </w:rPr>
        <w:t>年</w:t>
      </w:r>
      <w:r>
        <w:rPr>
          <w:rFonts w:hint="eastAsia" w:ascii="仿宋_GB2312" w:hAnsi="仿宋_GB2312" w:cs="仿宋_GB2312"/>
          <w:color w:val="000000"/>
          <w:kern w:val="0"/>
          <w:szCs w:val="32"/>
          <w:lang w:val="en-US" w:eastAsia="zh-CN"/>
        </w:rPr>
        <w:t>6</w:t>
      </w:r>
      <w:r>
        <w:rPr>
          <w:rFonts w:hint="eastAsia" w:ascii="仿宋_GB2312" w:hAnsi="仿宋_GB2312" w:cs="仿宋_GB2312"/>
          <w:color w:val="000000"/>
          <w:kern w:val="0"/>
          <w:szCs w:val="32"/>
        </w:rPr>
        <w:t>月</w:t>
      </w:r>
      <w:r>
        <w:rPr>
          <w:rFonts w:hint="eastAsia" w:ascii="仿宋_GB2312" w:hAnsi="仿宋_GB2312" w:cs="仿宋_GB2312"/>
          <w:color w:val="000000"/>
          <w:kern w:val="0"/>
          <w:szCs w:val="32"/>
          <w:lang w:val="en-US" w:eastAsia="zh-CN"/>
        </w:rPr>
        <w:t>18</w:t>
      </w:r>
      <w:r>
        <w:rPr>
          <w:rFonts w:hint="eastAsia" w:ascii="仿宋_GB2312" w:hAnsi="仿宋_GB2312" w:cs="仿宋_GB2312"/>
          <w:color w:val="000000"/>
          <w:kern w:val="0"/>
          <w:szCs w:val="32"/>
        </w:rPr>
        <w:t>日</w:t>
      </w: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rPr>
          <w:rFonts w:hint="eastAsia" w:ascii="仿宋_GB2312" w:hAnsi="仿宋_GB2312" w:cs="仿宋_GB2312"/>
          <w:color w:val="000000"/>
          <w:kern w:val="0"/>
          <w:szCs w:val="32"/>
        </w:rPr>
      </w:pPr>
    </w:p>
    <w:p>
      <w:pPr>
        <w:spacing w:line="480" w:lineRule="exact"/>
        <w:rPr>
          <w:rFonts w:ascii="黑体" w:eastAsia="黑体"/>
          <w:sz w:val="32"/>
          <w:szCs w:val="32"/>
        </w:rPr>
      </w:pPr>
      <w:r>
        <w:rPr>
          <w:rFonts w:hint="eastAsia" w:ascii="黑体" w:eastAsia="黑体" w:cs="黑体"/>
          <w:sz w:val="32"/>
          <w:szCs w:val="32"/>
        </w:rPr>
        <w:t>附件</w:t>
      </w:r>
      <w:r>
        <w:rPr>
          <w:rFonts w:ascii="黑体" w:eastAsia="黑体" w:cs="黑体"/>
          <w:sz w:val="32"/>
          <w:szCs w:val="32"/>
        </w:rPr>
        <w:t>3</w:t>
      </w:r>
      <w:r>
        <w:rPr>
          <w:rFonts w:hint="eastAsia" w:ascii="黑体" w:eastAsia="黑体" w:cs="黑体"/>
          <w:sz w:val="32"/>
          <w:szCs w:val="32"/>
        </w:rPr>
        <w:t>：</w:t>
      </w: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3</w:t>
      </w:r>
      <w:r>
        <w:rPr>
          <w:rFonts w:hint="eastAsia" w:ascii="方正小标宋简体" w:eastAsia="方正小标宋简体" w:cs="方正小标宋_GBK"/>
          <w:sz w:val="36"/>
          <w:szCs w:val="36"/>
        </w:rPr>
        <w:t>年度部门整体支出绩效自评指标计分表</w:t>
      </w:r>
    </w:p>
    <w:tbl>
      <w:tblPr>
        <w:tblStyle w:val="12"/>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6"/>
        <w:gridCol w:w="840"/>
        <w:gridCol w:w="1120"/>
        <w:gridCol w:w="840"/>
        <w:gridCol w:w="3529"/>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rPr>
              <w:t>一级</w:t>
            </w:r>
          </w:p>
          <w:p>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hint="eastAsia" w:ascii="宋体" w:hAnsi="宋体" w:eastAsia="宋体" w:cs="宋体"/>
                <w:b/>
                <w:bCs/>
                <w:sz w:val="21"/>
                <w:szCs w:val="21"/>
              </w:rPr>
            </w:pPr>
            <w:r>
              <w:rPr>
                <w:rFonts w:hint="eastAsia" w:ascii="宋体" w:hAnsi="宋体" w:eastAsia="宋体" w:cs="宋体"/>
                <w:b/>
                <w:bCs/>
                <w:sz w:val="21"/>
                <w:szCs w:val="21"/>
              </w:rPr>
              <w:t>二级</w:t>
            </w:r>
          </w:p>
          <w:p>
            <w:pPr>
              <w:spacing w:line="240" w:lineRule="exact"/>
              <w:ind w:right="-174" w:rightChars="-83"/>
              <w:jc w:val="center"/>
              <w:rPr>
                <w:rFonts w:hint="eastAsia" w:ascii="宋体" w:hAnsi="宋体" w:eastAsia="宋体" w:cs="宋体"/>
                <w:b/>
                <w:bCs/>
                <w:sz w:val="21"/>
                <w:szCs w:val="21"/>
              </w:rPr>
            </w:pPr>
            <w:r>
              <w:rPr>
                <w:rFonts w:hint="eastAsia" w:ascii="宋体" w:hAnsi="宋体" w:eastAsia="宋体" w:cs="宋体"/>
                <w:b/>
                <w:bCs/>
                <w:sz w:val="21"/>
                <w:szCs w:val="21"/>
              </w:rPr>
              <w:t>指标</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w:t>
            </w:r>
          </w:p>
          <w:p>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w:t>
            </w:r>
          </w:p>
        </w:tc>
        <w:tc>
          <w:tcPr>
            <w:tcW w:w="375" w:type="pct"/>
            <w:noWrap w:val="0"/>
            <w:vAlign w:val="center"/>
          </w:tcPr>
          <w:p>
            <w:pPr>
              <w:spacing w:line="240" w:lineRule="exact"/>
              <w:ind w:left="105" w:leftChars="50" w:right="105" w:rightChars="50"/>
              <w:jc w:val="center"/>
              <w:rPr>
                <w:rFonts w:hint="eastAsia" w:ascii="宋体" w:hAnsi="宋体" w:eastAsia="宋体" w:cs="宋体"/>
                <w:b/>
                <w:bCs/>
                <w:sz w:val="21"/>
                <w:szCs w:val="21"/>
              </w:rPr>
            </w:pPr>
            <w:r>
              <w:rPr>
                <w:rFonts w:hint="eastAsia" w:ascii="宋体" w:hAnsi="宋体" w:eastAsia="宋体" w:cs="宋体"/>
                <w:b/>
                <w:bCs/>
                <w:sz w:val="21"/>
                <w:szCs w:val="21"/>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宋体" w:hAnsi="宋体" w:eastAsia="宋体" w:cs="宋体"/>
                <w:b/>
                <w:bCs/>
                <w:sz w:val="21"/>
                <w:szCs w:val="21"/>
              </w:rPr>
            </w:pPr>
            <w:r>
              <w:rPr>
                <w:rFonts w:hint="eastAsia" w:ascii="宋体" w:hAnsi="宋体" w:eastAsia="宋体" w:cs="宋体"/>
                <w:b/>
                <w:bCs/>
                <w:sz w:val="21"/>
                <w:szCs w:val="21"/>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hint="eastAsia" w:ascii="宋体" w:hAnsi="宋体" w:eastAsia="宋体" w:cs="宋体"/>
                <w:b/>
                <w:bCs/>
                <w:sz w:val="21"/>
                <w:szCs w:val="21"/>
              </w:rPr>
            </w:pPr>
            <w:r>
              <w:rPr>
                <w:rFonts w:hint="eastAsia" w:ascii="宋体" w:hAnsi="宋体" w:eastAsia="宋体" w:cs="宋体"/>
                <w:b/>
                <w:bCs/>
                <w:sz w:val="21"/>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投   入（20分）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目标</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设定（5分）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绩效目标</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合理性（2分）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①是否符合国家法律法规、国民经济和社会发展总体规划；</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②是否符合部门“三定”方案确定的职责；</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绩效指标</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明确性（3分）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①是否将部门整体的绩效目标细化分解为具体的工作任务；</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②是否通过清晰、可衡量的指标值予以体现。    ③是否与部门年度的任务数或计划数相对应；</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预算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配置（15分）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在职人员</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控制率（5分）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在职人员控制率=（在职人员数/编制数）×100%。</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在职人员数：部门实际在职人数，以财政部确定的部门决算编制口径为准。</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“三公经费”</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变动率（5分）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“三公经费”变动率=[（本年度“三公经费”总额-上年度“三公经费”总额）/上年度“三公经费”总额]×100%。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重点支出</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安排率（5分）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重点支出安排率=（重点预算支出/预算总支出）×100%。</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过   程（30分）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预算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执行（20分）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预算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执行率（4分）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预算执行率=（预算执行数/预算数）×100%。</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预算执行数：部门本年度实际完成的预算数。</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预算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调整率（2分）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预算调整率=（预算调整数/预算数）×100%。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支付</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进度率（2分）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支付进度率=（实际支付进度/既定支付进度）×100%。</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实际支付进度：部门在某一时点的支出预算执行总数与年度支出预算数的比率。</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p>
        </w:tc>
        <w:tc>
          <w:tcPr>
            <w:tcW w:w="375" w:type="pct"/>
            <w:vMerge w:val="continue"/>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结转</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结余率（2分）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结转结余率=结转结余总额/支出预算数×100%。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结转结余</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变动率（2分）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结转结余变动率=[（本年度累计结转结余资金总额-上年度累计结转结余资金总额）/上年度累计结转结余资金总额]×100%。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公用经费</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控制率（2分）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公用经费控制率=（实际支出公用经费总额/预算安排公用经费总额）×100%。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“三公经费”控制率（2分）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“三公经费”控制率=（“三公经费”实际支出数/“三公经费”预算安排数）×100%。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政府采购</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执行率（4分）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政府采购执行率=（实际政府采购金额/政府采购预算数）×100%；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 xml:space="preserve">政府采购预算：采购机关根据事业发展计划和行政任务编制的、并经过规定程序批准的年度政府采购计划。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过</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程（30分）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预算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管理（5分）</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管理制度</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健全性（2分）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①是否已制定或具有预算资金管理办法、内部财务管理制度、会计核算制度等管理制度；</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②相关管理制度是否合法、合规、完整；</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资金使用</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合规性（1分）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①是否符合国家财经法规和财务管理制度规定以及有关预算支出管理办法的规定；</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②资金的拨付是否有完整的审批程序和手续；</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③预算支出的重大开支是否经过评估论证；</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④是否符合部门预算批复的用途；</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预决算信</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息公开性（1分）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①是否按规定内容公开预决算信息；</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②是否按规定时限公开预决算信息。</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基础信息</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完善性（1分）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①基础数据信息和会计信息资料是否真实；</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②基础数据信息和会计信息资料是否完整；</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资产</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管理（5分）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管理制度</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健全性（2分）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①是否已制定或具有资产管理制度；           ②相关资金管理制度是否合法、合规、完整；</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资产管理</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安全性（2分）</w:t>
            </w:r>
          </w:p>
        </w:tc>
        <w:tc>
          <w:tcPr>
            <w:tcW w:w="375" w:type="pct"/>
            <w:noWrap w:val="0"/>
            <w:vAlign w:val="top"/>
          </w:tcPr>
          <w:p>
            <w:pPr>
              <w:tabs>
                <w:tab w:val="left" w:pos="761"/>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评价要点：</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①资产保存是否完整；</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②资产配置是否合理；</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③资产处置是否规范；</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④资产账务管理是否合规，是否帐实相符；</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固定资产</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利用率（1分）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固定资产利用率=（实际在用固定资产总额/所有固定资产总额）×100%。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产   出（30分）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职责</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履行（30分）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实际</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完成率（8分）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实际完成率=（实际完成工作数/计划工作数）×100%。</w:t>
            </w:r>
          </w:p>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实际完成工作数：一定时期（年度或规划期）内部门实际完成工作任务的数量。</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hint="eastAsia" w:ascii="宋体" w:hAnsi="宋体" w:eastAsia="宋体" w:cs="宋体"/>
                <w:sz w:val="21"/>
                <w:szCs w:val="21"/>
              </w:rPr>
            </w:pPr>
          </w:p>
        </w:tc>
        <w:tc>
          <w:tcPr>
            <w:tcW w:w="375" w:type="pct"/>
            <w:vMerge w:val="continue"/>
            <w:noWrap w:val="0"/>
            <w:vAlign w:val="center"/>
          </w:tcPr>
          <w:p>
            <w:pPr>
              <w:spacing w:line="240" w:lineRule="exact"/>
              <w:jc w:val="center"/>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完成</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及时率（4分）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部门在规定时限内及时完成的实际工作数与计划工作数的比率,用以反映和考核部门履职时效目标的实现程度。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完成及时率=（及时完成实际工作数/计划工作数）×100%。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质量</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达标率（8分）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达到质量标准（绩效标准值）的实际工作数与计划工作数的比率,用以反映和考核部门履职质量目标的实现程度。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质量达标率=（质量达标实际工作数/计划工作数）×100%。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重点工作</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办结率（10分）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lang w:eastAsia="zh-CN"/>
              </w:rPr>
            </w:pPr>
            <w:r>
              <w:rPr>
                <w:rFonts w:hint="eastAsia" w:ascii="宋体" w:hAnsi="宋体" w:eastAsia="宋体" w:cs="宋体"/>
                <w:sz w:val="21"/>
                <w:szCs w:val="21"/>
              </w:rPr>
              <w:t>重点工作办结率=（重点工作实际完成数/交办或下达数）×100%。</w:t>
            </w:r>
          </w:p>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效   果（20分）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lang w:eastAsia="zh-CN"/>
              </w:rPr>
            </w:pPr>
            <w:r>
              <w:rPr>
                <w:rFonts w:hint="eastAsia" w:ascii="宋体" w:hAnsi="宋体" w:eastAsia="宋体" w:cs="宋体"/>
                <w:sz w:val="21"/>
                <w:szCs w:val="21"/>
              </w:rPr>
              <w:t>履职</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效益（20分）</w:t>
            </w: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经济效益（5分）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社会效益（5分）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生态效益（5分）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hint="eastAsia" w:ascii="宋体" w:hAnsi="宋体" w:eastAsia="宋体" w:cs="宋体"/>
                <w:sz w:val="21"/>
                <w:szCs w:val="21"/>
              </w:rPr>
            </w:pPr>
          </w:p>
        </w:tc>
        <w:tc>
          <w:tcPr>
            <w:tcW w:w="375" w:type="pct"/>
            <w:vMerge w:val="continue"/>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社会公众</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或服务对</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象满意度（5分）</w:t>
            </w: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r>
              <w:rPr>
                <w:rFonts w:hint="eastAsia" w:ascii="宋体" w:hAnsi="宋体" w:eastAsia="宋体" w:cs="宋体"/>
                <w:sz w:val="21"/>
                <w:szCs w:val="21"/>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r>
              <w:rPr>
                <w:rFonts w:hint="eastAsia" w:ascii="宋体" w:hAnsi="宋体" w:eastAsia="宋体" w:cs="宋体"/>
                <w:sz w:val="21"/>
                <w:szCs w:val="21"/>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总分</w:t>
            </w:r>
          </w:p>
        </w:tc>
        <w:tc>
          <w:tcPr>
            <w:tcW w:w="375" w:type="pct"/>
            <w:noWrap w:val="0"/>
            <w:vAlign w:val="center"/>
          </w:tcPr>
          <w:p>
            <w:pPr>
              <w:spacing w:line="240" w:lineRule="exact"/>
              <w:rPr>
                <w:rFonts w:hint="eastAsia" w:ascii="宋体" w:hAnsi="宋体" w:eastAsia="宋体" w:cs="宋体"/>
                <w:sz w:val="21"/>
                <w:szCs w:val="21"/>
              </w:rPr>
            </w:pPr>
          </w:p>
        </w:tc>
        <w:tc>
          <w:tcPr>
            <w:tcW w:w="500"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sz w:val="21"/>
                <w:szCs w:val="21"/>
              </w:rPr>
            </w:pPr>
          </w:p>
        </w:tc>
        <w:tc>
          <w:tcPr>
            <w:tcW w:w="375" w:type="pct"/>
            <w:noWrap w:val="0"/>
            <w:vAlign w:val="top"/>
          </w:tcPr>
          <w:p>
            <w:pPr>
              <w:tabs>
                <w:tab w:val="left" w:pos="2604"/>
              </w:tabs>
              <w:spacing w:line="240" w:lineRule="exact"/>
              <w:ind w:left="105" w:leftChars="50" w:right="105" w:rightChars="50" w:firstLine="96" w:firstLineChars="4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hAnsi="宋体" w:eastAsia="宋体" w:cs="宋体"/>
                <w:sz w:val="21"/>
                <w:szCs w:val="21"/>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sz w:val="21"/>
                <w:szCs w:val="21"/>
              </w:rPr>
            </w:pPr>
          </w:p>
        </w:tc>
      </w:tr>
    </w:tbl>
    <w:p>
      <w:pPr>
        <w:pStyle w:val="16"/>
        <w:ind w:firstLine="1280" w:firstLineChars="400"/>
        <w:rPr>
          <w:rFonts w:asciiTheme="minorEastAsia" w:hAnsiTheme="minorEastAsia" w:eastAsiaTheme="minorEastAsia"/>
          <w:sz w:val="32"/>
          <w:szCs w:val="32"/>
        </w:rPr>
      </w:pPr>
    </w:p>
    <w:p>
      <w:pPr>
        <w:pStyle w:val="16"/>
        <w:spacing w:line="600" w:lineRule="exact"/>
        <w:ind w:firstLine="640" w:firstLineChars="200"/>
        <w:rPr>
          <w:rFonts w:ascii="Times New Roman" w:hAnsi="Times New Roman" w:eastAsia="仿宋_GB2312"/>
          <w:sz w:val="32"/>
          <w:szCs w:val="32"/>
        </w:rPr>
      </w:pPr>
    </w:p>
    <w:p>
      <w:pPr>
        <w:pStyle w:val="16"/>
        <w:jc w:val="center"/>
        <w:rPr>
          <w:sz w:val="72"/>
          <w:szCs w:val="72"/>
        </w:rPr>
      </w:pPr>
    </w:p>
    <w:p>
      <w:pPr>
        <w:pStyle w:val="16"/>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89CCCB-F54F-4A60-BEDF-91168D9BD5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36320BE5-2E17-4000-B496-8EE6C6F3CAC7}"/>
  </w:font>
  <w:font w:name="仿宋_GB2312">
    <w:panose1 w:val="02010609030101010101"/>
    <w:charset w:val="86"/>
    <w:family w:val="modern"/>
    <w:pitch w:val="default"/>
    <w:sig w:usb0="00000001" w:usb1="080E0000" w:usb2="00000000" w:usb3="00000000" w:csb0="00040000" w:csb1="00000000"/>
    <w:embedRegular r:id="rId3" w:fontKey="{A504F52F-94DF-4BC2-A907-9412063676A3}"/>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4" w:fontKey="{889540BE-92E5-4EE1-89EC-17328B2C3377}"/>
  </w:font>
  <w:font w:name="方正小标宋简体">
    <w:panose1 w:val="02000000000000000000"/>
    <w:charset w:val="86"/>
    <w:family w:val="auto"/>
    <w:pitch w:val="default"/>
    <w:sig w:usb0="00000001" w:usb1="080E0000" w:usb2="00000000" w:usb3="00000000" w:csb0="00040000" w:csb1="00000000"/>
    <w:embedRegular r:id="rId5" w:fontKey="{84B0326F-823D-461B-B34A-F5A3F60C9F6A}"/>
  </w:font>
  <w:font w:name="楷体_GB2312">
    <w:panose1 w:val="02010609030101010101"/>
    <w:charset w:val="86"/>
    <w:family w:val="modern"/>
    <w:pitch w:val="default"/>
    <w:sig w:usb0="00000001" w:usb1="080E0000" w:usb2="00000000" w:usb3="00000000" w:csb0="00040000" w:csb1="00000000"/>
    <w:embedRegular r:id="rId6" w:fontKey="{D3F0C94F-2BE9-4A32-9EDC-EC9C7FA9784F}"/>
  </w:font>
  <w:font w:name="微软雅黑">
    <w:panose1 w:val="020B0503020204020204"/>
    <w:charset w:val="86"/>
    <w:family w:val="auto"/>
    <w:pitch w:val="default"/>
    <w:sig w:usb0="80000287" w:usb1="2ACF3C50" w:usb2="00000016" w:usb3="00000000" w:csb0="0004001F" w:csb1="00000000"/>
    <w:embedRegular r:id="rId7" w:fontKey="{92A424D8-AF84-4C34-BD7E-F65C355E80B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EA0EC"/>
    <w:multiLevelType w:val="singleLevel"/>
    <w:tmpl w:val="5C4EA0E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Nzg5NzJjYzA1ODczYjBjY2NkYWJkYzk0N2QxOT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F682E"/>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56FBD"/>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721BC1"/>
    <w:rsid w:val="108878F1"/>
    <w:rsid w:val="133956FF"/>
    <w:rsid w:val="186B4953"/>
    <w:rsid w:val="1D97DEFF"/>
    <w:rsid w:val="1DFF72E5"/>
    <w:rsid w:val="1EFC6F07"/>
    <w:rsid w:val="254421CE"/>
    <w:rsid w:val="2685748B"/>
    <w:rsid w:val="2A565A21"/>
    <w:rsid w:val="2FDF85B8"/>
    <w:rsid w:val="2FFFEE04"/>
    <w:rsid w:val="3064070C"/>
    <w:rsid w:val="34DF85B0"/>
    <w:rsid w:val="3550436F"/>
    <w:rsid w:val="35BE24B2"/>
    <w:rsid w:val="3B8F36BC"/>
    <w:rsid w:val="3D38054F"/>
    <w:rsid w:val="40BC0E53"/>
    <w:rsid w:val="42DA35A3"/>
    <w:rsid w:val="491FF225"/>
    <w:rsid w:val="4C1D19C5"/>
    <w:rsid w:val="4FFD214C"/>
    <w:rsid w:val="569C6FB5"/>
    <w:rsid w:val="5777D4F5"/>
    <w:rsid w:val="58276B45"/>
    <w:rsid w:val="59DD8326"/>
    <w:rsid w:val="5DEF592A"/>
    <w:rsid w:val="5FC6BB1E"/>
    <w:rsid w:val="5FF720F1"/>
    <w:rsid w:val="67FF5C0B"/>
    <w:rsid w:val="6EFC0924"/>
    <w:rsid w:val="6FB74722"/>
    <w:rsid w:val="6FEF8B7E"/>
    <w:rsid w:val="71A6591B"/>
    <w:rsid w:val="737D59BA"/>
    <w:rsid w:val="77C37683"/>
    <w:rsid w:val="79FF515B"/>
    <w:rsid w:val="7E9E1962"/>
    <w:rsid w:val="7E9F11B4"/>
    <w:rsid w:val="7EA06B86"/>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endnote text"/>
    <w:basedOn w:val="1"/>
    <w:next w:val="3"/>
    <w:qFormat/>
    <w:uiPriority w:val="0"/>
    <w:rPr>
      <w:rFonts w:ascii="Times New Roman" w:hAnsi="Times New Roman" w:eastAsia="宋体" w:cs="Times New Roman"/>
    </w:rPr>
  </w:style>
  <w:style w:type="paragraph" w:styleId="3">
    <w:name w:val="Body Text"/>
    <w:basedOn w:val="1"/>
    <w:next w:val="4"/>
    <w:qFormat/>
    <w:uiPriority w:val="0"/>
    <w:rPr>
      <w:sz w:val="31"/>
      <w:szCs w:val="22"/>
    </w:rPr>
  </w:style>
  <w:style w:type="paragraph" w:styleId="4">
    <w:name w:val="footer"/>
    <w:basedOn w:val="1"/>
    <w:next w:val="5"/>
    <w:link w:val="15"/>
    <w:unhideWhenUsed/>
    <w:qFormat/>
    <w:uiPriority w:val="99"/>
    <w:pPr>
      <w:tabs>
        <w:tab w:val="center" w:pos="4153"/>
        <w:tab w:val="right" w:pos="8306"/>
      </w:tabs>
      <w:snapToGrid w:val="0"/>
      <w:jc w:val="left"/>
    </w:pPr>
    <w:rPr>
      <w:sz w:val="18"/>
      <w:szCs w:val="18"/>
    </w:rPr>
  </w:style>
  <w:style w:type="paragraph" w:styleId="5">
    <w:name w:val="index 5"/>
    <w:basedOn w:val="1"/>
    <w:next w:val="1"/>
    <w:qFormat/>
    <w:uiPriority w:val="0"/>
    <w:pPr>
      <w:ind w:left="1680"/>
    </w:pPr>
    <w:rPr>
      <w:rFonts w:ascii="Times New Roman" w:hAnsi="Times New Roman" w:eastAsia="宋体"/>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8"/>
    <w:semiHidden/>
    <w:unhideWhenUsed/>
    <w:qFormat/>
    <w:uiPriority w:val="99"/>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7"/>
    <w:semiHidden/>
    <w:qFormat/>
    <w:uiPriority w:val="0"/>
    <w:pPr>
      <w:snapToGrid w:val="0"/>
      <w:jc w:val="left"/>
    </w:pPr>
    <w:rPr>
      <w:sz w:val="18"/>
      <w:szCs w:val="18"/>
    </w:rPr>
  </w:style>
  <w:style w:type="paragraph" w:styleId="11">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customStyle="1" w:styleId="14">
    <w:name w:val="页眉 Char"/>
    <w:basedOn w:val="13"/>
    <w:link w:val="9"/>
    <w:qFormat/>
    <w:uiPriority w:val="99"/>
    <w:rPr>
      <w:sz w:val="18"/>
      <w:szCs w:val="18"/>
    </w:rPr>
  </w:style>
  <w:style w:type="character" w:customStyle="1" w:styleId="15">
    <w:name w:val="页脚 Char"/>
    <w:basedOn w:val="13"/>
    <w:link w:val="4"/>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8"/>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9936</Words>
  <Characters>11226</Characters>
  <Lines>62</Lines>
  <Paragraphs>17</Paragraphs>
  <TotalTime>6</TotalTime>
  <ScaleCrop>false</ScaleCrop>
  <LinksUpToDate>false</LinksUpToDate>
  <CharactersWithSpaces>11712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丫丫</cp:lastModifiedBy>
  <cp:lastPrinted>2024-08-08T10:20:00Z</cp:lastPrinted>
  <dcterms:modified xsi:type="dcterms:W3CDTF">2024-09-04T02:35:01Z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7E6D0387325944E69794293FCA3D2218</vt:lpwstr>
  </property>
</Properties>
</file>