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beforeAutospacing="0" w:afterAutospacing="0" w:line="240" w:lineRule="atLeast"/>
        <w:jc w:val="center"/>
        <w:textAlignment w:val="auto"/>
        <w:outlineLvl w:val="2"/>
        <w:rPr>
          <w:rFonts w:hint="eastAsia" w:ascii="方正小标宋简体" w:hAnsi="方正小标宋简体" w:eastAsia="方正小标宋简体" w:cs="方正小标宋简体"/>
          <w:color w:val="000000"/>
          <w:kern w:val="0"/>
          <w:sz w:val="44"/>
          <w:szCs w:val="44"/>
          <w:lang w:val="en-US" w:eastAsia="zh-CN"/>
        </w:rPr>
      </w:pPr>
      <w:bookmarkStart w:id="0" w:name="_GoBack"/>
      <w:r>
        <w:rPr>
          <w:rFonts w:hint="eastAsia" w:ascii="方正小标宋简体" w:hAnsi="方正小标宋简体" w:eastAsia="方正小标宋简体" w:cs="方正小标宋简体"/>
          <w:color w:val="000000"/>
          <w:kern w:val="0"/>
          <w:sz w:val="44"/>
          <w:szCs w:val="44"/>
        </w:rPr>
        <w:t>20</w:t>
      </w:r>
      <w:r>
        <w:rPr>
          <w:rFonts w:hint="eastAsia" w:ascii="方正小标宋简体" w:hAnsi="方正小标宋简体" w:eastAsia="方正小标宋简体" w:cs="方正小标宋简体"/>
          <w:color w:val="000000"/>
          <w:kern w:val="0"/>
          <w:sz w:val="44"/>
          <w:szCs w:val="44"/>
          <w:lang w:val="en-US" w:eastAsia="zh-CN"/>
        </w:rPr>
        <w:t>23</w:t>
      </w:r>
      <w:r>
        <w:rPr>
          <w:rFonts w:hint="eastAsia" w:ascii="方正小标宋简体" w:hAnsi="方正小标宋简体" w:eastAsia="方正小标宋简体" w:cs="方正小标宋简体"/>
          <w:color w:val="000000"/>
          <w:kern w:val="0"/>
          <w:sz w:val="44"/>
          <w:szCs w:val="44"/>
        </w:rPr>
        <w:t>年度</w:t>
      </w:r>
      <w:r>
        <w:rPr>
          <w:rFonts w:hint="eastAsia" w:ascii="方正小标宋简体" w:hAnsi="方正小标宋简体" w:eastAsia="方正小标宋简体" w:cs="方正小标宋简体"/>
          <w:color w:val="000000"/>
          <w:kern w:val="0"/>
          <w:sz w:val="44"/>
          <w:szCs w:val="44"/>
          <w:lang w:val="en-US" w:eastAsia="zh-CN"/>
        </w:rPr>
        <w:t>益阳市赫山区总工会</w:t>
      </w:r>
    </w:p>
    <w:p>
      <w:pPr>
        <w:keepNext w:val="0"/>
        <w:keepLines w:val="0"/>
        <w:pageBreakBefore w:val="0"/>
        <w:widowControl/>
        <w:kinsoku/>
        <w:wordWrap/>
        <w:overflowPunct/>
        <w:topLinePunct w:val="0"/>
        <w:autoSpaceDE/>
        <w:autoSpaceDN/>
        <w:bidi w:val="0"/>
        <w:adjustRightInd/>
        <w:snapToGrid/>
        <w:spacing w:beforeAutospacing="0" w:afterAutospacing="0" w:line="240" w:lineRule="atLeast"/>
        <w:jc w:val="center"/>
        <w:textAlignment w:val="auto"/>
        <w:outlineLvl w:val="2"/>
        <w:rPr>
          <w:rFonts w:hint="eastAsia"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lang w:val="en-US" w:eastAsia="zh-CN"/>
        </w:rPr>
        <w:t>部门</w:t>
      </w:r>
      <w:r>
        <w:rPr>
          <w:rFonts w:hint="eastAsia" w:ascii="方正小标宋简体" w:hAnsi="方正小标宋简体" w:eastAsia="方正小标宋简体" w:cs="方正小标宋简体"/>
          <w:color w:val="000000"/>
          <w:kern w:val="0"/>
          <w:sz w:val="44"/>
          <w:szCs w:val="44"/>
        </w:rPr>
        <w:t>整体支出绩效评价报告</w:t>
      </w:r>
    </w:p>
    <w:bookmarkEnd w:id="0"/>
    <w:p>
      <w:pPr>
        <w:keepNext w:val="0"/>
        <w:keepLines w:val="0"/>
        <w:pageBreakBefore w:val="0"/>
        <w:widowControl/>
        <w:kinsoku/>
        <w:wordWrap/>
        <w:overflowPunct/>
        <w:topLinePunct w:val="0"/>
        <w:autoSpaceDE/>
        <w:autoSpaceDN/>
        <w:bidi w:val="0"/>
        <w:adjustRightInd/>
        <w:snapToGrid/>
        <w:spacing w:beforeAutospacing="0" w:afterAutospacing="0" w:line="240" w:lineRule="atLeast"/>
        <w:jc w:val="center"/>
        <w:textAlignment w:val="auto"/>
        <w:outlineLvl w:val="2"/>
        <w:rPr>
          <w:rFonts w:hint="eastAsia" w:ascii="方正小标宋简体" w:hAnsi="方正小标宋简体" w:eastAsia="方正小标宋简体" w:cs="方正小标宋简体"/>
          <w:color w:val="000000"/>
          <w:kern w:val="0"/>
          <w:sz w:val="30"/>
          <w:szCs w:val="30"/>
          <w:lang w:val="en-US" w:eastAsia="zh-CN"/>
        </w:rPr>
      </w:pPr>
    </w:p>
    <w:p>
      <w:pPr>
        <w:pStyle w:val="22"/>
        <w:keepNext w:val="0"/>
        <w:keepLines w:val="0"/>
        <w:pageBreakBefore w:val="0"/>
        <w:kinsoku/>
        <w:wordWrap/>
        <w:overflowPunct/>
        <w:topLinePunct w:val="0"/>
        <w:autoSpaceDE/>
        <w:autoSpaceDN/>
        <w:bidi w:val="0"/>
        <w:adjustRightInd/>
        <w:snapToGrid/>
        <w:spacing w:beforeAutospacing="0" w:afterAutospacing="0" w:line="240" w:lineRule="atLeast"/>
        <w:ind w:firstLine="64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为进一步强化部门责任意识，规范财政资金管理，提高财政资金使用效益，根据《益阳市赫山区财政局关于做好20</w:t>
      </w:r>
      <w:r>
        <w:rPr>
          <w:rFonts w:hint="eastAsia" w:ascii="仿宋_GB2312" w:hAnsi="仿宋_GB2312" w:eastAsia="仿宋_GB2312" w:cs="仿宋_GB2312"/>
          <w:color w:val="000000"/>
          <w:sz w:val="32"/>
          <w:szCs w:val="32"/>
          <w:lang w:val="en-US" w:eastAsia="zh-CN"/>
        </w:rPr>
        <w:t>23</w:t>
      </w:r>
      <w:r>
        <w:rPr>
          <w:rFonts w:hint="eastAsia" w:ascii="仿宋_GB2312" w:hAnsi="仿宋_GB2312" w:eastAsia="仿宋_GB2312" w:cs="仿宋_GB2312"/>
          <w:color w:val="000000"/>
          <w:sz w:val="32"/>
          <w:szCs w:val="32"/>
        </w:rPr>
        <w:t>年度</w:t>
      </w:r>
      <w:r>
        <w:rPr>
          <w:rFonts w:hint="eastAsia" w:ascii="仿宋_GB2312" w:hAnsi="仿宋_GB2312" w:eastAsia="仿宋_GB2312" w:cs="仿宋_GB2312"/>
          <w:color w:val="000000"/>
          <w:sz w:val="32"/>
          <w:szCs w:val="32"/>
          <w:lang w:val="en-US" w:eastAsia="zh-CN"/>
        </w:rPr>
        <w:t>区级</w:t>
      </w:r>
      <w:r>
        <w:rPr>
          <w:rFonts w:hint="eastAsia" w:ascii="仿宋_GB2312" w:hAnsi="仿宋_GB2312" w:eastAsia="仿宋_GB2312" w:cs="仿宋_GB2312"/>
          <w:color w:val="000000"/>
          <w:sz w:val="32"/>
          <w:szCs w:val="32"/>
        </w:rPr>
        <w:t>预算</w:t>
      </w:r>
      <w:r>
        <w:rPr>
          <w:rFonts w:hint="eastAsia" w:ascii="仿宋_GB2312" w:hAnsi="仿宋_GB2312" w:eastAsia="仿宋_GB2312" w:cs="仿宋_GB2312"/>
          <w:color w:val="000000"/>
          <w:sz w:val="32"/>
          <w:szCs w:val="32"/>
          <w:lang w:val="en-US" w:eastAsia="zh-CN"/>
        </w:rPr>
        <w:t>部门绩效</w:t>
      </w:r>
      <w:r>
        <w:rPr>
          <w:rFonts w:hint="eastAsia" w:ascii="仿宋_GB2312" w:hAnsi="仿宋_GB2312" w:eastAsia="仿宋_GB2312" w:cs="仿宋_GB2312"/>
          <w:color w:val="000000"/>
          <w:sz w:val="32"/>
          <w:szCs w:val="32"/>
        </w:rPr>
        <w:t>自评和部门评价工作的通知》（益赫财绩〔20</w:t>
      </w:r>
      <w:r>
        <w:rPr>
          <w:rFonts w:hint="eastAsia" w:ascii="仿宋_GB2312" w:hAnsi="仿宋_GB2312" w:eastAsia="仿宋_GB2312" w:cs="仿宋_GB2312"/>
          <w:color w:val="000000"/>
          <w:sz w:val="32"/>
          <w:szCs w:val="32"/>
          <w:lang w:val="en-US" w:eastAsia="zh-CN"/>
        </w:rPr>
        <w:t>24</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2号）</w:t>
      </w:r>
      <w:r>
        <w:rPr>
          <w:rFonts w:hint="eastAsia" w:ascii="仿宋_GB2312" w:hAnsi="仿宋_GB2312" w:eastAsia="仿宋_GB2312" w:cs="仿宋_GB2312"/>
          <w:color w:val="000000"/>
          <w:sz w:val="32"/>
          <w:szCs w:val="32"/>
        </w:rPr>
        <w:t>文件的要求，我单位组织力量对部门整体支出进行了绩效评价，现将情况汇报如下：</w:t>
      </w:r>
    </w:p>
    <w:p>
      <w:pPr>
        <w:adjustRightInd w:val="0"/>
        <w:snapToGrid w:val="0"/>
        <w:spacing w:line="600" w:lineRule="exact"/>
        <w:ind w:firstLine="640" w:firstLineChars="200"/>
        <w:rPr>
          <w:rFonts w:eastAsia="黑体"/>
          <w:sz w:val="32"/>
          <w:szCs w:val="32"/>
        </w:rPr>
      </w:pPr>
      <w:r>
        <w:rPr>
          <w:rFonts w:ascii="黑体" w:hAnsi="黑体" w:eastAsia="黑体"/>
          <w:sz w:val="32"/>
          <w:szCs w:val="32"/>
        </w:rPr>
        <w:t>一、部门（单位）基本情况</w:t>
      </w:r>
    </w:p>
    <w:p>
      <w:pPr>
        <w:adjustRightInd w:val="0"/>
        <w:snapToGrid w:val="0"/>
        <w:spacing w:line="600" w:lineRule="exact"/>
        <w:ind w:firstLine="640" w:firstLineChars="200"/>
        <w:jc w:val="left"/>
        <w:rPr>
          <w:rFonts w:hint="eastAsia" w:ascii="Times New Roman" w:hAnsi="Times New Roman" w:eastAsia="仿宋_GB2312"/>
          <w:sz w:val="32"/>
          <w:szCs w:val="32"/>
        </w:rPr>
      </w:pPr>
      <w:r>
        <w:rPr>
          <w:rFonts w:hint="eastAsia" w:ascii="Times New Roman" w:hAnsi="Times New Roman" w:eastAsia="仿宋_GB2312"/>
          <w:sz w:val="32"/>
          <w:szCs w:val="32"/>
        </w:rPr>
        <w:t>（一）机构设置及人员编制情况</w:t>
      </w:r>
    </w:p>
    <w:p>
      <w:pPr>
        <w:pStyle w:val="2"/>
        <w:ind w:firstLine="640" w:firstLineChars="200"/>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区总工会本级作为财政预算一级单位。2023年区总工会机关内设办公室、经费管理部、综合业务部等3个部室。下辖区工人文化宫1个二级机构。2023年年末，在编在职公职人员18人，兼挂职人员3人，社会化工作者8人，离休1人，退休13人。</w:t>
      </w:r>
    </w:p>
    <w:p>
      <w:pPr>
        <w:pStyle w:val="3"/>
        <w:ind w:firstLine="640" w:firstLineChars="200"/>
        <w:rPr>
          <w:rFonts w:hint="eastAsia"/>
          <w:sz w:val="32"/>
          <w:szCs w:val="24"/>
        </w:rPr>
      </w:pPr>
      <w:r>
        <w:rPr>
          <w:rFonts w:hint="eastAsia" w:ascii="Times New Roman" w:hAnsi="Times New Roman" w:eastAsia="仿宋_GB2312"/>
          <w:sz w:val="32"/>
          <w:szCs w:val="32"/>
        </w:rPr>
        <w:t>（二）部门职能职责</w:t>
      </w:r>
    </w:p>
    <w:p>
      <w:pPr>
        <w:pStyle w:val="11"/>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tLeast"/>
        <w:ind w:firstLine="640" w:firstLineChars="200"/>
        <w:textAlignment w:val="auto"/>
        <w:rPr>
          <w:rFonts w:hint="default"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依据《中华人民共和国工会法》和《中国工会章程》的规定，以及区经济工作会议精神，区总工会机关的主要职责是：1、认真贯彻执行党的路线、方针、政策。围绕区委区政府和市总工会工作部署，确定全区工会工作的指导思想和工作任务，指导全区工会工作。2、依照《工会法》、《劳动法》及《中国工会章程》的规定，组织、指导全区各级工会组织，以维护职工合法权益为基本职责，全面履行工会的各项社会职能。认真贯彻执行区工会代表大会的决议，积极开展工会的各项业务工作。根据有关规定，与区政府建立联席会议制度，参与涉及职工切身利益的有关政策、措施和办法的制定，代表和反映职工群众的愿望和要求。3、围绕全区的中心工作，组织、动员、指导基层工会广泛开展社会主义劳动竞赛、合理化建议和经济技术创新等活动。4、贯彻执行党的全心全意依靠工人阶级的根本指导方针，积极参与和支持企业改革，并在改革中切实当好职工利益的代表者和维护者，指导基层工会搞好民主管理和民主监督，加强职代会及平等协商签订集体合同制度建设，建立健全协调劳动关系的有效机制。认真履行帮扶特困职工“第一责任人”职责。5、进一步加强工会组织的自身建设和改革。协助各乡（镇）、区直机关、企事业单位党组织调整配备好同级工会领导班子，指导全区基层工会换届选举，突出抓好新建企业工会组建工作。研究制定、建立适合我区工会情况的工会组织制度和管理办法；指导和帮助各级工会领导班子搞好思想作风建设。制定工会干部的管理制度和培训规划，负责工会干部的培训工作。6、进一步做好工会劳动保护工作，切实维护职工的劳动安全和健康，建立和完善全区工会劳动保护监督检查组织，强化群众性安全监督检查措施。参与安全事故的调查处理工作。7、负责工会经费的管理、审查、审计工作及工会资产的管理，制定工会财务收支管理办法和措施，负责企事业单位工会经费的审查审计工作。8、积极做好与区外工会组织的经济、技术、文化交流与合作，建立友好关系。完成区委区政府交办的其它各项工作任务。</w:t>
      </w:r>
    </w:p>
    <w:p>
      <w:pPr>
        <w:pStyle w:val="3"/>
        <w:ind w:firstLine="640" w:firstLineChars="20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（三）、</w:t>
      </w:r>
      <w:r>
        <w:rPr>
          <w:rFonts w:hint="eastAsia" w:ascii="Times New Roman" w:hAnsi="Times New Roman" w:eastAsia="仿宋_GB2312"/>
          <w:sz w:val="32"/>
          <w:szCs w:val="32"/>
        </w:rPr>
        <w:t>财务情况及绩效目标</w:t>
      </w:r>
    </w:p>
    <w:p>
      <w:pPr>
        <w:autoSpaceDE w:val="0"/>
        <w:spacing w:line="560" w:lineRule="exact"/>
        <w:ind w:firstLine="640" w:firstLineChars="200"/>
        <w:jc w:val="left"/>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 xml:space="preserve"> 1、财务情况：2023年年初收入预算</w:t>
      </w:r>
      <w:r>
        <w:rPr>
          <w:rFonts w:hint="eastAsia" w:ascii="仿宋_GB2312" w:hAnsi="仿宋_GB2312" w:cs="仿宋_GB2312"/>
          <w:color w:val="000000"/>
          <w:kern w:val="2"/>
          <w:sz w:val="32"/>
          <w:szCs w:val="32"/>
          <w:lang w:val="en-US" w:eastAsia="zh-CN" w:bidi="ar-SA"/>
        </w:rPr>
        <w:t>243.51</w:t>
      </w:r>
      <w:r>
        <w:rPr>
          <w:rFonts w:hint="eastAsia" w:ascii="仿宋_GB2312" w:hAnsi="仿宋_GB2312" w:eastAsia="仿宋_GB2312" w:cs="仿宋_GB2312"/>
          <w:color w:val="000000"/>
          <w:kern w:val="2"/>
          <w:sz w:val="32"/>
          <w:szCs w:val="32"/>
          <w:lang w:val="en-US" w:eastAsia="zh-CN" w:bidi="ar-SA"/>
        </w:rPr>
        <w:t>万元，其中：一般公共预算拨款</w:t>
      </w:r>
      <w:r>
        <w:rPr>
          <w:rFonts w:hint="eastAsia" w:ascii="仿宋_GB2312" w:hAnsi="仿宋_GB2312" w:cs="仿宋_GB2312"/>
          <w:color w:val="000000"/>
          <w:kern w:val="2"/>
          <w:sz w:val="32"/>
          <w:szCs w:val="32"/>
          <w:lang w:val="en-US" w:eastAsia="zh-CN" w:bidi="ar-SA"/>
        </w:rPr>
        <w:t>243.51</w:t>
      </w:r>
      <w:r>
        <w:rPr>
          <w:rFonts w:hint="eastAsia" w:ascii="仿宋_GB2312" w:hAnsi="仿宋_GB2312" w:eastAsia="仿宋_GB2312" w:cs="仿宋_GB2312"/>
          <w:color w:val="000000"/>
          <w:kern w:val="2"/>
          <w:sz w:val="32"/>
          <w:szCs w:val="32"/>
          <w:lang w:val="en-US" w:eastAsia="zh-CN" w:bidi="ar-SA"/>
        </w:rPr>
        <w:t>万元，占100%；本年度年初基本支出预算</w:t>
      </w:r>
      <w:r>
        <w:rPr>
          <w:rFonts w:hint="eastAsia" w:ascii="仿宋_GB2312" w:hAnsi="仿宋_GB2312" w:cs="仿宋_GB2312"/>
          <w:color w:val="000000"/>
          <w:kern w:val="2"/>
          <w:sz w:val="32"/>
          <w:szCs w:val="32"/>
          <w:lang w:val="en-US" w:eastAsia="zh-CN" w:bidi="ar-SA"/>
        </w:rPr>
        <w:t>243.51</w:t>
      </w:r>
      <w:r>
        <w:rPr>
          <w:rFonts w:hint="eastAsia" w:ascii="仿宋_GB2312" w:hAnsi="仿宋_GB2312" w:eastAsia="仿宋_GB2312" w:cs="仿宋_GB2312"/>
          <w:color w:val="000000"/>
          <w:kern w:val="2"/>
          <w:sz w:val="32"/>
          <w:szCs w:val="32"/>
          <w:lang w:val="en-US" w:eastAsia="zh-CN" w:bidi="ar-SA"/>
        </w:rPr>
        <w:t>万元，其中按支出经济分类科目：工资福利支出</w:t>
      </w:r>
      <w:r>
        <w:rPr>
          <w:rFonts w:hint="eastAsia" w:ascii="仿宋_GB2312" w:hAnsi="仿宋_GB2312" w:cs="仿宋_GB2312"/>
          <w:color w:val="000000"/>
          <w:kern w:val="2"/>
          <w:sz w:val="32"/>
          <w:szCs w:val="32"/>
          <w:lang w:val="en-US" w:eastAsia="zh-CN" w:bidi="ar-SA"/>
        </w:rPr>
        <w:t>201.85</w:t>
      </w:r>
      <w:r>
        <w:rPr>
          <w:rFonts w:hint="eastAsia" w:ascii="仿宋_GB2312" w:hAnsi="仿宋_GB2312" w:eastAsia="仿宋_GB2312" w:cs="仿宋_GB2312"/>
          <w:color w:val="000000"/>
          <w:kern w:val="2"/>
          <w:sz w:val="32"/>
          <w:szCs w:val="32"/>
          <w:lang w:val="en-US" w:eastAsia="zh-CN" w:bidi="ar-SA"/>
        </w:rPr>
        <w:t>万元，商品和服务支出30.18万元，对个人和家庭补助支出11.48万元；项目支出预算0万元。</w:t>
      </w:r>
    </w:p>
    <w:p>
      <w:pPr>
        <w:autoSpaceDE w:val="0"/>
        <w:spacing w:line="560" w:lineRule="exact"/>
        <w:ind w:firstLine="640" w:firstLineChars="200"/>
        <w:jc w:val="left"/>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 xml:space="preserve"> 2、绩效目标：</w:t>
      </w:r>
      <w:r>
        <w:rPr>
          <w:rFonts w:hint="eastAsia" w:ascii="仿宋_GB2312" w:hAnsi="仿宋_GB2312" w:cs="仿宋_GB2312"/>
          <w:color w:val="000000"/>
          <w:kern w:val="2"/>
          <w:sz w:val="32"/>
          <w:szCs w:val="32"/>
          <w:lang w:val="en-US" w:eastAsia="zh-CN" w:bidi="ar-SA"/>
        </w:rPr>
        <w:t>依法</w:t>
      </w:r>
      <w:r>
        <w:rPr>
          <w:rFonts w:hint="eastAsia" w:ascii="仿宋_GB2312" w:hAnsi="仿宋_GB2312" w:eastAsia="仿宋_GB2312" w:cs="仿宋_GB2312"/>
          <w:color w:val="000000"/>
          <w:kern w:val="2"/>
          <w:sz w:val="32"/>
          <w:szCs w:val="32"/>
          <w:lang w:val="en-US" w:eastAsia="zh-CN" w:bidi="ar-SA"/>
        </w:rPr>
        <w:t>完成工会经费的收缴、</w:t>
      </w:r>
      <w:r>
        <w:rPr>
          <w:rFonts w:hint="eastAsia" w:ascii="仿宋_GB2312" w:hAnsi="仿宋_GB2312" w:cs="仿宋_GB2312"/>
          <w:color w:val="000000"/>
          <w:kern w:val="2"/>
          <w:sz w:val="32"/>
          <w:szCs w:val="32"/>
          <w:lang w:val="en-US" w:eastAsia="zh-CN" w:bidi="ar-SA"/>
        </w:rPr>
        <w:t>上解、管理和使用等</w:t>
      </w:r>
      <w:r>
        <w:rPr>
          <w:rFonts w:hint="eastAsia" w:ascii="仿宋_GB2312" w:hAnsi="仿宋_GB2312" w:eastAsia="仿宋_GB2312" w:cs="仿宋_GB2312"/>
          <w:color w:val="000000"/>
          <w:kern w:val="2"/>
          <w:sz w:val="32"/>
          <w:szCs w:val="32"/>
          <w:lang w:val="en-US" w:eastAsia="zh-CN" w:bidi="ar-SA"/>
        </w:rPr>
        <w:t>工作，</w:t>
      </w:r>
      <w:r>
        <w:rPr>
          <w:rFonts w:hint="eastAsia" w:ascii="仿宋_GB2312" w:hAnsi="仿宋_GB2312" w:cs="仿宋_GB2312"/>
          <w:color w:val="000000"/>
          <w:kern w:val="2"/>
          <w:sz w:val="32"/>
          <w:szCs w:val="32"/>
          <w:lang w:val="en-US" w:eastAsia="zh-CN" w:bidi="ar-SA"/>
        </w:rPr>
        <w:t>依法</w:t>
      </w:r>
      <w:r>
        <w:rPr>
          <w:rFonts w:hint="eastAsia" w:ascii="仿宋_GB2312" w:hAnsi="仿宋_GB2312" w:eastAsia="仿宋_GB2312" w:cs="仿宋_GB2312"/>
          <w:color w:val="000000"/>
          <w:kern w:val="2"/>
          <w:sz w:val="32"/>
          <w:szCs w:val="32"/>
          <w:lang w:val="en-US" w:eastAsia="zh-CN" w:bidi="ar-SA"/>
        </w:rPr>
        <w:t>加强工会组织建设，维护职工合法权益、维护社会经济秩序；履行好工会的各项社会职能</w:t>
      </w:r>
      <w:r>
        <w:rPr>
          <w:rFonts w:hint="eastAsia" w:ascii="仿宋_GB2312" w:hAnsi="仿宋_GB2312" w:cs="仿宋_GB2312"/>
          <w:color w:val="000000"/>
          <w:kern w:val="2"/>
          <w:sz w:val="32"/>
          <w:szCs w:val="32"/>
          <w:lang w:val="en-US" w:eastAsia="zh-CN" w:bidi="ar-SA"/>
        </w:rPr>
        <w:t>（</w:t>
      </w:r>
      <w:r>
        <w:rPr>
          <w:rFonts w:hint="eastAsia" w:ascii="仿宋_GB2312" w:hAnsi="仿宋_GB2312" w:eastAsia="仿宋_GB2312" w:cs="仿宋_GB2312"/>
          <w:color w:val="000000"/>
          <w:kern w:val="2"/>
          <w:sz w:val="32"/>
          <w:szCs w:val="32"/>
          <w:lang w:val="en-US" w:eastAsia="zh-CN" w:bidi="ar-SA"/>
        </w:rPr>
        <w:t>组织和指导全</w:t>
      </w:r>
      <w:r>
        <w:rPr>
          <w:rFonts w:hint="eastAsia" w:ascii="仿宋_GB2312" w:hAnsi="仿宋_GB2312" w:cs="仿宋_GB2312"/>
          <w:color w:val="000000"/>
          <w:kern w:val="2"/>
          <w:sz w:val="32"/>
          <w:szCs w:val="32"/>
          <w:lang w:val="en-US" w:eastAsia="zh-CN" w:bidi="ar-SA"/>
        </w:rPr>
        <w:t>区</w:t>
      </w:r>
      <w:r>
        <w:rPr>
          <w:rFonts w:hint="eastAsia" w:ascii="仿宋_GB2312" w:hAnsi="仿宋_GB2312" w:eastAsia="仿宋_GB2312" w:cs="仿宋_GB2312"/>
          <w:color w:val="000000"/>
          <w:kern w:val="2"/>
          <w:sz w:val="32"/>
          <w:szCs w:val="32"/>
          <w:lang w:val="en-US" w:eastAsia="zh-CN" w:bidi="ar-SA"/>
        </w:rPr>
        <w:t>各级工会开展以职工代表大会为基本制度的民主选举、民主决策、民主管理和民主监督工作，推动基层工会开展和谐企业创建，建立工资集体协商、劳动合同、集体合同制度和监督保障机制：开展群众性的劳动竞赛、经济技术创新、职工技能培训、职工素质提升、安全生产教育等工作</w:t>
      </w:r>
      <w:r>
        <w:rPr>
          <w:rFonts w:hint="eastAsia" w:ascii="仿宋_GB2312" w:hAnsi="仿宋_GB2312" w:cs="仿宋_GB2312"/>
          <w:color w:val="000000"/>
          <w:kern w:val="2"/>
          <w:sz w:val="32"/>
          <w:szCs w:val="32"/>
          <w:lang w:val="en-US" w:eastAsia="zh-CN" w:bidi="ar-SA"/>
        </w:rPr>
        <w:t>）</w:t>
      </w:r>
      <w:r>
        <w:rPr>
          <w:rFonts w:hint="eastAsia" w:ascii="仿宋_GB2312" w:hAnsi="仿宋_GB2312" w:eastAsia="仿宋_GB2312" w:cs="仿宋_GB2312"/>
          <w:color w:val="000000"/>
          <w:kern w:val="2"/>
          <w:sz w:val="32"/>
          <w:szCs w:val="32"/>
          <w:lang w:val="en-US" w:eastAsia="zh-CN" w:bidi="ar-SA"/>
        </w:rPr>
        <w:t>；尽职尽责完成上级工会和区委区政府交办的各类工作。</w:t>
      </w:r>
    </w:p>
    <w:p>
      <w:pPr>
        <w:pStyle w:val="2"/>
        <w:ind w:firstLine="723" w:firstLineChars="200"/>
        <w:rPr>
          <w:rFonts w:hint="default"/>
          <w:lang w:val="en-US" w:eastAsia="zh-CN"/>
        </w:rPr>
      </w:pPr>
      <w:r>
        <w:rPr>
          <w:rFonts w:hint="eastAsia" w:ascii="黑体" w:hAnsi="黑体" w:eastAsia="黑体" w:cs="黑体"/>
          <w:b/>
          <w:bCs/>
          <w:color w:val="000000"/>
          <w:kern w:val="2"/>
          <w:sz w:val="36"/>
          <w:szCs w:val="36"/>
          <w:lang w:val="en-US" w:eastAsia="zh-CN" w:bidi="ar-SA"/>
        </w:rPr>
        <w:t>二、</w:t>
      </w:r>
      <w:r>
        <w:rPr>
          <w:rFonts w:ascii="黑体" w:hAnsi="黑体" w:eastAsia="黑体" w:cs="Times New Roman"/>
          <w:sz w:val="32"/>
          <w:szCs w:val="32"/>
        </w:rPr>
        <w:t>一般公共预算支出情况</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739" w:firstLineChars="231"/>
        <w:jc w:val="both"/>
        <w:textAlignment w:val="auto"/>
        <w:rPr>
          <w:rFonts w:hint="eastAsia" w:ascii="Times New Roman" w:hAnsi="Times New Roman" w:eastAsia="仿宋_GB2312"/>
          <w:sz w:val="28"/>
          <w:szCs w:val="28"/>
        </w:rPr>
      </w:pPr>
      <w:r>
        <w:rPr>
          <w:rFonts w:hint="eastAsia" w:ascii="仿宋_GB2312" w:hAnsi="仿宋_GB2312" w:eastAsia="仿宋_GB2312" w:cs="仿宋_GB2312"/>
          <w:color w:val="000000"/>
          <w:kern w:val="2"/>
          <w:sz w:val="32"/>
          <w:szCs w:val="32"/>
          <w:lang w:val="en-US" w:eastAsia="zh-CN" w:bidi="ar-SA"/>
        </w:rPr>
        <w:t>2023年本单位收入决算数261.9万元，其中一般公共预算财政拨款收入261.9万元，其他收入0万元。全年支出决算数261.9万元，其中基本支出261.9万元，项目支出0万元。</w:t>
      </w:r>
    </w:p>
    <w:p>
      <w:pPr>
        <w:numPr>
          <w:ilvl w:val="0"/>
          <w:numId w:val="0"/>
        </w:numPr>
        <w:adjustRightInd w:val="0"/>
        <w:snapToGrid w:val="0"/>
        <w:spacing w:line="600" w:lineRule="exact"/>
        <w:ind w:leftChars="0" w:firstLine="640" w:firstLineChars="200"/>
        <w:rPr>
          <w:rFonts w:ascii="楷体_GB2312" w:eastAsia="楷体_GB2312"/>
          <w:sz w:val="32"/>
          <w:szCs w:val="32"/>
        </w:rPr>
      </w:pPr>
      <w:r>
        <w:rPr>
          <w:rFonts w:hint="eastAsia" w:ascii="楷体_GB2312" w:eastAsia="楷体_GB2312"/>
          <w:sz w:val="32"/>
          <w:szCs w:val="32"/>
          <w:lang w:eastAsia="zh-CN"/>
        </w:rPr>
        <w:t>（</w:t>
      </w:r>
      <w:r>
        <w:rPr>
          <w:rFonts w:hint="eastAsia" w:ascii="楷体_GB2312" w:eastAsia="楷体_GB2312"/>
          <w:sz w:val="32"/>
          <w:szCs w:val="32"/>
          <w:lang w:val="en-US" w:eastAsia="zh-CN"/>
        </w:rPr>
        <w:t>一</w:t>
      </w:r>
      <w:r>
        <w:rPr>
          <w:rFonts w:hint="eastAsia" w:ascii="楷体_GB2312" w:eastAsia="楷体_GB2312"/>
          <w:sz w:val="32"/>
          <w:szCs w:val="32"/>
          <w:lang w:eastAsia="zh-CN"/>
        </w:rPr>
        <w:t>）</w:t>
      </w:r>
      <w:r>
        <w:rPr>
          <w:rFonts w:ascii="楷体_GB2312" w:eastAsia="楷体_GB2312"/>
          <w:sz w:val="32"/>
          <w:szCs w:val="32"/>
        </w:rPr>
        <w:t>基本支出情况</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739" w:firstLineChars="231"/>
        <w:jc w:val="both"/>
        <w:textAlignment w:val="auto"/>
        <w:rPr>
          <w:rFonts w:hint="default"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全年基本支出261.9万元，其中：工资福利支出230.79 万元，主要包括：（基本工资、津贴补贴、奖金、绩效工资、社会保障缴费、其他工资福利支出等）；商品和服务支出 23.08 万元，主要包括（会议费、工会经费、福利费、公务用车维护费、其他交通费用、其他商品服务支出等）；对个人和家庭的补助 8.03 万元，主要包括（退休费、奖励金等）。</w:t>
      </w:r>
    </w:p>
    <w:p>
      <w:pPr>
        <w:pStyle w:val="17"/>
        <w:numPr>
          <w:ilvl w:val="0"/>
          <w:numId w:val="0"/>
        </w:numPr>
        <w:adjustRightInd w:val="0"/>
        <w:snapToGrid w:val="0"/>
        <w:spacing w:line="600" w:lineRule="exact"/>
        <w:ind w:leftChars="0" w:firstLine="640" w:firstLineChars="200"/>
        <w:rPr>
          <w:rFonts w:hint="eastAsia" w:ascii="仿宋" w:hAnsi="仿宋" w:eastAsia="仿宋" w:cs="宋体"/>
          <w:kern w:val="2"/>
          <w:sz w:val="32"/>
          <w:szCs w:val="32"/>
          <w:lang w:val="en-US" w:eastAsia="zh-CN" w:bidi="ar-SA"/>
        </w:rPr>
      </w:pPr>
      <w:r>
        <w:rPr>
          <w:rFonts w:hint="eastAsia" w:ascii="楷体_GB2312" w:hAnsi="Times New Roman" w:eastAsia="楷体_GB2312" w:cs="Times New Roman"/>
          <w:sz w:val="32"/>
          <w:szCs w:val="32"/>
          <w:lang w:eastAsia="zh-CN"/>
        </w:rPr>
        <w:t>（</w:t>
      </w:r>
      <w:r>
        <w:rPr>
          <w:rFonts w:hint="eastAsia" w:ascii="楷体_GB2312" w:hAnsi="Times New Roman" w:eastAsia="楷体_GB2312" w:cs="Times New Roman"/>
          <w:sz w:val="32"/>
          <w:szCs w:val="32"/>
          <w:lang w:val="en-US" w:eastAsia="zh-CN"/>
        </w:rPr>
        <w:t>二</w:t>
      </w:r>
      <w:r>
        <w:rPr>
          <w:rFonts w:hint="eastAsia" w:ascii="楷体_GB2312" w:hAnsi="Times New Roman" w:eastAsia="楷体_GB2312" w:cs="Times New Roman"/>
          <w:sz w:val="32"/>
          <w:szCs w:val="32"/>
          <w:lang w:eastAsia="zh-CN"/>
        </w:rPr>
        <w:t>）</w:t>
      </w:r>
      <w:r>
        <w:rPr>
          <w:rFonts w:ascii="楷体_GB2312" w:hAnsi="Times New Roman" w:eastAsia="楷体_GB2312" w:cs="Times New Roman"/>
          <w:sz w:val="32"/>
          <w:szCs w:val="32"/>
        </w:rPr>
        <w:t>项目支出情况</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739" w:firstLineChars="231"/>
        <w:jc w:val="both"/>
        <w:textAlignment w:val="auto"/>
        <w:rPr>
          <w:rFonts w:hint="default" w:ascii="仿宋" w:hAnsi="仿宋" w:eastAsia="仿宋" w:cs="宋体"/>
          <w:kern w:val="2"/>
          <w:sz w:val="32"/>
          <w:szCs w:val="32"/>
          <w:lang w:val="en-US" w:eastAsia="zh-CN" w:bidi="ar-SA"/>
        </w:rPr>
      </w:pPr>
      <w:r>
        <w:rPr>
          <w:rFonts w:hint="eastAsia" w:ascii="仿宋" w:hAnsi="仿宋" w:eastAsia="仿宋" w:cs="宋体"/>
          <w:kern w:val="2"/>
          <w:sz w:val="32"/>
          <w:szCs w:val="32"/>
          <w:lang w:val="en-US" w:eastAsia="zh-CN" w:bidi="ar-SA"/>
        </w:rPr>
        <w:t>全年项目支出0万元。</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right="0" w:firstLine="643" w:firstLineChars="200"/>
        <w:jc w:val="both"/>
        <w:textAlignment w:val="auto"/>
        <w:rPr>
          <w:rFonts w:hint="eastAsia" w:ascii="仿宋" w:hAnsi="仿宋" w:eastAsia="仿宋" w:cs="宋体"/>
          <w:kern w:val="2"/>
          <w:sz w:val="32"/>
          <w:szCs w:val="32"/>
          <w:lang w:val="en-US" w:eastAsia="zh-CN" w:bidi="ar-SA"/>
        </w:rPr>
      </w:pPr>
      <w:r>
        <w:rPr>
          <w:rFonts w:hint="eastAsia" w:ascii="黑体" w:hAnsi="黑体" w:eastAsia="黑体" w:cs="黑体"/>
          <w:b/>
          <w:bCs/>
          <w:kern w:val="2"/>
          <w:sz w:val="32"/>
          <w:szCs w:val="32"/>
          <w:lang w:val="en-US" w:eastAsia="zh-CN" w:bidi="ar-SA"/>
        </w:rPr>
        <w:t>三、政府性基金预算支出情况</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739" w:firstLineChars="231"/>
        <w:jc w:val="both"/>
        <w:textAlignment w:val="auto"/>
        <w:rPr>
          <w:rFonts w:hint="eastAsia" w:ascii="仿宋" w:hAnsi="仿宋" w:eastAsia="仿宋" w:cs="宋体"/>
          <w:kern w:val="2"/>
          <w:sz w:val="32"/>
          <w:szCs w:val="32"/>
          <w:lang w:val="en-US" w:eastAsia="zh-CN" w:bidi="ar-SA"/>
        </w:rPr>
      </w:pPr>
      <w:r>
        <w:rPr>
          <w:rFonts w:hint="eastAsia" w:ascii="仿宋" w:hAnsi="仿宋" w:eastAsia="仿宋" w:cs="宋体"/>
          <w:kern w:val="2"/>
          <w:sz w:val="32"/>
          <w:szCs w:val="32"/>
          <w:lang w:val="en-US" w:eastAsia="zh-CN" w:bidi="ar-SA"/>
        </w:rPr>
        <w:t>本年度无政府性基金预算支出</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right="0" w:firstLine="643" w:firstLineChars="200"/>
        <w:jc w:val="both"/>
        <w:textAlignment w:val="auto"/>
        <w:rPr>
          <w:rFonts w:hint="eastAsia" w:ascii="仿宋" w:hAnsi="仿宋" w:eastAsia="仿宋" w:cs="宋体"/>
          <w:kern w:val="2"/>
          <w:sz w:val="32"/>
          <w:szCs w:val="32"/>
          <w:lang w:val="en-US" w:eastAsia="zh-CN" w:bidi="ar-SA"/>
        </w:rPr>
      </w:pPr>
      <w:r>
        <w:rPr>
          <w:rFonts w:hint="eastAsia" w:ascii="黑体" w:hAnsi="黑体" w:eastAsia="黑体" w:cs="黑体"/>
          <w:b/>
          <w:bCs/>
          <w:kern w:val="2"/>
          <w:sz w:val="32"/>
          <w:szCs w:val="32"/>
          <w:lang w:val="en-US" w:eastAsia="zh-CN" w:bidi="ar-SA"/>
        </w:rPr>
        <w:t>四、国有资本经营预算支出情况</w:t>
      </w:r>
    </w:p>
    <w:p>
      <w:pPr>
        <w:pStyle w:val="17"/>
        <w:adjustRightInd w:val="0"/>
        <w:snapToGrid w:val="0"/>
        <w:spacing w:line="600" w:lineRule="exact"/>
        <w:ind w:firstLine="640"/>
        <w:rPr>
          <w:rFonts w:hint="eastAsia" w:ascii="仿宋" w:hAnsi="仿宋" w:eastAsia="仿宋" w:cs="宋体"/>
          <w:kern w:val="2"/>
          <w:sz w:val="32"/>
          <w:szCs w:val="32"/>
          <w:lang w:val="en-US" w:eastAsia="zh-CN" w:bidi="ar-SA"/>
        </w:rPr>
      </w:pPr>
      <w:r>
        <w:rPr>
          <w:rFonts w:hint="eastAsia" w:ascii="仿宋" w:hAnsi="仿宋" w:eastAsia="仿宋" w:cs="宋体"/>
          <w:kern w:val="2"/>
          <w:sz w:val="32"/>
          <w:szCs w:val="32"/>
          <w:lang w:val="en-US" w:eastAsia="zh-CN" w:bidi="ar-SA"/>
        </w:rPr>
        <w:t>本年度无国有资本经营预算支出。</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right="0" w:firstLine="643" w:firstLineChars="200"/>
        <w:jc w:val="both"/>
        <w:textAlignment w:val="auto"/>
        <w:rPr>
          <w:rFonts w:hint="eastAsia" w:ascii="黑体" w:hAnsi="黑体" w:eastAsia="黑体" w:cs="黑体"/>
          <w:kern w:val="2"/>
          <w:sz w:val="32"/>
          <w:szCs w:val="32"/>
          <w:lang w:val="en-US" w:eastAsia="zh-CN" w:bidi="ar-SA"/>
        </w:rPr>
      </w:pPr>
      <w:r>
        <w:rPr>
          <w:rFonts w:hint="eastAsia" w:ascii="黑体" w:hAnsi="黑体" w:eastAsia="黑体" w:cs="黑体"/>
          <w:b/>
          <w:bCs/>
          <w:kern w:val="2"/>
          <w:sz w:val="32"/>
          <w:szCs w:val="32"/>
          <w:lang w:val="en-US" w:eastAsia="zh-CN" w:bidi="ar-SA"/>
        </w:rPr>
        <w:t>五、社会保险基金预算支出情况</w:t>
      </w:r>
    </w:p>
    <w:p>
      <w:pPr>
        <w:pStyle w:val="17"/>
        <w:adjustRightInd w:val="0"/>
        <w:snapToGrid w:val="0"/>
        <w:spacing w:line="600" w:lineRule="exact"/>
        <w:ind w:firstLine="640"/>
        <w:rPr>
          <w:rFonts w:hint="eastAsia" w:ascii="仿宋" w:hAnsi="仿宋" w:eastAsia="仿宋" w:cs="宋体"/>
          <w:kern w:val="2"/>
          <w:sz w:val="32"/>
          <w:szCs w:val="32"/>
          <w:lang w:val="en-US" w:eastAsia="zh-CN" w:bidi="ar-SA"/>
        </w:rPr>
      </w:pPr>
      <w:r>
        <w:rPr>
          <w:rFonts w:hint="eastAsia" w:ascii="仿宋" w:hAnsi="仿宋" w:eastAsia="仿宋" w:cs="宋体"/>
          <w:kern w:val="2"/>
          <w:sz w:val="32"/>
          <w:szCs w:val="32"/>
          <w:lang w:val="en-US" w:eastAsia="zh-CN" w:bidi="ar-SA"/>
        </w:rPr>
        <w:t>本年度无社会保险基金预算支出。</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tLeast"/>
        <w:ind w:firstLine="643" w:firstLineChars="200"/>
        <w:jc w:val="left"/>
        <w:textAlignment w:val="auto"/>
        <w:rPr>
          <w:rFonts w:hint="eastAsia" w:ascii="黑体" w:hAnsi="黑体" w:eastAsia="黑体" w:cs="黑体"/>
          <w:color w:val="000000"/>
          <w:kern w:val="2"/>
          <w:sz w:val="32"/>
          <w:szCs w:val="32"/>
          <w:lang w:val="en-US" w:eastAsia="zh-CN" w:bidi="ar-SA"/>
        </w:rPr>
      </w:pPr>
      <w:r>
        <w:rPr>
          <w:rFonts w:hint="eastAsia" w:ascii="黑体" w:hAnsi="黑体" w:eastAsia="黑体" w:cs="黑体"/>
          <w:b/>
          <w:bCs/>
          <w:kern w:val="2"/>
          <w:sz w:val="32"/>
          <w:szCs w:val="32"/>
          <w:lang w:val="en-US" w:eastAsia="zh-CN" w:bidi="ar-SA"/>
        </w:rPr>
        <w:t>六、部门整体支出绩效情况</w:t>
      </w:r>
    </w:p>
    <w:p>
      <w:pPr>
        <w:keepNext w:val="0"/>
        <w:keepLines w:val="0"/>
        <w:pageBreakBefore w:val="0"/>
        <w:kinsoku/>
        <w:wordWrap/>
        <w:overflowPunct/>
        <w:topLinePunct w:val="0"/>
        <w:autoSpaceDE/>
        <w:autoSpaceDN/>
        <w:bidi w:val="0"/>
        <w:adjustRightInd/>
        <w:snapToGrid/>
        <w:spacing w:beforeAutospacing="0" w:afterAutospacing="0" w:line="240" w:lineRule="atLeast"/>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　　</w:t>
      </w:r>
      <w:r>
        <w:rPr>
          <w:rFonts w:hint="eastAsia" w:ascii="仿宋" w:hAnsi="仿宋" w:eastAsia="仿宋" w:cs="宋体"/>
          <w:kern w:val="2"/>
          <w:sz w:val="32"/>
          <w:szCs w:val="32"/>
          <w:lang w:val="en-US" w:eastAsia="zh-CN" w:bidi="ar-SA"/>
        </w:rPr>
        <w:t>通过加强预算收支管理，不断建立健全内部资金管理制度，做到全年收支平衡的同时，依法完成工会经费的收缴、上解、管理和使用等工作，依法加强工</w:t>
      </w:r>
      <w:r>
        <w:rPr>
          <w:rFonts w:hint="eastAsia" w:ascii="仿宋_GB2312" w:hAnsi="仿宋_GB2312" w:eastAsia="仿宋_GB2312" w:cs="仿宋_GB2312"/>
          <w:color w:val="000000"/>
          <w:kern w:val="2"/>
          <w:sz w:val="32"/>
          <w:szCs w:val="32"/>
          <w:lang w:val="en-US" w:eastAsia="zh-CN" w:bidi="ar-SA"/>
        </w:rPr>
        <w:t>会组织建设，维护职工合法权益、维护社会经济秩序；履行好工会的各项社会职能</w:t>
      </w:r>
      <w:r>
        <w:rPr>
          <w:rFonts w:hint="eastAsia" w:ascii="仿宋_GB2312" w:hAnsi="仿宋_GB2312" w:cs="仿宋_GB2312"/>
          <w:color w:val="000000"/>
          <w:kern w:val="2"/>
          <w:sz w:val="32"/>
          <w:szCs w:val="32"/>
          <w:lang w:val="en-US" w:eastAsia="zh-CN" w:bidi="ar-SA"/>
        </w:rPr>
        <w:t>（</w:t>
      </w:r>
      <w:r>
        <w:rPr>
          <w:rFonts w:hint="eastAsia" w:ascii="仿宋_GB2312" w:hAnsi="仿宋_GB2312" w:eastAsia="仿宋_GB2312" w:cs="仿宋_GB2312"/>
          <w:color w:val="000000"/>
          <w:kern w:val="2"/>
          <w:sz w:val="32"/>
          <w:szCs w:val="32"/>
          <w:lang w:val="en-US" w:eastAsia="zh-CN" w:bidi="ar-SA"/>
        </w:rPr>
        <w:t>组织和指导全</w:t>
      </w:r>
      <w:r>
        <w:rPr>
          <w:rFonts w:hint="eastAsia" w:ascii="仿宋_GB2312" w:hAnsi="仿宋_GB2312" w:cs="仿宋_GB2312"/>
          <w:color w:val="000000"/>
          <w:kern w:val="2"/>
          <w:sz w:val="32"/>
          <w:szCs w:val="32"/>
          <w:lang w:val="en-US" w:eastAsia="zh-CN" w:bidi="ar-SA"/>
        </w:rPr>
        <w:t>区</w:t>
      </w:r>
      <w:r>
        <w:rPr>
          <w:rFonts w:hint="eastAsia" w:ascii="仿宋_GB2312" w:hAnsi="仿宋_GB2312" w:eastAsia="仿宋_GB2312" w:cs="仿宋_GB2312"/>
          <w:color w:val="000000"/>
          <w:kern w:val="2"/>
          <w:sz w:val="32"/>
          <w:szCs w:val="32"/>
          <w:lang w:val="en-US" w:eastAsia="zh-CN" w:bidi="ar-SA"/>
        </w:rPr>
        <w:t>各级工会开展以职工代表大会为基本制度的民主选举、民主决策、民主管理和民主监督工作，推动基层工会开展和谐企业创建，建立工资集体协商、劳动合同、集体合同制度和监督保障机制：开展群众性的劳动竞赛、经济技术创新、职工技能培训、职工素质提升、安全生产教育等工作</w:t>
      </w:r>
      <w:r>
        <w:rPr>
          <w:rFonts w:hint="eastAsia" w:ascii="仿宋_GB2312" w:hAnsi="仿宋_GB2312" w:cs="仿宋_GB2312"/>
          <w:color w:val="000000"/>
          <w:kern w:val="2"/>
          <w:sz w:val="32"/>
          <w:szCs w:val="32"/>
          <w:lang w:val="en-US" w:eastAsia="zh-CN" w:bidi="ar-SA"/>
        </w:rPr>
        <w:t>）</w:t>
      </w:r>
      <w:r>
        <w:rPr>
          <w:rFonts w:hint="eastAsia" w:ascii="仿宋_GB2312" w:hAnsi="仿宋_GB2312" w:eastAsia="仿宋_GB2312" w:cs="仿宋_GB2312"/>
          <w:color w:val="000000"/>
          <w:kern w:val="2"/>
          <w:sz w:val="32"/>
          <w:szCs w:val="32"/>
          <w:lang w:val="en-US" w:eastAsia="zh-CN" w:bidi="ar-SA"/>
        </w:rPr>
        <w:t>；尽职尽责完成上级工会和区委区政府交办的各类工作。1</w:t>
      </w:r>
      <w:r>
        <w:rPr>
          <w:rFonts w:hint="eastAsia" w:ascii="仿宋_GB2312" w:hAnsi="仿宋_GB2312" w:cs="仿宋_GB2312"/>
          <w:color w:val="000000"/>
          <w:kern w:val="2"/>
          <w:sz w:val="32"/>
          <w:szCs w:val="32"/>
          <w:lang w:val="en-US" w:eastAsia="zh-CN" w:bidi="ar-SA"/>
        </w:rPr>
        <w:t>、</w:t>
      </w:r>
      <w:r>
        <w:rPr>
          <w:rFonts w:hint="eastAsia" w:ascii="仿宋_GB2312" w:hAnsi="仿宋_GB2312" w:eastAsia="仿宋_GB2312" w:cs="仿宋_GB2312"/>
          <w:color w:val="000000"/>
          <w:kern w:val="2"/>
          <w:sz w:val="32"/>
          <w:szCs w:val="32"/>
          <w:lang w:val="en-US" w:eastAsia="zh-CN" w:bidi="ar-SA"/>
        </w:rPr>
        <w:t>深入推进劳动技能竞赛。以创建“工人先锋号”为主要载体，以职工职业技能大赛、“芙蓉杯”素质达标竞赛等为平台，以安全、管理、学习、创新和节能降耗为重点，继续深入开展劳动竞赛活动，努力扩大劳动竞赛覆盖面和职工参与率。非公企业要以增强自主创新能力为重点，动员和组织职工广泛开展技术革新、技能比武和“五小”竞赛活动，发动职工为企业科学发展、创新发展献计出力。</w:t>
      </w:r>
    </w:p>
    <w:p>
      <w:pPr>
        <w:keepNext w:val="0"/>
        <w:keepLines w:val="0"/>
        <w:pageBreakBefore w:val="0"/>
        <w:kinsoku/>
        <w:wordWrap/>
        <w:overflowPunct/>
        <w:topLinePunct w:val="0"/>
        <w:autoSpaceDE/>
        <w:autoSpaceDN/>
        <w:bidi w:val="0"/>
        <w:adjustRightInd/>
        <w:snapToGrid/>
        <w:spacing w:beforeAutospacing="0" w:afterAutospacing="0" w:line="240" w:lineRule="atLeas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2</w:t>
      </w:r>
      <w:r>
        <w:rPr>
          <w:rFonts w:hint="eastAsia" w:ascii="仿宋_GB2312" w:hAnsi="仿宋_GB2312" w:cs="仿宋_GB2312"/>
          <w:color w:val="000000"/>
          <w:kern w:val="2"/>
          <w:sz w:val="32"/>
          <w:szCs w:val="32"/>
          <w:lang w:val="en-US" w:eastAsia="zh-CN" w:bidi="ar-SA"/>
        </w:rPr>
        <w:t>、合理</w:t>
      </w:r>
      <w:r>
        <w:rPr>
          <w:rFonts w:hint="eastAsia" w:ascii="仿宋_GB2312" w:hAnsi="仿宋_GB2312" w:eastAsia="仿宋_GB2312" w:cs="仿宋_GB2312"/>
          <w:color w:val="000000"/>
          <w:kern w:val="2"/>
          <w:sz w:val="32"/>
          <w:szCs w:val="32"/>
          <w:lang w:val="en-US" w:eastAsia="zh-CN" w:bidi="ar-SA"/>
        </w:rPr>
        <w:t>推动</w:t>
      </w:r>
      <w:r>
        <w:rPr>
          <w:rFonts w:hint="eastAsia" w:ascii="仿宋_GB2312" w:hAnsi="仿宋_GB2312" w:cs="仿宋_GB2312"/>
          <w:color w:val="000000"/>
          <w:kern w:val="2"/>
          <w:sz w:val="32"/>
          <w:szCs w:val="32"/>
          <w:lang w:val="en-US" w:eastAsia="zh-CN" w:bidi="ar-SA"/>
        </w:rPr>
        <w:t>工会户外劳动者服务站点建设及</w:t>
      </w:r>
      <w:r>
        <w:rPr>
          <w:rFonts w:hint="eastAsia" w:ascii="仿宋_GB2312" w:hAnsi="仿宋_GB2312" w:eastAsia="仿宋_GB2312" w:cs="仿宋_GB2312"/>
          <w:color w:val="000000"/>
          <w:kern w:val="2"/>
          <w:sz w:val="32"/>
          <w:szCs w:val="32"/>
          <w:lang w:val="en-US" w:eastAsia="zh-CN" w:bidi="ar-SA"/>
        </w:rPr>
        <w:t>。</w:t>
      </w:r>
      <w:r>
        <w:rPr>
          <w:rFonts w:hint="eastAsia" w:ascii="仿宋_GB2312" w:hAnsi="仿宋_GB2312" w:cs="仿宋_GB2312"/>
          <w:color w:val="000000"/>
          <w:kern w:val="2"/>
          <w:sz w:val="32"/>
          <w:szCs w:val="32"/>
          <w:lang w:val="en-US" w:eastAsia="zh-CN" w:bidi="ar-SA"/>
        </w:rPr>
        <w:t>在中心城区范围内</w:t>
      </w:r>
      <w:r>
        <w:rPr>
          <w:rFonts w:hint="eastAsia" w:ascii="仿宋_GB2312" w:hAnsi="仿宋_GB2312" w:eastAsia="仿宋_GB2312" w:cs="仿宋_GB2312"/>
          <w:color w:val="000000"/>
          <w:kern w:val="2"/>
          <w:sz w:val="32"/>
          <w:szCs w:val="32"/>
          <w:lang w:val="en-US" w:eastAsia="zh-CN" w:bidi="ar-SA"/>
        </w:rPr>
        <w:t>，</w:t>
      </w:r>
      <w:r>
        <w:rPr>
          <w:rFonts w:hint="eastAsia" w:ascii="仿宋_GB2312" w:hAnsi="仿宋_GB2312" w:cs="仿宋_GB2312"/>
          <w:color w:val="000000"/>
          <w:kern w:val="2"/>
          <w:sz w:val="32"/>
          <w:szCs w:val="32"/>
          <w:lang w:val="en-US" w:eastAsia="zh-CN" w:bidi="ar-SA"/>
        </w:rPr>
        <w:t>建成3家户外劳动者服务站点。其中有一站点获得全国“最美站点”称号。</w:t>
      </w:r>
      <w:r>
        <w:rPr>
          <w:rFonts w:hint="eastAsia" w:ascii="仿宋_GB2312" w:hAnsi="仿宋_GB2312" w:eastAsia="仿宋_GB2312" w:cs="仿宋_GB2312"/>
          <w:color w:val="000000"/>
          <w:kern w:val="2"/>
          <w:sz w:val="32"/>
          <w:szCs w:val="32"/>
          <w:lang w:val="en-US" w:eastAsia="zh-CN" w:bidi="ar-SA"/>
        </w:rPr>
        <w:t>深化“模范职工之家”创建活动，积极探索职工之家建设的激励机制，深入开展会员评家及双爱、双评、双促活动，组织基层工会开展“五型”职工之家创建，模范职工之家创建面达到20%。</w:t>
      </w:r>
    </w:p>
    <w:p>
      <w:pPr>
        <w:keepNext w:val="0"/>
        <w:keepLines w:val="0"/>
        <w:pageBreakBefore w:val="0"/>
        <w:kinsoku/>
        <w:wordWrap/>
        <w:overflowPunct/>
        <w:topLinePunct w:val="0"/>
        <w:autoSpaceDE/>
        <w:autoSpaceDN/>
        <w:bidi w:val="0"/>
        <w:adjustRightInd/>
        <w:snapToGrid/>
        <w:spacing w:beforeAutospacing="0" w:afterAutospacing="0" w:line="240" w:lineRule="atLeas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3</w:t>
      </w:r>
      <w:r>
        <w:rPr>
          <w:rFonts w:hint="eastAsia" w:ascii="仿宋_GB2312" w:hAnsi="仿宋_GB2312" w:cs="仿宋_GB2312"/>
          <w:color w:val="000000"/>
          <w:kern w:val="2"/>
          <w:sz w:val="32"/>
          <w:szCs w:val="32"/>
          <w:lang w:val="en-US" w:eastAsia="zh-CN" w:bidi="ar-SA"/>
        </w:rPr>
        <w:t>、</w:t>
      </w:r>
      <w:r>
        <w:rPr>
          <w:rFonts w:hint="eastAsia" w:ascii="仿宋_GB2312" w:hAnsi="仿宋_GB2312" w:eastAsia="仿宋_GB2312" w:cs="仿宋_GB2312"/>
          <w:color w:val="000000"/>
          <w:kern w:val="2"/>
          <w:sz w:val="32"/>
          <w:szCs w:val="32"/>
          <w:lang w:val="en-US" w:eastAsia="zh-CN" w:bidi="ar-SA"/>
        </w:rPr>
        <w:t>大力推进工资集体协商工作。继续深入开展“工资集体协商全面推进年”活动,完善工资集体协商工作机制；根据不同行业、不同区域和各类企业不同特点，分别确定协商方式和协商重点，提高工资集体协商的针对性和实效性，实现年内已建工会组织的企业工资集体协商、女职工专项集体合同签订率达到80%的目标。</w:t>
      </w:r>
    </w:p>
    <w:p>
      <w:pPr>
        <w:keepNext w:val="0"/>
        <w:keepLines w:val="0"/>
        <w:pageBreakBefore w:val="0"/>
        <w:kinsoku/>
        <w:wordWrap/>
        <w:overflowPunct/>
        <w:topLinePunct w:val="0"/>
        <w:autoSpaceDE/>
        <w:autoSpaceDN/>
        <w:bidi w:val="0"/>
        <w:adjustRightInd/>
        <w:snapToGrid/>
        <w:spacing w:beforeAutospacing="0" w:afterAutospacing="0" w:line="240" w:lineRule="atLeas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4</w:t>
      </w:r>
      <w:r>
        <w:rPr>
          <w:rFonts w:hint="eastAsia" w:ascii="仿宋_GB2312" w:hAnsi="仿宋_GB2312" w:cs="仿宋_GB2312"/>
          <w:color w:val="000000"/>
          <w:kern w:val="2"/>
          <w:sz w:val="32"/>
          <w:szCs w:val="32"/>
          <w:lang w:val="en-US" w:eastAsia="zh-CN" w:bidi="ar-SA"/>
        </w:rPr>
        <w:t>、</w:t>
      </w:r>
      <w:r>
        <w:rPr>
          <w:rFonts w:hint="eastAsia" w:ascii="仿宋_GB2312" w:hAnsi="仿宋_GB2312" w:eastAsia="仿宋_GB2312" w:cs="仿宋_GB2312"/>
          <w:color w:val="000000"/>
          <w:kern w:val="2"/>
          <w:sz w:val="32"/>
          <w:szCs w:val="32"/>
          <w:lang w:val="en-US" w:eastAsia="zh-CN" w:bidi="ar-SA"/>
        </w:rPr>
        <w:t>延长帮扶链条，做大做强帮扶工作品牌。继续巩固 “双联”工作成果，做大工会四季服务活动品牌，着力为困难职工解决就业、就医及子女就学等实际问题。继续推进第三期职工互助医疗活动和第二期女职工特殊疾病保障工作，努力解决职工“看病贵”的问题，保障健康权。延长帮扶工作链条，选择1-3个基层工会作为重点扶持对象，建立基层帮扶站点，将帮扶主体从区一级向下延伸，帮助特困职工解决力所能及的问题，积极发挥“娘家人”的作用。</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42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5</w:t>
      </w:r>
      <w:r>
        <w:rPr>
          <w:rFonts w:hint="eastAsia" w:ascii="仿宋_GB2312" w:hAnsi="仿宋_GB2312" w:cs="仿宋_GB2312"/>
          <w:color w:val="000000"/>
          <w:kern w:val="2"/>
          <w:sz w:val="32"/>
          <w:szCs w:val="32"/>
          <w:lang w:val="en-US" w:eastAsia="zh-CN" w:bidi="ar-SA"/>
        </w:rPr>
        <w:t>、</w:t>
      </w:r>
      <w:r>
        <w:rPr>
          <w:rFonts w:hint="eastAsia" w:ascii="仿宋_GB2312" w:hAnsi="仿宋_GB2312" w:eastAsia="仿宋_GB2312" w:cs="仿宋_GB2312"/>
          <w:color w:val="000000"/>
          <w:kern w:val="2"/>
          <w:sz w:val="32"/>
          <w:szCs w:val="32"/>
          <w:lang w:val="en-US" w:eastAsia="zh-CN" w:bidi="ar-SA"/>
        </w:rPr>
        <w:t>深入开展“中国梦·劳动美”主题宣教活动。整合工会系统信息资源和网络平台，通过微信、微博、QQ群等新型媒体形式加强对工会工作的宣传，扩大工会组织的社会影响力。同时，加强工人文化宫、职工教育基地、“职工书屋”等载体建设，经常性地开展职工就业和技能培训，在广大职工中大力培育和践行社会主义核心价值观，为职工学习成才搭建平台，形成向上向善的力量。广泛开展登山、羽毛球、乒乓球、书法美术摄影、征文、健身舞女职工拔河比赛等各类职工文化体育活动，满足职工日益增长的精神文化需求。</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420"/>
        <w:jc w:val="both"/>
        <w:textAlignment w:val="auto"/>
      </w:pPr>
      <w:r>
        <w:rPr>
          <w:rFonts w:hint="eastAsia" w:ascii="仿宋_GB2312" w:hAnsi="仿宋_GB2312" w:cs="仿宋_GB2312"/>
          <w:color w:val="000000"/>
          <w:kern w:val="2"/>
          <w:sz w:val="32"/>
          <w:szCs w:val="32"/>
          <w:lang w:val="en-US" w:eastAsia="zh-CN" w:bidi="ar-SA"/>
        </w:rPr>
        <w:t xml:space="preserve">  </w:t>
      </w:r>
      <w:r>
        <w:rPr>
          <w:rFonts w:hint="eastAsia" w:ascii="仿宋_GB2312" w:hAnsi="仿宋_GB2312" w:eastAsia="仿宋_GB2312" w:cs="仿宋_GB2312"/>
          <w:color w:val="000000"/>
          <w:kern w:val="2"/>
          <w:sz w:val="32"/>
          <w:szCs w:val="32"/>
          <w:lang w:val="en-US" w:eastAsia="zh-CN" w:bidi="ar-SA"/>
        </w:rPr>
        <w:t>根据对202</w:t>
      </w:r>
      <w:r>
        <w:rPr>
          <w:rFonts w:hint="eastAsia" w:ascii="仿宋_GB2312" w:hAnsi="仿宋_GB2312" w:cs="仿宋_GB2312"/>
          <w:color w:val="000000"/>
          <w:kern w:val="2"/>
          <w:sz w:val="32"/>
          <w:szCs w:val="32"/>
          <w:lang w:val="en-US" w:eastAsia="zh-CN" w:bidi="ar-SA"/>
        </w:rPr>
        <w:t>3</w:t>
      </w:r>
      <w:r>
        <w:rPr>
          <w:rFonts w:hint="eastAsia" w:ascii="仿宋_GB2312" w:hAnsi="仿宋_GB2312" w:eastAsia="仿宋_GB2312" w:cs="仿宋_GB2312"/>
          <w:color w:val="000000"/>
          <w:kern w:val="2"/>
          <w:sz w:val="32"/>
          <w:szCs w:val="32"/>
          <w:lang w:val="en-US" w:eastAsia="zh-CN" w:bidi="ar-SA"/>
        </w:rPr>
        <w:t>年度部门整体支出状况分析，部门整体支出绩效情况如下：</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792" w:firstLineChars="33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微软雅黑" w:hAnsi="微软雅黑" w:eastAsia="微软雅黑" w:cs="微软雅黑"/>
          <w:shd w:val="clear" w:color="auto" w:fill="FFFFFF"/>
          <w:lang w:val="en-US" w:eastAsia="zh-CN"/>
        </w:rPr>
        <w:t>1、</w:t>
      </w:r>
      <w:r>
        <w:rPr>
          <w:rFonts w:hint="eastAsia" w:ascii="仿宋_GB2312" w:hAnsi="仿宋_GB2312" w:eastAsia="仿宋_GB2312" w:cs="仿宋_GB2312"/>
          <w:color w:val="000000"/>
          <w:kern w:val="2"/>
          <w:sz w:val="32"/>
          <w:szCs w:val="32"/>
          <w:lang w:val="en-US" w:eastAsia="zh-CN" w:bidi="ar-SA"/>
        </w:rPr>
        <w:t>本年预算配置控制较好。财政供养人员控制在预算编制以内，编制内在职人员控制率小于100%；“三公”经费支出总额小，低于年初预算。</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739" w:firstLineChars="231"/>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cs="仿宋_GB2312"/>
          <w:color w:val="000000"/>
          <w:kern w:val="2"/>
          <w:sz w:val="32"/>
          <w:szCs w:val="32"/>
          <w:lang w:val="en-US" w:eastAsia="zh-CN" w:bidi="ar-SA"/>
        </w:rPr>
        <w:t>2、</w:t>
      </w:r>
      <w:r>
        <w:rPr>
          <w:rFonts w:hint="eastAsia" w:ascii="仿宋_GB2312" w:hAnsi="仿宋_GB2312" w:eastAsia="仿宋_GB2312" w:cs="仿宋_GB2312"/>
          <w:color w:val="000000"/>
          <w:kern w:val="2"/>
          <w:sz w:val="32"/>
          <w:szCs w:val="32"/>
          <w:lang w:val="en-US" w:eastAsia="zh-CN" w:bidi="ar-SA"/>
        </w:rPr>
        <w:t>预算执行方面。支出总额控制在预算总额以内，除专项预算的追加和政策性工资绩效预算的追加外，本年部门预算未进行预算相关事项的调整；“三公”经费总体控制较好，未超本年预算。预算管理方面，制度执行总体较为有效，仍需进一步强化；资金使用管理需进一步加强。资产管理方面，建立了资产管理制度，定期进行了盘点和资产清理，总体执行较好。</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 w:lineRule="atLeast"/>
        <w:ind w:right="0" w:firstLine="643" w:firstLineChars="200"/>
        <w:jc w:val="both"/>
        <w:textAlignment w:val="auto"/>
        <w:rPr>
          <w:rFonts w:hint="eastAsia" w:ascii="黑体" w:hAnsi="黑体" w:eastAsia="黑体" w:cs="黑体"/>
          <w:b/>
          <w:bCs/>
          <w:color w:val="000000"/>
          <w:kern w:val="2"/>
          <w:sz w:val="32"/>
          <w:szCs w:val="32"/>
          <w:lang w:val="en-US" w:eastAsia="zh-CN" w:bidi="ar-SA"/>
        </w:rPr>
      </w:pPr>
      <w:r>
        <w:rPr>
          <w:rFonts w:hint="eastAsia" w:ascii="黑体" w:hAnsi="黑体" w:eastAsia="黑体" w:cs="黑体"/>
          <w:b/>
          <w:bCs/>
          <w:color w:val="000000"/>
          <w:kern w:val="2"/>
          <w:sz w:val="32"/>
          <w:szCs w:val="32"/>
          <w:lang w:val="en-US" w:eastAsia="zh-CN" w:bidi="ar-SA"/>
        </w:rPr>
        <w:t>七、存在的问题及原因分析</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 w:lineRule="atLeast"/>
        <w:ind w:left="0" w:right="0" w:firstLine="739" w:firstLineChars="231"/>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预算执行存在偏差。在实际经费列支中，资金使用进度慢，主要集中在下半年结账，没有积极盘活存量资金。需要慰问和救济人员较多，项目资金较少，无法实现全覆盖。单位内部缺乏对预算管理的有效监督。</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 w:lineRule="atLeast"/>
        <w:ind w:right="0" w:firstLine="643" w:firstLineChars="200"/>
        <w:jc w:val="both"/>
        <w:textAlignment w:val="auto"/>
        <w:rPr>
          <w:rFonts w:hint="eastAsia" w:ascii="仿宋_GB2312" w:hAnsi="仿宋_GB2312" w:eastAsia="仿宋_GB2312" w:cs="仿宋_GB2312"/>
          <w:b/>
          <w:bCs/>
          <w:color w:val="000000"/>
          <w:kern w:val="2"/>
          <w:sz w:val="32"/>
          <w:szCs w:val="32"/>
          <w:lang w:val="en-US" w:eastAsia="zh-CN" w:bidi="ar-SA"/>
        </w:rPr>
      </w:pPr>
      <w:r>
        <w:rPr>
          <w:rFonts w:hint="eastAsia" w:ascii="黑体" w:hAnsi="黑体" w:eastAsia="黑体" w:cs="黑体"/>
          <w:b/>
          <w:bCs/>
          <w:color w:val="000000"/>
          <w:kern w:val="2"/>
          <w:sz w:val="32"/>
          <w:szCs w:val="32"/>
          <w:lang w:val="en-US" w:eastAsia="zh-CN" w:bidi="ar-SA"/>
        </w:rPr>
        <w:t>八、下一步改进措施</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 w:lineRule="atLeast"/>
        <w:ind w:left="0" w:right="0" w:firstLine="739" w:firstLineChars="231"/>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针对上述存在的问题及我单位整体支出管理工作的需要，拟实施的改进措施如下：</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 w:lineRule="atLeast"/>
        <w:ind w:left="0" w:right="0" w:firstLine="739" w:firstLineChars="231"/>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1. 细化预算编制工作，认真做好预算的编制。进一步加强预算管理意识，严格按照预算编制的相关制度和要求进行预算编制，强化监督，进一步提高预算编制的科学性、严谨性和可控性。</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 w:lineRule="atLeast"/>
        <w:ind w:left="0" w:right="0" w:firstLine="739" w:firstLineChars="231"/>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2. 加强财务管理，严格财务审核。在费用报账支付时，按照预算规定的费用项目和用途进行资金使用审核、列报支付、财务核算，杜绝超支现象的发生。</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 w:lineRule="atLeast"/>
        <w:ind w:right="0" w:firstLine="643"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黑体" w:hAnsi="黑体" w:eastAsia="黑体" w:cs="黑体"/>
          <w:b/>
          <w:bCs/>
          <w:color w:val="000000"/>
          <w:kern w:val="2"/>
          <w:sz w:val="32"/>
          <w:szCs w:val="32"/>
          <w:lang w:val="en-US" w:eastAsia="zh-CN" w:bidi="ar-SA"/>
        </w:rPr>
        <w:t>九、部门整体支出绩效自评结果拟应用情况</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 w:lineRule="atLeast"/>
        <w:ind w:left="0" w:right="0" w:firstLine="739" w:firstLineChars="231"/>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202</w:t>
      </w:r>
      <w:r>
        <w:rPr>
          <w:rFonts w:hint="eastAsia" w:ascii="仿宋_GB2312" w:hAnsi="仿宋_GB2312" w:cs="仿宋_GB2312"/>
          <w:color w:val="000000"/>
          <w:kern w:val="2"/>
          <w:sz w:val="32"/>
          <w:szCs w:val="32"/>
          <w:lang w:val="en-US" w:eastAsia="zh-CN" w:bidi="ar-SA"/>
        </w:rPr>
        <w:t>3</w:t>
      </w:r>
      <w:r>
        <w:rPr>
          <w:rFonts w:hint="eastAsia" w:ascii="仿宋_GB2312" w:hAnsi="仿宋_GB2312" w:eastAsia="仿宋_GB2312" w:cs="仿宋_GB2312"/>
          <w:color w:val="000000"/>
          <w:kern w:val="2"/>
          <w:sz w:val="32"/>
          <w:szCs w:val="32"/>
          <w:lang w:val="en-US" w:eastAsia="zh-CN" w:bidi="ar-SA"/>
        </w:rPr>
        <w:t>年，根据单位年初工作规划和重点性工作，强化管理，较好的完成了年度工作目标。通过加强预算收支管理，不断建立健全内部管理制度，梳理内部管理流程，部门整体支出管理情况得到提升。202</w:t>
      </w:r>
      <w:r>
        <w:rPr>
          <w:rFonts w:hint="eastAsia" w:ascii="仿宋_GB2312" w:hAnsi="仿宋_GB2312" w:cs="仿宋_GB2312"/>
          <w:color w:val="000000"/>
          <w:kern w:val="2"/>
          <w:sz w:val="32"/>
          <w:szCs w:val="32"/>
          <w:lang w:val="en-US" w:eastAsia="zh-CN" w:bidi="ar-SA"/>
        </w:rPr>
        <w:t>3</w:t>
      </w:r>
      <w:r>
        <w:rPr>
          <w:rFonts w:hint="eastAsia" w:ascii="仿宋_GB2312" w:hAnsi="仿宋_GB2312" w:eastAsia="仿宋_GB2312" w:cs="仿宋_GB2312"/>
          <w:color w:val="000000"/>
          <w:kern w:val="2"/>
          <w:sz w:val="32"/>
          <w:szCs w:val="32"/>
          <w:lang w:val="en-US" w:eastAsia="zh-CN" w:bidi="ar-SA"/>
        </w:rPr>
        <w:t>年，我</w:t>
      </w:r>
      <w:r>
        <w:rPr>
          <w:rFonts w:hint="eastAsia" w:ascii="仿宋_GB2312" w:hAnsi="仿宋_GB2312" w:cs="仿宋_GB2312"/>
          <w:color w:val="000000"/>
          <w:kern w:val="2"/>
          <w:sz w:val="32"/>
          <w:szCs w:val="32"/>
          <w:lang w:val="en-US" w:eastAsia="zh-CN" w:bidi="ar-SA"/>
        </w:rPr>
        <w:t>单位</w:t>
      </w:r>
      <w:r>
        <w:rPr>
          <w:rFonts w:hint="eastAsia" w:ascii="仿宋_GB2312" w:hAnsi="仿宋_GB2312" w:eastAsia="仿宋_GB2312" w:cs="仿宋_GB2312"/>
          <w:color w:val="000000"/>
          <w:kern w:val="2"/>
          <w:sz w:val="32"/>
          <w:szCs w:val="32"/>
          <w:lang w:val="en-US" w:eastAsia="zh-CN" w:bidi="ar-SA"/>
        </w:rPr>
        <w:t>完成了绩效考核的各项工作任务。严格按照年初预算进行部门整体支出，所有资金均已到位并按照用途进行管理、使用，无截留、挪用等现象。所有项目支出均制定了详细的计划和方案，严格按照项目实施进度情况进行资金拨付。</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 w:lineRule="atLeast"/>
        <w:ind w:left="0" w:right="0" w:firstLine="42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我们按照</w:t>
      </w:r>
      <w:r>
        <w:rPr>
          <w:rFonts w:hint="eastAsia" w:ascii="仿宋_GB2312" w:hAnsi="仿宋_GB2312" w:cs="仿宋_GB2312"/>
          <w:color w:val="000000"/>
          <w:kern w:val="2"/>
          <w:sz w:val="32"/>
          <w:szCs w:val="32"/>
          <w:lang w:val="en-US" w:eastAsia="zh-CN" w:bidi="ar-SA"/>
        </w:rPr>
        <w:t>区</w:t>
      </w:r>
      <w:r>
        <w:rPr>
          <w:rFonts w:hint="eastAsia" w:ascii="仿宋_GB2312" w:hAnsi="仿宋_GB2312" w:eastAsia="仿宋_GB2312" w:cs="仿宋_GB2312"/>
          <w:color w:val="000000"/>
          <w:kern w:val="2"/>
          <w:sz w:val="32"/>
          <w:szCs w:val="32"/>
          <w:lang w:val="en-US" w:eastAsia="zh-CN" w:bidi="ar-SA"/>
        </w:rPr>
        <w:t>财政局绩效评价管理要求，第一阶段为前期准备：由我会办公室牵头，组织有关业务部室制定了详细的工作方案，明确部室责任，确定评价指标细则；第二阶段为部室自评：根据上一阶段任务布置，各部室按照要求展开自评工作，并将评价结果报办公室；第三阶段为定性终评，并出具评价报告：办公室在部室自评的基础上，查阅相关文件资料和财务凭证，对收集资料进行定量定性分析，综合评议后形成评价结论，出具绩效评价报告。</w:t>
      </w:r>
    </w:p>
    <w:p>
      <w:pPr>
        <w:pStyle w:val="4"/>
        <w:numPr>
          <w:ilvl w:val="0"/>
          <w:numId w:val="1"/>
        </w:numPr>
        <w:ind w:firstLine="640" w:firstLineChars="200"/>
        <w:rPr>
          <w:rFonts w:hint="eastAsia" w:ascii="黑体" w:hAnsi="黑体" w:eastAsia="黑体" w:cs="黑体"/>
          <w:sz w:val="32"/>
          <w:szCs w:val="32"/>
        </w:rPr>
      </w:pPr>
      <w:r>
        <w:rPr>
          <w:rFonts w:hint="eastAsia" w:ascii="黑体" w:hAnsi="黑体" w:eastAsia="黑体" w:cs="黑体"/>
          <w:sz w:val="32"/>
          <w:szCs w:val="32"/>
        </w:rPr>
        <w:t>其他需要说明的情况：</w:t>
      </w:r>
    </w:p>
    <w:p>
      <w:pPr>
        <w:pStyle w:val="4"/>
        <w:numPr>
          <w:ilvl w:val="0"/>
          <w:numId w:val="0"/>
        </w:numPr>
        <w:ind w:firstLine="640" w:firstLineChars="200"/>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cs="仿宋_GB2312"/>
          <w:color w:val="000000"/>
          <w:kern w:val="2"/>
          <w:sz w:val="32"/>
          <w:szCs w:val="32"/>
          <w:lang w:val="en-US" w:eastAsia="zh-CN" w:bidi="ar-SA"/>
        </w:rPr>
        <w:t>没有其他需要说明的情况。</w:t>
      </w:r>
    </w:p>
    <w:p>
      <w:pPr>
        <w:keepNext w:val="0"/>
        <w:keepLines w:val="0"/>
        <w:pageBreakBefore w:val="0"/>
        <w:kinsoku/>
        <w:wordWrap/>
        <w:overflowPunct/>
        <w:topLinePunct w:val="0"/>
        <w:autoSpaceDE/>
        <w:autoSpaceDN/>
        <w:bidi w:val="0"/>
        <w:adjustRightInd/>
        <w:snapToGrid/>
        <w:spacing w:beforeAutospacing="0" w:afterAutospacing="0" w:line="240" w:lineRule="atLeast"/>
        <w:textAlignment w:val="auto"/>
        <w:rPr>
          <w:rFonts w:hint="eastAsia" w:ascii="仿宋_GB2312" w:hAnsi="仿宋_GB2312" w:eastAsia="仿宋_GB2312" w:cs="仿宋_GB2312"/>
          <w:color w:val="000000"/>
          <w:kern w:val="2"/>
          <w:sz w:val="32"/>
          <w:szCs w:val="32"/>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tLeast"/>
        <w:ind w:firstLine="640"/>
        <w:jc w:val="left"/>
        <w:textAlignment w:val="auto"/>
        <w:rPr>
          <w:rFonts w:hint="eastAsia" w:ascii="仿宋_GB2312" w:hAnsi="仿宋_GB2312" w:eastAsia="仿宋_GB2312" w:cs="仿宋_GB2312"/>
          <w:color w:val="000000"/>
          <w:kern w:val="2"/>
          <w:sz w:val="32"/>
          <w:szCs w:val="32"/>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tLeast"/>
        <w:ind w:firstLine="640"/>
        <w:jc w:val="left"/>
        <w:textAlignment w:val="auto"/>
        <w:rPr>
          <w:rFonts w:hint="eastAsia" w:ascii="仿宋_GB2312" w:hAnsi="仿宋_GB2312" w:eastAsia="仿宋_GB2312" w:cs="仿宋_GB2312"/>
          <w:color w:val="000000"/>
          <w:kern w:val="2"/>
          <w:sz w:val="32"/>
          <w:szCs w:val="32"/>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tLeast"/>
        <w:ind w:firstLine="640"/>
        <w:jc w:val="left"/>
        <w:textAlignment w:val="auto"/>
        <w:rPr>
          <w:rFonts w:hint="eastAsia" w:ascii="仿宋_GB2312" w:hAnsi="仿宋_GB2312" w:eastAsia="仿宋_GB2312" w:cs="仿宋_GB2312"/>
          <w:color w:val="000000"/>
          <w:kern w:val="2"/>
          <w:sz w:val="32"/>
          <w:szCs w:val="32"/>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tLeast"/>
        <w:ind w:firstLine="640"/>
        <w:jc w:val="left"/>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fldChar w:fldCharType="begin"/>
      </w:r>
      <w:r>
        <w:rPr>
          <w:rFonts w:hint="eastAsia" w:ascii="仿宋_GB2312" w:hAnsi="仿宋_GB2312" w:eastAsia="仿宋_GB2312" w:cs="仿宋_GB2312"/>
          <w:color w:val="000000"/>
          <w:kern w:val="2"/>
          <w:sz w:val="32"/>
          <w:szCs w:val="32"/>
          <w:lang w:val="en-US" w:eastAsia="zh-CN" w:bidi="ar-SA"/>
        </w:rPr>
        <w:instrText xml:space="preserve"> HYPERLINK "http://zgh.yiyang.gov.cn/uploadfiles/202104/20210414144050513002.xls" \t "http://zgh.yiyang.gov.cn/3915/_blank" </w:instrText>
      </w:r>
      <w:r>
        <w:rPr>
          <w:rFonts w:hint="eastAsia" w:ascii="仿宋_GB2312" w:hAnsi="仿宋_GB2312" w:eastAsia="仿宋_GB2312" w:cs="仿宋_GB2312"/>
          <w:color w:val="000000"/>
          <w:kern w:val="2"/>
          <w:sz w:val="32"/>
          <w:szCs w:val="32"/>
          <w:lang w:val="en-US" w:eastAsia="zh-CN" w:bidi="ar-SA"/>
        </w:rPr>
        <w:fldChar w:fldCharType="separate"/>
      </w:r>
      <w:r>
        <w:rPr>
          <w:rFonts w:hint="eastAsia" w:ascii="仿宋_GB2312" w:hAnsi="仿宋_GB2312" w:eastAsia="仿宋_GB2312" w:cs="仿宋_GB2312"/>
          <w:color w:val="000000"/>
          <w:kern w:val="2"/>
          <w:sz w:val="32"/>
          <w:szCs w:val="32"/>
          <w:lang w:val="en-US" w:eastAsia="zh-CN" w:bidi="ar-SA"/>
        </w:rPr>
        <w:t>附件</w:t>
      </w:r>
      <w:r>
        <w:rPr>
          <w:rFonts w:hint="eastAsia" w:ascii="仿宋_GB2312" w:hAnsi="仿宋_GB2312" w:cs="仿宋_GB2312"/>
          <w:color w:val="000000"/>
          <w:kern w:val="2"/>
          <w:sz w:val="32"/>
          <w:szCs w:val="32"/>
          <w:lang w:val="en-US" w:eastAsia="zh-CN" w:bidi="ar-SA"/>
        </w:rPr>
        <w:t>3</w:t>
      </w:r>
      <w:r>
        <w:rPr>
          <w:rFonts w:hint="eastAsia" w:ascii="仿宋_GB2312" w:hAnsi="仿宋_GB2312" w:eastAsia="仿宋_GB2312" w:cs="仿宋_GB2312"/>
          <w:color w:val="000000"/>
          <w:kern w:val="2"/>
          <w:sz w:val="32"/>
          <w:szCs w:val="32"/>
          <w:lang w:val="en-US" w:eastAsia="zh-CN" w:bidi="ar-SA"/>
        </w:rPr>
        <w:t>、202</w:t>
      </w:r>
      <w:r>
        <w:rPr>
          <w:rFonts w:hint="eastAsia" w:ascii="仿宋_GB2312" w:hAnsi="仿宋_GB2312" w:cs="仿宋_GB2312"/>
          <w:color w:val="000000"/>
          <w:kern w:val="2"/>
          <w:sz w:val="32"/>
          <w:szCs w:val="32"/>
          <w:lang w:val="en-US" w:eastAsia="zh-CN" w:bidi="ar-SA"/>
        </w:rPr>
        <w:t>3</w:t>
      </w:r>
      <w:r>
        <w:rPr>
          <w:rFonts w:hint="eastAsia" w:ascii="仿宋_GB2312" w:hAnsi="仿宋_GB2312" w:eastAsia="仿宋_GB2312" w:cs="仿宋_GB2312"/>
          <w:color w:val="000000"/>
          <w:kern w:val="2"/>
          <w:sz w:val="32"/>
          <w:szCs w:val="32"/>
          <w:lang w:val="en-US" w:eastAsia="zh-CN" w:bidi="ar-SA"/>
        </w:rPr>
        <w:t>年度部门整体支出绩效自评</w:t>
      </w:r>
      <w:r>
        <w:rPr>
          <w:rFonts w:hint="eastAsia" w:ascii="仿宋_GB2312" w:hAnsi="仿宋_GB2312" w:cs="仿宋_GB2312"/>
          <w:color w:val="000000"/>
          <w:kern w:val="2"/>
          <w:sz w:val="32"/>
          <w:szCs w:val="32"/>
          <w:lang w:val="en-US" w:eastAsia="zh-CN" w:bidi="ar-SA"/>
        </w:rPr>
        <w:t>指标计分</w:t>
      </w:r>
      <w:r>
        <w:rPr>
          <w:rFonts w:hint="eastAsia" w:ascii="仿宋_GB2312" w:hAnsi="仿宋_GB2312" w:eastAsia="仿宋_GB2312" w:cs="仿宋_GB2312"/>
          <w:color w:val="000000"/>
          <w:kern w:val="2"/>
          <w:sz w:val="32"/>
          <w:szCs w:val="32"/>
          <w:lang w:val="en-US" w:eastAsia="zh-CN" w:bidi="ar-SA"/>
        </w:rPr>
        <w:t>表.xls</w:t>
      </w:r>
      <w:r>
        <w:rPr>
          <w:rFonts w:hint="eastAsia" w:ascii="仿宋_GB2312" w:hAnsi="仿宋_GB2312" w:eastAsia="仿宋_GB2312" w:cs="仿宋_GB2312"/>
          <w:color w:val="000000"/>
          <w:kern w:val="2"/>
          <w:sz w:val="32"/>
          <w:szCs w:val="32"/>
          <w:lang w:val="en-US" w:eastAsia="zh-CN" w:bidi="ar-SA"/>
        </w:rPr>
        <w:fldChar w:fldCharType="end"/>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tLeast"/>
        <w:ind w:firstLine="640"/>
        <w:jc w:val="left"/>
        <w:textAlignment w:val="auto"/>
        <w:rPr>
          <w:rFonts w:hint="eastAsia" w:ascii="仿宋_GB2312" w:hAnsi="仿宋_GB2312" w:cs="仿宋_GB2312"/>
          <w:color w:val="000000"/>
          <w:szCs w:val="32"/>
        </w:rPr>
      </w:pP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tLeast"/>
        <w:ind w:firstLine="640"/>
        <w:jc w:val="left"/>
        <w:textAlignment w:val="auto"/>
        <w:rPr>
          <w:rFonts w:hint="eastAsia" w:ascii="仿宋_GB2312" w:hAnsi="仿宋_GB2312" w:cs="仿宋_GB2312"/>
          <w:color w:val="000000"/>
          <w:szCs w:val="32"/>
        </w:rPr>
      </w:pP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tLeast"/>
        <w:ind w:firstLine="640"/>
        <w:jc w:val="left"/>
        <w:textAlignment w:val="auto"/>
        <w:rPr>
          <w:rFonts w:hint="eastAsia" w:ascii="仿宋_GB2312" w:hAnsi="仿宋_GB2312" w:cs="仿宋_GB2312"/>
          <w:color w:val="000000"/>
          <w:szCs w:val="32"/>
        </w:rPr>
      </w:pP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tLeast"/>
        <w:jc w:val="left"/>
        <w:textAlignment w:val="auto"/>
        <w:rPr>
          <w:rFonts w:hint="eastAsia" w:ascii="仿宋_GB2312" w:hAnsi="仿宋_GB2312" w:cs="仿宋_GB2312"/>
          <w:color w:val="000000"/>
          <w:kern w:val="0"/>
          <w:szCs w:val="32"/>
        </w:rPr>
      </w:pPr>
      <w:r>
        <w:rPr>
          <w:rFonts w:hint="eastAsia" w:ascii="仿宋_GB2312" w:hAnsi="仿宋_GB2312" w:cs="仿宋_GB2312"/>
          <w:color w:val="000000"/>
          <w:kern w:val="0"/>
          <w:szCs w:val="32"/>
        </w:rPr>
        <w:t xml:space="preserve">                          </w:t>
      </w:r>
      <w:r>
        <w:rPr>
          <w:rFonts w:hint="eastAsia" w:ascii="仿宋_GB2312" w:hAnsi="仿宋_GB2312" w:cs="仿宋_GB2312"/>
          <w:color w:val="000000"/>
          <w:kern w:val="0"/>
          <w:szCs w:val="32"/>
          <w:lang w:val="en-US" w:eastAsia="zh-CN"/>
        </w:rPr>
        <w:t xml:space="preserve"> </w:t>
      </w:r>
      <w:r>
        <w:rPr>
          <w:rFonts w:hint="eastAsia" w:ascii="仿宋_GB2312" w:hAnsi="仿宋_GB2312" w:cs="仿宋_GB2312"/>
          <w:color w:val="000000"/>
          <w:kern w:val="0"/>
          <w:szCs w:val="32"/>
        </w:rPr>
        <w:t>益阳市赫山区</w:t>
      </w:r>
      <w:r>
        <w:rPr>
          <w:rFonts w:hint="eastAsia" w:ascii="仿宋_GB2312" w:hAnsi="仿宋_GB2312" w:cs="仿宋_GB2312"/>
          <w:color w:val="000000"/>
          <w:kern w:val="0"/>
          <w:szCs w:val="32"/>
          <w:lang w:eastAsia="zh-CN"/>
        </w:rPr>
        <w:t>总工</w:t>
      </w:r>
      <w:r>
        <w:rPr>
          <w:rFonts w:hint="eastAsia" w:ascii="仿宋_GB2312" w:hAnsi="仿宋_GB2312" w:cs="仿宋_GB2312"/>
          <w:color w:val="000000"/>
          <w:kern w:val="0"/>
          <w:szCs w:val="32"/>
        </w:rPr>
        <w:t>会</w:t>
      </w:r>
    </w:p>
    <w:p>
      <w:pPr>
        <w:rPr>
          <w:rFonts w:hint="eastAsia" w:ascii="仿宋_GB2312" w:hAnsi="仿宋_GB2312" w:cs="仿宋_GB2312"/>
          <w:color w:val="000000"/>
          <w:kern w:val="0"/>
          <w:szCs w:val="32"/>
        </w:rPr>
      </w:pPr>
      <w:r>
        <w:rPr>
          <w:rFonts w:hint="eastAsia" w:ascii="仿宋_GB2312" w:hAnsi="仿宋_GB2312" w:cs="仿宋_GB2312"/>
          <w:color w:val="000000"/>
          <w:kern w:val="0"/>
          <w:szCs w:val="32"/>
        </w:rPr>
        <w:t xml:space="preserve">                             20</w:t>
      </w:r>
      <w:r>
        <w:rPr>
          <w:rFonts w:hint="eastAsia" w:ascii="仿宋_GB2312" w:hAnsi="仿宋_GB2312" w:cs="仿宋_GB2312"/>
          <w:color w:val="000000"/>
          <w:kern w:val="0"/>
          <w:szCs w:val="32"/>
          <w:lang w:val="en-US" w:eastAsia="zh-CN"/>
        </w:rPr>
        <w:t>24</w:t>
      </w:r>
      <w:r>
        <w:rPr>
          <w:rFonts w:hint="eastAsia" w:ascii="仿宋_GB2312" w:hAnsi="仿宋_GB2312" w:cs="仿宋_GB2312"/>
          <w:color w:val="000000"/>
          <w:kern w:val="0"/>
          <w:szCs w:val="32"/>
        </w:rPr>
        <w:t>年</w:t>
      </w:r>
      <w:r>
        <w:rPr>
          <w:rFonts w:hint="eastAsia" w:ascii="仿宋_GB2312" w:hAnsi="仿宋_GB2312" w:cs="仿宋_GB2312"/>
          <w:color w:val="000000"/>
          <w:kern w:val="0"/>
          <w:szCs w:val="32"/>
          <w:lang w:val="en-US" w:eastAsia="zh-CN"/>
        </w:rPr>
        <w:t>6</w:t>
      </w:r>
      <w:r>
        <w:rPr>
          <w:rFonts w:hint="eastAsia" w:ascii="仿宋_GB2312" w:hAnsi="仿宋_GB2312" w:cs="仿宋_GB2312"/>
          <w:color w:val="000000"/>
          <w:kern w:val="0"/>
          <w:szCs w:val="32"/>
        </w:rPr>
        <w:t>月</w:t>
      </w:r>
      <w:r>
        <w:rPr>
          <w:rFonts w:hint="eastAsia" w:ascii="仿宋_GB2312" w:hAnsi="仿宋_GB2312" w:cs="仿宋_GB2312"/>
          <w:color w:val="000000"/>
          <w:kern w:val="0"/>
          <w:szCs w:val="32"/>
          <w:lang w:val="en-US" w:eastAsia="zh-CN"/>
        </w:rPr>
        <w:t>18</w:t>
      </w:r>
      <w:r>
        <w:rPr>
          <w:rFonts w:hint="eastAsia" w:ascii="仿宋_GB2312" w:hAnsi="仿宋_GB2312" w:cs="仿宋_GB2312"/>
          <w:color w:val="000000"/>
          <w:kern w:val="0"/>
          <w:szCs w:val="32"/>
        </w:rPr>
        <w:t>日</w:t>
      </w:r>
    </w:p>
    <w:p>
      <w:pPr>
        <w:rPr>
          <w:rFonts w:hint="eastAsia" w:ascii="仿宋_GB2312" w:hAnsi="仿宋_GB2312" w:cs="仿宋_GB2312"/>
          <w:color w:val="000000"/>
          <w:kern w:val="0"/>
          <w:szCs w:val="32"/>
        </w:rPr>
      </w:pPr>
    </w:p>
    <w:p>
      <w:pPr>
        <w:rPr>
          <w:rFonts w:hint="eastAsia" w:ascii="仿宋_GB2312" w:hAnsi="仿宋_GB2312" w:cs="仿宋_GB2312"/>
          <w:color w:val="000000"/>
          <w:kern w:val="0"/>
          <w:szCs w:val="32"/>
        </w:rPr>
      </w:pPr>
    </w:p>
    <w:p>
      <w:pPr>
        <w:rPr>
          <w:rFonts w:hint="eastAsia" w:ascii="仿宋_GB2312" w:hAnsi="仿宋_GB2312" w:cs="仿宋_GB2312"/>
          <w:color w:val="000000"/>
          <w:kern w:val="0"/>
          <w:szCs w:val="32"/>
        </w:rPr>
      </w:pPr>
    </w:p>
    <w:p>
      <w:pPr>
        <w:rPr>
          <w:rFonts w:hint="eastAsia" w:ascii="仿宋_GB2312" w:hAnsi="仿宋_GB2312" w:cs="仿宋_GB2312"/>
          <w:color w:val="000000"/>
          <w:kern w:val="0"/>
          <w:szCs w:val="32"/>
        </w:rPr>
      </w:pPr>
    </w:p>
    <w:p>
      <w:pPr>
        <w:rPr>
          <w:rFonts w:hint="eastAsia" w:ascii="仿宋_GB2312" w:hAnsi="仿宋_GB2312" w:cs="仿宋_GB2312"/>
          <w:color w:val="000000"/>
          <w:kern w:val="0"/>
          <w:szCs w:val="32"/>
        </w:rPr>
      </w:pPr>
    </w:p>
    <w:p>
      <w:pPr>
        <w:rPr>
          <w:rFonts w:hint="eastAsia" w:ascii="仿宋_GB2312" w:hAnsi="仿宋_GB2312" w:cs="仿宋_GB2312"/>
          <w:color w:val="000000"/>
          <w:kern w:val="0"/>
          <w:szCs w:val="32"/>
        </w:rPr>
      </w:pPr>
    </w:p>
    <w:p>
      <w:pPr>
        <w:rPr>
          <w:rFonts w:hint="eastAsia" w:ascii="仿宋_GB2312" w:hAnsi="仿宋_GB2312" w:cs="仿宋_GB2312"/>
          <w:color w:val="000000"/>
          <w:kern w:val="0"/>
          <w:szCs w:val="32"/>
        </w:rPr>
      </w:pPr>
    </w:p>
    <w:p>
      <w:pPr>
        <w:rPr>
          <w:rFonts w:hint="eastAsia" w:ascii="仿宋_GB2312" w:hAnsi="仿宋_GB2312" w:cs="仿宋_GB2312"/>
          <w:color w:val="000000"/>
          <w:kern w:val="0"/>
          <w:szCs w:val="32"/>
        </w:rPr>
      </w:pPr>
    </w:p>
    <w:p>
      <w:pPr>
        <w:rPr>
          <w:rFonts w:hint="eastAsia" w:ascii="仿宋_GB2312" w:hAnsi="仿宋_GB2312" w:cs="仿宋_GB2312"/>
          <w:color w:val="000000"/>
          <w:kern w:val="0"/>
          <w:szCs w:val="32"/>
        </w:rPr>
      </w:pPr>
    </w:p>
    <w:p>
      <w:pPr>
        <w:rPr>
          <w:rFonts w:hint="eastAsia" w:ascii="仿宋_GB2312" w:hAnsi="仿宋_GB2312" w:cs="仿宋_GB2312"/>
          <w:color w:val="000000"/>
          <w:kern w:val="0"/>
          <w:szCs w:val="32"/>
        </w:rPr>
      </w:pPr>
    </w:p>
    <w:p>
      <w:pPr>
        <w:rPr>
          <w:rFonts w:hint="eastAsia" w:ascii="仿宋_GB2312" w:hAnsi="仿宋_GB2312" w:cs="仿宋_GB2312"/>
          <w:color w:val="000000"/>
          <w:kern w:val="0"/>
          <w:szCs w:val="32"/>
        </w:rPr>
      </w:pPr>
    </w:p>
    <w:p>
      <w:pPr>
        <w:rPr>
          <w:rFonts w:hint="eastAsia" w:ascii="仿宋_GB2312" w:hAnsi="仿宋_GB2312" w:cs="仿宋_GB2312"/>
          <w:color w:val="000000"/>
          <w:kern w:val="0"/>
          <w:szCs w:val="32"/>
        </w:rPr>
      </w:pPr>
    </w:p>
    <w:p>
      <w:pPr>
        <w:rPr>
          <w:rFonts w:hint="eastAsia" w:ascii="仿宋_GB2312" w:hAnsi="仿宋_GB2312" w:cs="仿宋_GB2312"/>
          <w:color w:val="000000"/>
          <w:kern w:val="0"/>
          <w:szCs w:val="32"/>
        </w:rPr>
      </w:pPr>
    </w:p>
    <w:p>
      <w:pPr>
        <w:rPr>
          <w:rFonts w:hint="eastAsia" w:ascii="仿宋_GB2312" w:hAnsi="仿宋_GB2312" w:cs="仿宋_GB2312"/>
          <w:color w:val="000000"/>
          <w:kern w:val="0"/>
          <w:szCs w:val="32"/>
        </w:rPr>
      </w:pPr>
    </w:p>
    <w:p>
      <w:pPr>
        <w:spacing w:line="480" w:lineRule="exact"/>
        <w:rPr>
          <w:rFonts w:ascii="黑体" w:eastAsia="黑体"/>
          <w:sz w:val="32"/>
          <w:szCs w:val="32"/>
        </w:rPr>
      </w:pPr>
      <w:r>
        <w:rPr>
          <w:rFonts w:hint="eastAsia" w:ascii="黑体" w:eastAsia="黑体" w:cs="黑体"/>
          <w:sz w:val="32"/>
          <w:szCs w:val="32"/>
        </w:rPr>
        <w:t>附件</w:t>
      </w:r>
      <w:r>
        <w:rPr>
          <w:rFonts w:ascii="黑体" w:eastAsia="黑体" w:cs="黑体"/>
          <w:sz w:val="32"/>
          <w:szCs w:val="32"/>
        </w:rPr>
        <w:t>3</w:t>
      </w:r>
      <w:r>
        <w:rPr>
          <w:rFonts w:hint="eastAsia" w:ascii="黑体" w:eastAsia="黑体" w:cs="黑体"/>
          <w:sz w:val="32"/>
          <w:szCs w:val="32"/>
        </w:rPr>
        <w:t>：</w:t>
      </w:r>
    </w:p>
    <w:p>
      <w:pPr>
        <w:spacing w:beforeLines="50" w:afterLines="50"/>
        <w:jc w:val="center"/>
        <w:rPr>
          <w:rFonts w:ascii="方正小标宋简体" w:eastAsia="方正小标宋简体" w:cs="方正小标宋_GBK"/>
          <w:sz w:val="36"/>
          <w:szCs w:val="36"/>
        </w:rPr>
      </w:pPr>
      <w:r>
        <w:rPr>
          <w:rFonts w:hint="eastAsia" w:ascii="方正小标宋简体" w:eastAsia="方正小标宋简体" w:cs="方正小标宋_GBK"/>
          <w:sz w:val="36"/>
          <w:szCs w:val="36"/>
        </w:rPr>
        <w:t>202</w:t>
      </w:r>
      <w:r>
        <w:rPr>
          <w:rFonts w:hint="eastAsia" w:ascii="方正小标宋简体" w:eastAsia="方正小标宋简体" w:cs="方正小标宋_GBK"/>
          <w:sz w:val="36"/>
          <w:szCs w:val="36"/>
          <w:lang w:val="en-US" w:eastAsia="zh-CN"/>
        </w:rPr>
        <w:t>3</w:t>
      </w:r>
      <w:r>
        <w:rPr>
          <w:rFonts w:hint="eastAsia" w:ascii="方正小标宋简体" w:eastAsia="方正小标宋简体" w:cs="方正小标宋_GBK"/>
          <w:sz w:val="36"/>
          <w:szCs w:val="36"/>
        </w:rPr>
        <w:t>年度部门整体支出绩效自评指标计分表</w:t>
      </w:r>
    </w:p>
    <w:tbl>
      <w:tblPr>
        <w:tblStyle w:val="12"/>
        <w:tblW w:w="533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86"/>
        <w:gridCol w:w="840"/>
        <w:gridCol w:w="1120"/>
        <w:gridCol w:w="840"/>
        <w:gridCol w:w="3529"/>
        <w:gridCol w:w="4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9" w:hRule="atLeast"/>
          <w:tblHeader/>
          <w:jc w:val="center"/>
        </w:trPr>
        <w:tc>
          <w:tcPr>
            <w:tcW w:w="307" w:type="pct"/>
            <w:noWrap w:val="0"/>
            <w:tcMar>
              <w:top w:w="10" w:type="dxa"/>
              <w:left w:w="10" w:type="dxa"/>
              <w:bottom w:w="0" w:type="dxa"/>
              <w:right w:w="10" w:type="dxa"/>
            </w:tcMar>
            <w:vAlign w:val="center"/>
          </w:tcPr>
          <w:p>
            <w:pPr>
              <w:spacing w:line="240" w:lineRule="exact"/>
              <w:jc w:val="center"/>
              <w:rPr>
                <w:rFonts w:hint="eastAsia" w:ascii="宋体" w:hAnsi="宋体" w:eastAsia="宋体" w:cs="宋体"/>
                <w:b/>
                <w:bCs/>
                <w:sz w:val="21"/>
                <w:szCs w:val="21"/>
                <w:lang w:eastAsia="zh-CN"/>
              </w:rPr>
            </w:pPr>
            <w:r>
              <w:rPr>
                <w:rFonts w:hint="eastAsia" w:ascii="宋体" w:hAnsi="宋体" w:eastAsia="宋体" w:cs="宋体"/>
                <w:b/>
                <w:bCs/>
                <w:sz w:val="21"/>
                <w:szCs w:val="21"/>
              </w:rPr>
              <w:t>一级</w:t>
            </w:r>
          </w:p>
          <w:p>
            <w:pPr>
              <w:spacing w:line="240" w:lineRule="exact"/>
              <w:jc w:val="center"/>
              <w:rPr>
                <w:rFonts w:hint="eastAsia" w:ascii="宋体" w:hAnsi="宋体" w:eastAsia="宋体" w:cs="宋体"/>
                <w:b/>
                <w:bCs/>
                <w:sz w:val="21"/>
                <w:szCs w:val="21"/>
              </w:rPr>
            </w:pPr>
            <w:r>
              <w:rPr>
                <w:rFonts w:hint="eastAsia" w:ascii="宋体" w:hAnsi="宋体" w:eastAsia="宋体" w:cs="宋体"/>
                <w:b/>
                <w:bCs/>
                <w:sz w:val="21"/>
                <w:szCs w:val="21"/>
              </w:rPr>
              <w:t>指标</w:t>
            </w:r>
          </w:p>
        </w:tc>
        <w:tc>
          <w:tcPr>
            <w:tcW w:w="375" w:type="pct"/>
            <w:noWrap w:val="0"/>
            <w:tcMar>
              <w:top w:w="10" w:type="dxa"/>
              <w:left w:w="10" w:type="dxa"/>
              <w:bottom w:w="0" w:type="dxa"/>
              <w:right w:w="10" w:type="dxa"/>
            </w:tcMar>
            <w:vAlign w:val="center"/>
          </w:tcPr>
          <w:p>
            <w:pPr>
              <w:spacing w:line="240" w:lineRule="exact"/>
              <w:ind w:right="-174" w:rightChars="-83"/>
              <w:jc w:val="center"/>
              <w:rPr>
                <w:rFonts w:hint="eastAsia" w:ascii="宋体" w:hAnsi="宋体" w:eastAsia="宋体" w:cs="宋体"/>
                <w:b/>
                <w:bCs/>
                <w:sz w:val="21"/>
                <w:szCs w:val="21"/>
              </w:rPr>
            </w:pPr>
            <w:r>
              <w:rPr>
                <w:rFonts w:hint="eastAsia" w:ascii="宋体" w:hAnsi="宋体" w:eastAsia="宋体" w:cs="宋体"/>
                <w:b/>
                <w:bCs/>
                <w:sz w:val="21"/>
                <w:szCs w:val="21"/>
              </w:rPr>
              <w:t>二级</w:t>
            </w:r>
          </w:p>
          <w:p>
            <w:pPr>
              <w:spacing w:line="240" w:lineRule="exact"/>
              <w:ind w:right="-174" w:rightChars="-83"/>
              <w:jc w:val="center"/>
              <w:rPr>
                <w:rFonts w:hint="eastAsia" w:ascii="宋体" w:hAnsi="宋体" w:eastAsia="宋体" w:cs="宋体"/>
                <w:b/>
                <w:bCs/>
                <w:sz w:val="21"/>
                <w:szCs w:val="21"/>
              </w:rPr>
            </w:pPr>
            <w:r>
              <w:rPr>
                <w:rFonts w:hint="eastAsia" w:ascii="宋体" w:hAnsi="宋体" w:eastAsia="宋体" w:cs="宋体"/>
                <w:b/>
                <w:bCs/>
                <w:sz w:val="21"/>
                <w:szCs w:val="21"/>
              </w:rPr>
              <w:t>指标</w:t>
            </w:r>
          </w:p>
        </w:tc>
        <w:tc>
          <w:tcPr>
            <w:tcW w:w="500" w:type="pct"/>
            <w:noWrap w:val="0"/>
            <w:tcMar>
              <w:top w:w="10" w:type="dxa"/>
              <w:left w:w="10" w:type="dxa"/>
              <w:bottom w:w="0" w:type="dxa"/>
              <w:right w:w="10" w:type="dxa"/>
            </w:tcMar>
            <w:vAlign w:val="center"/>
          </w:tcPr>
          <w:p>
            <w:pPr>
              <w:spacing w:line="240" w:lineRule="exact"/>
              <w:jc w:val="center"/>
              <w:rPr>
                <w:rFonts w:hint="eastAsia" w:ascii="宋体" w:hAnsi="宋体" w:eastAsia="宋体" w:cs="宋体"/>
                <w:b/>
                <w:bCs/>
                <w:sz w:val="21"/>
                <w:szCs w:val="21"/>
              </w:rPr>
            </w:pPr>
            <w:r>
              <w:rPr>
                <w:rFonts w:hint="eastAsia" w:ascii="宋体" w:hAnsi="宋体" w:eastAsia="宋体" w:cs="宋体"/>
                <w:b/>
                <w:bCs/>
                <w:sz w:val="21"/>
                <w:szCs w:val="21"/>
              </w:rPr>
              <w:t>三级</w:t>
            </w:r>
          </w:p>
          <w:p>
            <w:pPr>
              <w:spacing w:line="240" w:lineRule="exact"/>
              <w:jc w:val="center"/>
              <w:rPr>
                <w:rFonts w:hint="eastAsia" w:ascii="宋体" w:hAnsi="宋体" w:eastAsia="宋体" w:cs="宋体"/>
                <w:b/>
                <w:bCs/>
                <w:sz w:val="21"/>
                <w:szCs w:val="21"/>
              </w:rPr>
            </w:pPr>
            <w:r>
              <w:rPr>
                <w:rFonts w:hint="eastAsia" w:ascii="宋体" w:hAnsi="宋体" w:eastAsia="宋体" w:cs="宋体"/>
                <w:b/>
                <w:bCs/>
                <w:sz w:val="21"/>
                <w:szCs w:val="21"/>
              </w:rPr>
              <w:t>指标</w:t>
            </w:r>
          </w:p>
        </w:tc>
        <w:tc>
          <w:tcPr>
            <w:tcW w:w="375" w:type="pct"/>
            <w:noWrap w:val="0"/>
            <w:vAlign w:val="center"/>
          </w:tcPr>
          <w:p>
            <w:pPr>
              <w:spacing w:line="240" w:lineRule="exact"/>
              <w:ind w:left="105" w:leftChars="50" w:right="105" w:rightChars="50"/>
              <w:jc w:val="center"/>
              <w:rPr>
                <w:rFonts w:hint="eastAsia" w:ascii="宋体" w:hAnsi="宋体" w:eastAsia="宋体" w:cs="宋体"/>
                <w:b/>
                <w:bCs/>
                <w:sz w:val="21"/>
                <w:szCs w:val="21"/>
              </w:rPr>
            </w:pPr>
            <w:r>
              <w:rPr>
                <w:rFonts w:hint="eastAsia" w:ascii="宋体" w:hAnsi="宋体" w:eastAsia="宋体" w:cs="宋体"/>
                <w:b/>
                <w:bCs/>
                <w:sz w:val="21"/>
                <w:szCs w:val="21"/>
              </w:rPr>
              <w:t>自评分</w:t>
            </w:r>
          </w:p>
        </w:tc>
        <w:tc>
          <w:tcPr>
            <w:tcW w:w="1576" w:type="pct"/>
            <w:noWrap w:val="0"/>
            <w:tcMar>
              <w:top w:w="10" w:type="dxa"/>
              <w:left w:w="10" w:type="dxa"/>
              <w:bottom w:w="0" w:type="dxa"/>
              <w:right w:w="10" w:type="dxa"/>
            </w:tcMar>
            <w:vAlign w:val="center"/>
          </w:tcPr>
          <w:p>
            <w:pPr>
              <w:spacing w:line="240" w:lineRule="exact"/>
              <w:ind w:left="105" w:leftChars="50" w:right="105" w:rightChars="50"/>
              <w:jc w:val="center"/>
              <w:rPr>
                <w:rFonts w:hint="eastAsia" w:ascii="宋体" w:hAnsi="宋体" w:eastAsia="宋体" w:cs="宋体"/>
                <w:b/>
                <w:bCs/>
                <w:sz w:val="21"/>
                <w:szCs w:val="21"/>
              </w:rPr>
            </w:pPr>
            <w:r>
              <w:rPr>
                <w:rFonts w:hint="eastAsia" w:ascii="宋体" w:hAnsi="宋体" w:eastAsia="宋体" w:cs="宋体"/>
                <w:b/>
                <w:bCs/>
                <w:sz w:val="21"/>
                <w:szCs w:val="21"/>
              </w:rPr>
              <w:t>指标解释</w:t>
            </w:r>
          </w:p>
        </w:tc>
        <w:tc>
          <w:tcPr>
            <w:tcW w:w="1867" w:type="pct"/>
            <w:noWrap w:val="0"/>
            <w:tcMar>
              <w:top w:w="10" w:type="dxa"/>
              <w:left w:w="10" w:type="dxa"/>
              <w:bottom w:w="0" w:type="dxa"/>
              <w:right w:w="10" w:type="dxa"/>
            </w:tcMar>
            <w:vAlign w:val="center"/>
          </w:tcPr>
          <w:p>
            <w:pPr>
              <w:spacing w:line="240" w:lineRule="exact"/>
              <w:ind w:left="105" w:leftChars="50" w:right="105" w:rightChars="50"/>
              <w:jc w:val="center"/>
              <w:rPr>
                <w:rFonts w:hint="eastAsia" w:ascii="宋体" w:hAnsi="宋体" w:eastAsia="宋体" w:cs="宋体"/>
                <w:b/>
                <w:bCs/>
                <w:sz w:val="21"/>
                <w:szCs w:val="21"/>
              </w:rPr>
            </w:pPr>
            <w:r>
              <w:rPr>
                <w:rFonts w:hint="eastAsia" w:ascii="宋体" w:hAnsi="宋体" w:eastAsia="宋体" w:cs="宋体"/>
                <w:b/>
                <w:bCs/>
                <w:sz w:val="21"/>
                <w:szCs w:val="21"/>
              </w:rPr>
              <w:t>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92" w:hRule="atLeast"/>
          <w:jc w:val="center"/>
        </w:trPr>
        <w:tc>
          <w:tcPr>
            <w:tcW w:w="307" w:type="pct"/>
            <w:vMerge w:val="restart"/>
            <w:noWrap/>
            <w:tcMar>
              <w:top w:w="10" w:type="dxa"/>
              <w:left w:w="10" w:type="dxa"/>
              <w:bottom w:w="0" w:type="dxa"/>
              <w:right w:w="10" w:type="dxa"/>
            </w:tcMar>
            <w:textDirection w:val="tbRlV"/>
            <w:vAlign w:val="center"/>
          </w:tcPr>
          <w:p>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投   入（20分）</w:t>
            </w:r>
          </w:p>
        </w:tc>
        <w:tc>
          <w:tcPr>
            <w:tcW w:w="375" w:type="pct"/>
            <w:vMerge w:val="restart"/>
            <w:noWrap w:val="0"/>
            <w:tcMar>
              <w:top w:w="10" w:type="dxa"/>
              <w:left w:w="10" w:type="dxa"/>
              <w:bottom w:w="0" w:type="dxa"/>
              <w:right w:w="10" w:type="dxa"/>
            </w:tcMar>
            <w:vAlign w:val="center"/>
          </w:tcPr>
          <w:p>
            <w:pPr>
              <w:spacing w:line="240" w:lineRule="exact"/>
              <w:jc w:val="center"/>
              <w:rPr>
                <w:rFonts w:hint="eastAsia" w:ascii="宋体" w:hAnsi="宋体" w:eastAsia="宋体" w:cs="宋体"/>
                <w:sz w:val="21"/>
                <w:szCs w:val="21"/>
                <w:lang w:eastAsia="zh-CN"/>
              </w:rPr>
            </w:pPr>
            <w:r>
              <w:rPr>
                <w:rFonts w:hint="eastAsia" w:ascii="宋体" w:hAnsi="宋体" w:eastAsia="宋体" w:cs="宋体"/>
                <w:sz w:val="21"/>
                <w:szCs w:val="21"/>
              </w:rPr>
              <w:t>目标</w:t>
            </w:r>
          </w:p>
          <w:p>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设定（5分）</w:t>
            </w:r>
          </w:p>
        </w:tc>
        <w:tc>
          <w:tcPr>
            <w:tcW w:w="500" w:type="pct"/>
            <w:noWrap w:val="0"/>
            <w:tcMar>
              <w:top w:w="10" w:type="dxa"/>
              <w:left w:w="10" w:type="dxa"/>
              <w:bottom w:w="0" w:type="dxa"/>
              <w:right w:w="10" w:type="dxa"/>
            </w:tcMar>
            <w:vAlign w:val="center"/>
          </w:tcPr>
          <w:p>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绩效目标</w:t>
            </w:r>
          </w:p>
          <w:p>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合理性（2分）</w:t>
            </w:r>
          </w:p>
        </w:tc>
        <w:tc>
          <w:tcPr>
            <w:tcW w:w="375" w:type="pct"/>
            <w:noWrap w:val="0"/>
            <w:vAlign w:val="top"/>
          </w:tcPr>
          <w:p>
            <w:pPr>
              <w:tabs>
                <w:tab w:val="left" w:pos="2604"/>
              </w:tabs>
              <w:spacing w:line="240" w:lineRule="exact"/>
              <w:ind w:left="105" w:leftChars="50" w:right="105" w:rightChars="50" w:firstLine="96" w:firstLineChars="46"/>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hint="eastAsia" w:ascii="宋体" w:hAnsi="宋体" w:eastAsia="宋体" w:cs="宋体"/>
                <w:sz w:val="21"/>
                <w:szCs w:val="21"/>
              </w:rPr>
            </w:pPr>
            <w:r>
              <w:rPr>
                <w:rFonts w:hint="eastAsia" w:ascii="宋体" w:hAnsi="宋体" w:eastAsia="宋体" w:cs="宋体"/>
                <w:sz w:val="21"/>
                <w:szCs w:val="21"/>
              </w:rPr>
              <w:t>部门所设立的整体绩效目标依据是否充分，是否符合客观实际，用以反映和考核部门整体绩效目标与部门履职、年度工作任务的相符性情况。</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hint="eastAsia" w:ascii="宋体" w:hAnsi="宋体" w:eastAsia="宋体" w:cs="宋体"/>
                <w:sz w:val="21"/>
                <w:szCs w:val="21"/>
                <w:lang w:eastAsia="zh-CN"/>
              </w:rPr>
            </w:pPr>
            <w:r>
              <w:rPr>
                <w:rFonts w:hint="eastAsia" w:ascii="宋体" w:hAnsi="宋体" w:eastAsia="宋体" w:cs="宋体"/>
                <w:sz w:val="21"/>
                <w:szCs w:val="21"/>
              </w:rPr>
              <w:t>评价要点：</w:t>
            </w:r>
          </w:p>
          <w:p>
            <w:pPr>
              <w:spacing w:line="240" w:lineRule="exact"/>
              <w:ind w:left="105" w:leftChars="50" w:right="105" w:rightChars="50"/>
              <w:rPr>
                <w:rFonts w:hint="eastAsia" w:ascii="宋体" w:hAnsi="宋体" w:eastAsia="宋体" w:cs="宋体"/>
                <w:sz w:val="21"/>
                <w:szCs w:val="21"/>
                <w:lang w:eastAsia="zh-CN"/>
              </w:rPr>
            </w:pPr>
            <w:r>
              <w:rPr>
                <w:rFonts w:hint="eastAsia" w:ascii="宋体" w:hAnsi="宋体" w:eastAsia="宋体" w:cs="宋体"/>
                <w:sz w:val="21"/>
                <w:szCs w:val="21"/>
              </w:rPr>
              <w:t>①是否符合国家法律法规、国民经济和社会发展总体规划；</w:t>
            </w:r>
          </w:p>
          <w:p>
            <w:pPr>
              <w:spacing w:line="240" w:lineRule="exact"/>
              <w:ind w:left="105" w:leftChars="50" w:right="105" w:rightChars="50"/>
              <w:rPr>
                <w:rFonts w:hint="eastAsia" w:ascii="宋体" w:hAnsi="宋体" w:eastAsia="宋体" w:cs="宋体"/>
                <w:sz w:val="21"/>
                <w:szCs w:val="21"/>
                <w:lang w:eastAsia="zh-CN"/>
              </w:rPr>
            </w:pPr>
            <w:r>
              <w:rPr>
                <w:rFonts w:hint="eastAsia" w:ascii="宋体" w:hAnsi="宋体" w:eastAsia="宋体" w:cs="宋体"/>
                <w:sz w:val="21"/>
                <w:szCs w:val="21"/>
              </w:rPr>
              <w:t>②是否符合部门“三定”方案确定的职责；</w:t>
            </w:r>
          </w:p>
          <w:p>
            <w:pPr>
              <w:spacing w:line="240" w:lineRule="exact"/>
              <w:ind w:left="105" w:leftChars="50" w:right="105" w:rightChars="50"/>
              <w:rPr>
                <w:rFonts w:hint="eastAsia" w:ascii="宋体" w:hAnsi="宋体" w:eastAsia="宋体" w:cs="宋体"/>
                <w:sz w:val="21"/>
                <w:szCs w:val="21"/>
              </w:rPr>
            </w:pPr>
            <w:r>
              <w:rPr>
                <w:rFonts w:hint="eastAsia" w:ascii="宋体" w:hAnsi="宋体" w:eastAsia="宋体" w:cs="宋体"/>
                <w:sz w:val="21"/>
                <w:szCs w:val="21"/>
              </w:rPr>
              <w:t>③是否符合部门制定的中长期实施规划。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37" w:hRule="atLeast"/>
          <w:jc w:val="center"/>
        </w:trPr>
        <w:tc>
          <w:tcPr>
            <w:tcW w:w="307" w:type="pct"/>
            <w:vMerge w:val="continue"/>
            <w:noWrap w:val="0"/>
            <w:vAlign w:val="center"/>
          </w:tcPr>
          <w:p>
            <w:pPr>
              <w:spacing w:line="240" w:lineRule="exact"/>
              <w:rPr>
                <w:rFonts w:hint="eastAsia" w:ascii="宋体" w:hAnsi="宋体" w:eastAsia="宋体" w:cs="宋体"/>
                <w:sz w:val="21"/>
                <w:szCs w:val="21"/>
              </w:rPr>
            </w:pPr>
          </w:p>
        </w:tc>
        <w:tc>
          <w:tcPr>
            <w:tcW w:w="375" w:type="pct"/>
            <w:vMerge w:val="continue"/>
            <w:noWrap w:val="0"/>
            <w:vAlign w:val="center"/>
          </w:tcPr>
          <w:p>
            <w:pPr>
              <w:spacing w:line="240" w:lineRule="exact"/>
              <w:rPr>
                <w:rFonts w:hint="eastAsia" w:ascii="宋体" w:hAnsi="宋体" w:eastAsia="宋体" w:cs="宋体"/>
                <w:sz w:val="21"/>
                <w:szCs w:val="21"/>
              </w:rPr>
            </w:pPr>
          </w:p>
        </w:tc>
        <w:tc>
          <w:tcPr>
            <w:tcW w:w="500" w:type="pct"/>
            <w:noWrap w:val="0"/>
            <w:tcMar>
              <w:top w:w="10" w:type="dxa"/>
              <w:left w:w="10" w:type="dxa"/>
              <w:bottom w:w="0" w:type="dxa"/>
              <w:right w:w="10" w:type="dxa"/>
            </w:tcMar>
            <w:vAlign w:val="center"/>
          </w:tcPr>
          <w:p>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绩效指标</w:t>
            </w:r>
          </w:p>
          <w:p>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明确性（3分）</w:t>
            </w:r>
          </w:p>
        </w:tc>
        <w:tc>
          <w:tcPr>
            <w:tcW w:w="375" w:type="pct"/>
            <w:noWrap w:val="0"/>
            <w:vAlign w:val="top"/>
          </w:tcPr>
          <w:p>
            <w:pPr>
              <w:tabs>
                <w:tab w:val="left" w:pos="2604"/>
              </w:tabs>
              <w:spacing w:line="240" w:lineRule="exact"/>
              <w:ind w:left="105" w:leftChars="50" w:right="105" w:rightChars="50" w:firstLine="96" w:firstLineChars="46"/>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hint="eastAsia" w:ascii="宋体" w:hAnsi="宋体" w:eastAsia="宋体" w:cs="宋体"/>
                <w:sz w:val="21"/>
                <w:szCs w:val="21"/>
              </w:rPr>
            </w:pPr>
            <w:r>
              <w:rPr>
                <w:rFonts w:hint="eastAsia" w:ascii="宋体" w:hAnsi="宋体" w:eastAsia="宋体" w:cs="宋体"/>
                <w:sz w:val="21"/>
                <w:szCs w:val="21"/>
              </w:rPr>
              <w:t>部门依据整体绩效目标所设定的绩效指标是否清晰、细化、可衡量，用以反映和考核部门整体绩效目标的明细化情况。</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hint="eastAsia" w:ascii="宋体" w:hAnsi="宋体" w:eastAsia="宋体" w:cs="宋体"/>
                <w:sz w:val="21"/>
                <w:szCs w:val="21"/>
                <w:lang w:eastAsia="zh-CN"/>
              </w:rPr>
            </w:pPr>
            <w:r>
              <w:rPr>
                <w:rFonts w:hint="eastAsia" w:ascii="宋体" w:hAnsi="宋体" w:eastAsia="宋体" w:cs="宋体"/>
                <w:sz w:val="21"/>
                <w:szCs w:val="21"/>
              </w:rPr>
              <w:t>评价要点：</w:t>
            </w:r>
          </w:p>
          <w:p>
            <w:pPr>
              <w:spacing w:line="240" w:lineRule="exact"/>
              <w:ind w:left="105" w:leftChars="50" w:right="105" w:rightChars="50"/>
              <w:rPr>
                <w:rFonts w:hint="eastAsia" w:ascii="宋体" w:hAnsi="宋体" w:eastAsia="宋体" w:cs="宋体"/>
                <w:sz w:val="21"/>
                <w:szCs w:val="21"/>
                <w:lang w:eastAsia="zh-CN"/>
              </w:rPr>
            </w:pPr>
            <w:r>
              <w:rPr>
                <w:rFonts w:hint="eastAsia" w:ascii="宋体" w:hAnsi="宋体" w:eastAsia="宋体" w:cs="宋体"/>
                <w:sz w:val="21"/>
                <w:szCs w:val="21"/>
              </w:rPr>
              <w:t>①是否将部门整体的绩效目标细化分解为具体的工作任务；</w:t>
            </w:r>
          </w:p>
          <w:p>
            <w:pPr>
              <w:spacing w:line="240" w:lineRule="exact"/>
              <w:ind w:left="105" w:leftChars="50" w:right="105" w:rightChars="50"/>
              <w:rPr>
                <w:rFonts w:hint="eastAsia" w:ascii="宋体" w:hAnsi="宋体" w:eastAsia="宋体" w:cs="宋体"/>
                <w:sz w:val="21"/>
                <w:szCs w:val="21"/>
                <w:lang w:eastAsia="zh-CN"/>
              </w:rPr>
            </w:pPr>
            <w:r>
              <w:rPr>
                <w:rFonts w:hint="eastAsia" w:ascii="宋体" w:hAnsi="宋体" w:eastAsia="宋体" w:cs="宋体"/>
                <w:sz w:val="21"/>
                <w:szCs w:val="21"/>
              </w:rPr>
              <w:t>②是否通过清晰、可衡量的指标值予以体现。    ③是否与部门年度的任务数或计划数相对应；</w:t>
            </w:r>
          </w:p>
          <w:p>
            <w:pPr>
              <w:spacing w:line="240" w:lineRule="exact"/>
              <w:ind w:left="105" w:leftChars="50" w:right="105" w:rightChars="50"/>
              <w:rPr>
                <w:rFonts w:hint="eastAsia" w:ascii="宋体" w:hAnsi="宋体" w:eastAsia="宋体" w:cs="宋体"/>
                <w:sz w:val="21"/>
                <w:szCs w:val="21"/>
              </w:rPr>
            </w:pPr>
            <w:r>
              <w:rPr>
                <w:rFonts w:hint="eastAsia" w:ascii="宋体" w:hAnsi="宋体" w:eastAsia="宋体" w:cs="宋体"/>
                <w:sz w:val="21"/>
                <w:szCs w:val="21"/>
              </w:rPr>
              <w:t>④是否与本年度部门预算资金相匹配。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31" w:hRule="atLeast"/>
          <w:jc w:val="center"/>
        </w:trPr>
        <w:tc>
          <w:tcPr>
            <w:tcW w:w="307" w:type="pct"/>
            <w:vMerge w:val="continue"/>
            <w:noWrap w:val="0"/>
            <w:vAlign w:val="center"/>
          </w:tcPr>
          <w:p>
            <w:pPr>
              <w:spacing w:line="240" w:lineRule="exact"/>
              <w:rPr>
                <w:rFonts w:hint="eastAsia" w:ascii="宋体" w:hAnsi="宋体" w:eastAsia="宋体" w:cs="宋体"/>
                <w:sz w:val="21"/>
                <w:szCs w:val="21"/>
              </w:rPr>
            </w:pPr>
          </w:p>
        </w:tc>
        <w:tc>
          <w:tcPr>
            <w:tcW w:w="375" w:type="pct"/>
            <w:vMerge w:val="restart"/>
            <w:noWrap w:val="0"/>
            <w:tcMar>
              <w:top w:w="10" w:type="dxa"/>
              <w:left w:w="10" w:type="dxa"/>
              <w:bottom w:w="0" w:type="dxa"/>
              <w:right w:w="10" w:type="dxa"/>
            </w:tcMar>
            <w:vAlign w:val="center"/>
          </w:tcPr>
          <w:p>
            <w:pPr>
              <w:spacing w:line="240" w:lineRule="exact"/>
              <w:jc w:val="center"/>
              <w:rPr>
                <w:rFonts w:hint="eastAsia" w:ascii="宋体" w:hAnsi="宋体" w:eastAsia="宋体" w:cs="宋体"/>
                <w:sz w:val="21"/>
                <w:szCs w:val="21"/>
                <w:lang w:eastAsia="zh-CN"/>
              </w:rPr>
            </w:pPr>
            <w:r>
              <w:rPr>
                <w:rFonts w:hint="eastAsia" w:ascii="宋体" w:hAnsi="宋体" w:eastAsia="宋体" w:cs="宋体"/>
                <w:sz w:val="21"/>
                <w:szCs w:val="21"/>
              </w:rPr>
              <w:t>预算</w:t>
            </w:r>
          </w:p>
          <w:p>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配置（15分）</w:t>
            </w:r>
          </w:p>
        </w:tc>
        <w:tc>
          <w:tcPr>
            <w:tcW w:w="500" w:type="pct"/>
            <w:noWrap w:val="0"/>
            <w:tcMar>
              <w:top w:w="10" w:type="dxa"/>
              <w:left w:w="10" w:type="dxa"/>
              <w:bottom w:w="0" w:type="dxa"/>
              <w:right w:w="10" w:type="dxa"/>
            </w:tcMar>
            <w:vAlign w:val="center"/>
          </w:tcPr>
          <w:p>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在职人员</w:t>
            </w:r>
          </w:p>
          <w:p>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控制率（5分）</w:t>
            </w:r>
          </w:p>
        </w:tc>
        <w:tc>
          <w:tcPr>
            <w:tcW w:w="375" w:type="pct"/>
            <w:noWrap w:val="0"/>
            <w:vAlign w:val="top"/>
          </w:tcPr>
          <w:p>
            <w:pPr>
              <w:tabs>
                <w:tab w:val="left" w:pos="2604"/>
              </w:tabs>
              <w:spacing w:line="240" w:lineRule="exact"/>
              <w:ind w:left="105" w:leftChars="50" w:right="105" w:rightChars="50" w:firstLine="96" w:firstLineChars="46"/>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hint="eastAsia" w:ascii="宋体" w:hAnsi="宋体" w:eastAsia="宋体" w:cs="宋体"/>
                <w:sz w:val="21"/>
                <w:szCs w:val="21"/>
              </w:rPr>
            </w:pPr>
            <w:r>
              <w:rPr>
                <w:rFonts w:hint="eastAsia" w:ascii="宋体" w:hAnsi="宋体" w:eastAsia="宋体" w:cs="宋体"/>
                <w:sz w:val="21"/>
                <w:szCs w:val="21"/>
              </w:rPr>
              <w:t>部门本年度实际在职人员数与编制数的比率，用以反映和考核部门对人员成本的控制程度。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hint="eastAsia" w:ascii="宋体" w:hAnsi="宋体" w:eastAsia="宋体" w:cs="宋体"/>
                <w:sz w:val="21"/>
                <w:szCs w:val="21"/>
                <w:lang w:eastAsia="zh-CN"/>
              </w:rPr>
            </w:pPr>
            <w:r>
              <w:rPr>
                <w:rFonts w:hint="eastAsia" w:ascii="宋体" w:hAnsi="宋体" w:eastAsia="宋体" w:cs="宋体"/>
                <w:sz w:val="21"/>
                <w:szCs w:val="21"/>
              </w:rPr>
              <w:t>在职人员控制率=（在职人员数/编制数）×100%。</w:t>
            </w:r>
          </w:p>
          <w:p>
            <w:pPr>
              <w:spacing w:line="240" w:lineRule="exact"/>
              <w:ind w:left="105" w:leftChars="50" w:right="105" w:rightChars="50"/>
              <w:rPr>
                <w:rFonts w:hint="eastAsia" w:ascii="宋体" w:hAnsi="宋体" w:eastAsia="宋体" w:cs="宋体"/>
                <w:sz w:val="21"/>
                <w:szCs w:val="21"/>
                <w:lang w:eastAsia="zh-CN"/>
              </w:rPr>
            </w:pPr>
            <w:r>
              <w:rPr>
                <w:rFonts w:hint="eastAsia" w:ascii="宋体" w:hAnsi="宋体" w:eastAsia="宋体" w:cs="宋体"/>
                <w:sz w:val="21"/>
                <w:szCs w:val="21"/>
              </w:rPr>
              <w:t>在职人员数：部门实际在职人数，以财政部确定的部门决算编制口径为准。</w:t>
            </w:r>
          </w:p>
          <w:p>
            <w:pPr>
              <w:spacing w:line="240" w:lineRule="exact"/>
              <w:ind w:left="105" w:leftChars="50" w:right="105" w:rightChars="50"/>
              <w:rPr>
                <w:rFonts w:hint="eastAsia" w:ascii="宋体" w:hAnsi="宋体" w:eastAsia="宋体" w:cs="宋体"/>
                <w:sz w:val="21"/>
                <w:szCs w:val="21"/>
              </w:rPr>
            </w:pPr>
            <w:r>
              <w:rPr>
                <w:rFonts w:hint="eastAsia" w:ascii="宋体" w:hAnsi="宋体" w:eastAsia="宋体" w:cs="宋体"/>
                <w:sz w:val="21"/>
                <w:szCs w:val="21"/>
              </w:rPr>
              <w:t>编制数：机构编制部门核定批复的部门的人员编制数。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30" w:hRule="atLeast"/>
          <w:jc w:val="center"/>
        </w:trPr>
        <w:tc>
          <w:tcPr>
            <w:tcW w:w="307" w:type="pct"/>
            <w:vMerge w:val="continue"/>
            <w:noWrap w:val="0"/>
            <w:vAlign w:val="center"/>
          </w:tcPr>
          <w:p>
            <w:pPr>
              <w:spacing w:line="240" w:lineRule="exact"/>
              <w:rPr>
                <w:rFonts w:hint="eastAsia" w:ascii="宋体" w:hAnsi="宋体" w:eastAsia="宋体" w:cs="宋体"/>
                <w:sz w:val="21"/>
                <w:szCs w:val="21"/>
              </w:rPr>
            </w:pPr>
          </w:p>
        </w:tc>
        <w:tc>
          <w:tcPr>
            <w:tcW w:w="375" w:type="pct"/>
            <w:vMerge w:val="continue"/>
            <w:noWrap w:val="0"/>
            <w:vAlign w:val="center"/>
          </w:tcPr>
          <w:p>
            <w:pPr>
              <w:spacing w:line="240" w:lineRule="exact"/>
              <w:rPr>
                <w:rFonts w:hint="eastAsia" w:ascii="宋体" w:hAnsi="宋体" w:eastAsia="宋体" w:cs="宋体"/>
                <w:sz w:val="21"/>
                <w:szCs w:val="21"/>
              </w:rPr>
            </w:pPr>
          </w:p>
        </w:tc>
        <w:tc>
          <w:tcPr>
            <w:tcW w:w="500" w:type="pct"/>
            <w:noWrap w:val="0"/>
            <w:tcMar>
              <w:top w:w="10" w:type="dxa"/>
              <w:left w:w="10" w:type="dxa"/>
              <w:bottom w:w="0" w:type="dxa"/>
              <w:right w:w="10" w:type="dxa"/>
            </w:tcMar>
            <w:vAlign w:val="center"/>
          </w:tcPr>
          <w:p>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“三公经费”</w:t>
            </w:r>
          </w:p>
          <w:p>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变动率（5分）</w:t>
            </w:r>
          </w:p>
        </w:tc>
        <w:tc>
          <w:tcPr>
            <w:tcW w:w="375" w:type="pct"/>
            <w:noWrap w:val="0"/>
            <w:vAlign w:val="top"/>
          </w:tcPr>
          <w:p>
            <w:pPr>
              <w:tabs>
                <w:tab w:val="left" w:pos="2604"/>
              </w:tabs>
              <w:spacing w:line="240" w:lineRule="exact"/>
              <w:ind w:left="105" w:leftChars="50" w:right="105" w:rightChars="50" w:firstLine="96" w:firstLineChars="46"/>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hint="eastAsia" w:ascii="宋体" w:hAnsi="宋体" w:eastAsia="宋体" w:cs="宋体"/>
                <w:sz w:val="21"/>
                <w:szCs w:val="21"/>
              </w:rPr>
            </w:pPr>
            <w:r>
              <w:rPr>
                <w:rFonts w:hint="eastAsia" w:ascii="宋体" w:hAnsi="宋体" w:eastAsia="宋体" w:cs="宋体"/>
                <w:sz w:val="21"/>
                <w:szCs w:val="21"/>
              </w:rPr>
              <w:t>部门本年度“三公经费”预算数与上年度“三公经费”预算数的变动比率，用以反映和考核部门对控制重点行政成本的努力程度。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hint="eastAsia" w:ascii="宋体" w:hAnsi="宋体" w:eastAsia="宋体" w:cs="宋体"/>
                <w:sz w:val="21"/>
                <w:szCs w:val="21"/>
                <w:lang w:eastAsia="zh-CN"/>
              </w:rPr>
            </w:pPr>
            <w:r>
              <w:rPr>
                <w:rFonts w:hint="eastAsia" w:ascii="宋体" w:hAnsi="宋体" w:eastAsia="宋体" w:cs="宋体"/>
                <w:sz w:val="21"/>
                <w:szCs w:val="21"/>
              </w:rPr>
              <w:t>“三公经费”变动率=[（本年度“三公经费”总额-上年度“三公经费”总额）/上年度“三公经费”总额]×100%。</w:t>
            </w:r>
          </w:p>
          <w:p>
            <w:pPr>
              <w:spacing w:line="240" w:lineRule="exact"/>
              <w:ind w:left="105" w:leftChars="50" w:right="105" w:rightChars="50"/>
              <w:rPr>
                <w:rFonts w:hint="eastAsia" w:ascii="宋体" w:hAnsi="宋体" w:eastAsia="宋体" w:cs="宋体"/>
                <w:sz w:val="21"/>
                <w:szCs w:val="21"/>
              </w:rPr>
            </w:pPr>
            <w:r>
              <w:rPr>
                <w:rFonts w:hint="eastAsia" w:ascii="宋体" w:hAnsi="宋体" w:eastAsia="宋体" w:cs="宋体"/>
                <w:sz w:val="21"/>
                <w:szCs w:val="21"/>
              </w:rPr>
              <w:t>“三公经费”：年度预算安排的因公出国（境）费、公务车辆购置及运行费和公务招待费。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10" w:hRule="atLeast"/>
          <w:jc w:val="center"/>
        </w:trPr>
        <w:tc>
          <w:tcPr>
            <w:tcW w:w="307" w:type="pct"/>
            <w:vMerge w:val="continue"/>
            <w:noWrap w:val="0"/>
            <w:vAlign w:val="center"/>
          </w:tcPr>
          <w:p>
            <w:pPr>
              <w:spacing w:line="240" w:lineRule="exact"/>
              <w:rPr>
                <w:rFonts w:hint="eastAsia" w:ascii="宋体" w:hAnsi="宋体" w:eastAsia="宋体" w:cs="宋体"/>
                <w:sz w:val="21"/>
                <w:szCs w:val="21"/>
              </w:rPr>
            </w:pPr>
          </w:p>
        </w:tc>
        <w:tc>
          <w:tcPr>
            <w:tcW w:w="375" w:type="pct"/>
            <w:vMerge w:val="continue"/>
            <w:noWrap w:val="0"/>
            <w:vAlign w:val="center"/>
          </w:tcPr>
          <w:p>
            <w:pPr>
              <w:spacing w:line="240" w:lineRule="exact"/>
              <w:rPr>
                <w:rFonts w:hint="eastAsia" w:ascii="宋体" w:hAnsi="宋体" w:eastAsia="宋体" w:cs="宋体"/>
                <w:sz w:val="21"/>
                <w:szCs w:val="21"/>
              </w:rPr>
            </w:pPr>
          </w:p>
        </w:tc>
        <w:tc>
          <w:tcPr>
            <w:tcW w:w="500" w:type="pct"/>
            <w:noWrap w:val="0"/>
            <w:tcMar>
              <w:top w:w="10" w:type="dxa"/>
              <w:left w:w="10" w:type="dxa"/>
              <w:bottom w:w="0" w:type="dxa"/>
              <w:right w:w="10" w:type="dxa"/>
            </w:tcMar>
            <w:vAlign w:val="center"/>
          </w:tcPr>
          <w:p>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重点支出</w:t>
            </w:r>
          </w:p>
          <w:p>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安排率（5分）</w:t>
            </w:r>
          </w:p>
        </w:tc>
        <w:tc>
          <w:tcPr>
            <w:tcW w:w="375" w:type="pct"/>
            <w:noWrap w:val="0"/>
            <w:vAlign w:val="top"/>
          </w:tcPr>
          <w:p>
            <w:pPr>
              <w:tabs>
                <w:tab w:val="left" w:pos="2604"/>
              </w:tabs>
              <w:spacing w:line="240" w:lineRule="exact"/>
              <w:ind w:left="105" w:leftChars="50" w:right="105" w:rightChars="50" w:firstLine="96" w:firstLineChars="46"/>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hint="eastAsia" w:ascii="宋体" w:hAnsi="宋体" w:eastAsia="宋体" w:cs="宋体"/>
                <w:sz w:val="21"/>
                <w:szCs w:val="21"/>
              </w:rPr>
            </w:pPr>
            <w:r>
              <w:rPr>
                <w:rFonts w:hint="eastAsia" w:ascii="宋体" w:hAnsi="宋体" w:eastAsia="宋体" w:cs="宋体"/>
                <w:sz w:val="21"/>
                <w:szCs w:val="21"/>
              </w:rPr>
              <w:t>部门本年度预算安排的重点预算支出与部门预算总支出的比率，用以反映和考核部门对履行主要职责或完成重点任务的保障程度。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hint="eastAsia" w:ascii="宋体" w:hAnsi="宋体" w:eastAsia="宋体" w:cs="宋体"/>
                <w:sz w:val="21"/>
                <w:szCs w:val="21"/>
                <w:lang w:eastAsia="zh-CN"/>
              </w:rPr>
            </w:pPr>
            <w:r>
              <w:rPr>
                <w:rFonts w:hint="eastAsia" w:ascii="宋体" w:hAnsi="宋体" w:eastAsia="宋体" w:cs="宋体"/>
                <w:sz w:val="21"/>
                <w:szCs w:val="21"/>
              </w:rPr>
              <w:t>重点支出安排率=（重点预算支出/预算总支出）×100%。</w:t>
            </w:r>
          </w:p>
          <w:p>
            <w:pPr>
              <w:spacing w:line="240" w:lineRule="exact"/>
              <w:ind w:left="105" w:leftChars="50" w:right="105" w:rightChars="50"/>
              <w:rPr>
                <w:rFonts w:hint="eastAsia" w:ascii="宋体" w:hAnsi="宋体" w:eastAsia="宋体" w:cs="宋体"/>
                <w:sz w:val="21"/>
                <w:szCs w:val="21"/>
                <w:lang w:eastAsia="zh-CN"/>
              </w:rPr>
            </w:pPr>
            <w:r>
              <w:rPr>
                <w:rFonts w:hint="eastAsia" w:ascii="宋体" w:hAnsi="宋体" w:eastAsia="宋体" w:cs="宋体"/>
                <w:sz w:val="21"/>
                <w:szCs w:val="21"/>
              </w:rPr>
              <w:t>重点预算支出：部门年度预算安排的，与本部门履职和发展密切相关、具有明显社会和经济影响、党委政府关心或社会比较关注的预算支出支出总额。</w:t>
            </w:r>
          </w:p>
          <w:p>
            <w:pPr>
              <w:spacing w:line="240" w:lineRule="exact"/>
              <w:ind w:left="105" w:leftChars="50" w:right="105" w:rightChars="50"/>
              <w:rPr>
                <w:rFonts w:hint="eastAsia" w:ascii="宋体" w:hAnsi="宋体" w:eastAsia="宋体" w:cs="宋体"/>
                <w:sz w:val="21"/>
                <w:szCs w:val="21"/>
              </w:rPr>
            </w:pPr>
            <w:r>
              <w:rPr>
                <w:rFonts w:hint="eastAsia" w:ascii="宋体" w:hAnsi="宋体" w:eastAsia="宋体" w:cs="宋体"/>
                <w:sz w:val="21"/>
                <w:szCs w:val="21"/>
              </w:rPr>
              <w:t>预算总支出：部门年度预算安排的预算支出支出总额。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62" w:hRule="atLeast"/>
          <w:jc w:val="center"/>
        </w:trPr>
        <w:tc>
          <w:tcPr>
            <w:tcW w:w="307" w:type="pct"/>
            <w:vMerge w:val="restart"/>
            <w:noWrap/>
            <w:tcMar>
              <w:top w:w="10" w:type="dxa"/>
              <w:left w:w="10" w:type="dxa"/>
              <w:bottom w:w="0" w:type="dxa"/>
              <w:right w:w="10" w:type="dxa"/>
            </w:tcMar>
            <w:textDirection w:val="tbRlV"/>
            <w:vAlign w:val="center"/>
          </w:tcPr>
          <w:p>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过   程（30分）</w:t>
            </w:r>
          </w:p>
        </w:tc>
        <w:tc>
          <w:tcPr>
            <w:tcW w:w="375" w:type="pct"/>
            <w:vMerge w:val="restart"/>
            <w:noWrap w:val="0"/>
            <w:tcMar>
              <w:top w:w="10" w:type="dxa"/>
              <w:left w:w="10" w:type="dxa"/>
              <w:bottom w:w="0" w:type="dxa"/>
              <w:right w:w="10" w:type="dxa"/>
            </w:tcMar>
            <w:vAlign w:val="center"/>
          </w:tcPr>
          <w:p>
            <w:pPr>
              <w:spacing w:line="240" w:lineRule="exact"/>
              <w:jc w:val="center"/>
              <w:rPr>
                <w:rFonts w:hint="eastAsia" w:ascii="宋体" w:hAnsi="宋体" w:eastAsia="宋体" w:cs="宋体"/>
                <w:sz w:val="21"/>
                <w:szCs w:val="21"/>
                <w:lang w:eastAsia="zh-CN"/>
              </w:rPr>
            </w:pPr>
            <w:r>
              <w:rPr>
                <w:rFonts w:hint="eastAsia" w:ascii="宋体" w:hAnsi="宋体" w:eastAsia="宋体" w:cs="宋体"/>
                <w:sz w:val="21"/>
                <w:szCs w:val="21"/>
              </w:rPr>
              <w:t>预算</w:t>
            </w:r>
          </w:p>
          <w:p>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执行（20分）</w:t>
            </w:r>
          </w:p>
        </w:tc>
        <w:tc>
          <w:tcPr>
            <w:tcW w:w="500" w:type="pct"/>
            <w:noWrap w:val="0"/>
            <w:tcMar>
              <w:top w:w="10" w:type="dxa"/>
              <w:left w:w="10" w:type="dxa"/>
              <w:bottom w:w="0" w:type="dxa"/>
              <w:right w:w="10" w:type="dxa"/>
            </w:tcMar>
            <w:vAlign w:val="center"/>
          </w:tcPr>
          <w:p>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预算</w:t>
            </w:r>
          </w:p>
          <w:p>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执行率（4分）</w:t>
            </w:r>
          </w:p>
        </w:tc>
        <w:tc>
          <w:tcPr>
            <w:tcW w:w="375" w:type="pct"/>
            <w:noWrap w:val="0"/>
            <w:vAlign w:val="top"/>
          </w:tcPr>
          <w:p>
            <w:pPr>
              <w:tabs>
                <w:tab w:val="left" w:pos="2604"/>
              </w:tabs>
              <w:spacing w:line="240" w:lineRule="exact"/>
              <w:ind w:left="105" w:leftChars="50" w:right="105" w:rightChars="50" w:firstLine="96" w:firstLineChars="46"/>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hint="eastAsia" w:ascii="宋体" w:hAnsi="宋体" w:eastAsia="宋体" w:cs="宋体"/>
                <w:sz w:val="21"/>
                <w:szCs w:val="21"/>
              </w:rPr>
            </w:pPr>
            <w:r>
              <w:rPr>
                <w:rFonts w:hint="eastAsia" w:ascii="宋体" w:hAnsi="宋体" w:eastAsia="宋体" w:cs="宋体"/>
                <w:sz w:val="21"/>
                <w:szCs w:val="21"/>
              </w:rPr>
              <w:t>部门本年度预算完成数与预算数的比率，用以反映和考核部门预算完成程度。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hint="eastAsia" w:ascii="宋体" w:hAnsi="宋体" w:eastAsia="宋体" w:cs="宋体"/>
                <w:sz w:val="21"/>
                <w:szCs w:val="21"/>
                <w:lang w:eastAsia="zh-CN"/>
              </w:rPr>
            </w:pPr>
            <w:r>
              <w:rPr>
                <w:rFonts w:hint="eastAsia" w:ascii="宋体" w:hAnsi="宋体" w:eastAsia="宋体" w:cs="宋体"/>
                <w:sz w:val="21"/>
                <w:szCs w:val="21"/>
              </w:rPr>
              <w:t>预算执行率=（预算执行数/预算数）×100%。</w:t>
            </w:r>
          </w:p>
          <w:p>
            <w:pPr>
              <w:spacing w:line="240" w:lineRule="exact"/>
              <w:ind w:left="105" w:leftChars="50" w:right="105" w:rightChars="50"/>
              <w:rPr>
                <w:rFonts w:hint="eastAsia" w:ascii="宋体" w:hAnsi="宋体" w:eastAsia="宋体" w:cs="宋体"/>
                <w:sz w:val="21"/>
                <w:szCs w:val="21"/>
                <w:lang w:eastAsia="zh-CN"/>
              </w:rPr>
            </w:pPr>
            <w:r>
              <w:rPr>
                <w:rFonts w:hint="eastAsia" w:ascii="宋体" w:hAnsi="宋体" w:eastAsia="宋体" w:cs="宋体"/>
                <w:sz w:val="21"/>
                <w:szCs w:val="21"/>
              </w:rPr>
              <w:t>预算执行数：部门本年度实际完成的预算数。</w:t>
            </w:r>
          </w:p>
          <w:p>
            <w:pPr>
              <w:spacing w:line="240" w:lineRule="exact"/>
              <w:ind w:left="105" w:leftChars="50" w:right="105" w:rightChars="50"/>
              <w:rPr>
                <w:rFonts w:hint="eastAsia" w:ascii="宋体" w:hAnsi="宋体" w:eastAsia="宋体" w:cs="宋体"/>
                <w:sz w:val="21"/>
                <w:szCs w:val="21"/>
              </w:rPr>
            </w:pPr>
            <w:r>
              <w:rPr>
                <w:rFonts w:hint="eastAsia" w:ascii="宋体" w:hAnsi="宋体" w:eastAsia="宋体" w:cs="宋体"/>
                <w:sz w:val="21"/>
                <w:szCs w:val="21"/>
              </w:rPr>
              <w:t>预算数：财政部门批复的本年度部门预算数。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4" w:hRule="atLeast"/>
          <w:jc w:val="center"/>
        </w:trPr>
        <w:tc>
          <w:tcPr>
            <w:tcW w:w="307" w:type="pct"/>
            <w:vMerge w:val="continue"/>
            <w:noWrap w:val="0"/>
            <w:vAlign w:val="center"/>
          </w:tcPr>
          <w:p>
            <w:pPr>
              <w:spacing w:line="240" w:lineRule="exact"/>
              <w:jc w:val="center"/>
              <w:rPr>
                <w:rFonts w:hint="eastAsia" w:ascii="宋体" w:hAnsi="宋体" w:eastAsia="宋体" w:cs="宋体"/>
                <w:sz w:val="21"/>
                <w:szCs w:val="21"/>
              </w:rPr>
            </w:pPr>
          </w:p>
        </w:tc>
        <w:tc>
          <w:tcPr>
            <w:tcW w:w="375" w:type="pct"/>
            <w:vMerge w:val="continue"/>
            <w:noWrap w:val="0"/>
            <w:vAlign w:val="center"/>
          </w:tcPr>
          <w:p>
            <w:pPr>
              <w:spacing w:line="240" w:lineRule="exact"/>
              <w:jc w:val="center"/>
              <w:rPr>
                <w:rFonts w:hint="eastAsia" w:ascii="宋体" w:hAnsi="宋体" w:eastAsia="宋体" w:cs="宋体"/>
                <w:sz w:val="21"/>
                <w:szCs w:val="21"/>
              </w:rPr>
            </w:pPr>
          </w:p>
        </w:tc>
        <w:tc>
          <w:tcPr>
            <w:tcW w:w="500" w:type="pct"/>
            <w:noWrap w:val="0"/>
            <w:tcMar>
              <w:top w:w="10" w:type="dxa"/>
              <w:left w:w="10" w:type="dxa"/>
              <w:bottom w:w="0" w:type="dxa"/>
              <w:right w:w="10" w:type="dxa"/>
            </w:tcMar>
            <w:vAlign w:val="center"/>
          </w:tcPr>
          <w:p>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预算</w:t>
            </w:r>
          </w:p>
          <w:p>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调整率（2分）</w:t>
            </w:r>
          </w:p>
        </w:tc>
        <w:tc>
          <w:tcPr>
            <w:tcW w:w="375" w:type="pct"/>
            <w:noWrap w:val="0"/>
            <w:vAlign w:val="top"/>
          </w:tcPr>
          <w:p>
            <w:pPr>
              <w:tabs>
                <w:tab w:val="left" w:pos="2604"/>
              </w:tabs>
              <w:spacing w:line="240" w:lineRule="exact"/>
              <w:ind w:left="105" w:leftChars="50" w:right="105" w:rightChars="50" w:firstLine="96" w:firstLineChars="46"/>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hint="eastAsia" w:ascii="宋体" w:hAnsi="宋体" w:eastAsia="宋体" w:cs="宋体"/>
                <w:sz w:val="21"/>
                <w:szCs w:val="21"/>
              </w:rPr>
            </w:pPr>
            <w:r>
              <w:rPr>
                <w:rFonts w:hint="eastAsia" w:ascii="宋体" w:hAnsi="宋体" w:eastAsia="宋体" w:cs="宋体"/>
                <w:sz w:val="21"/>
                <w:szCs w:val="21"/>
              </w:rPr>
              <w:t>部门本年度预算调整数与预算数的比率，用以反映和考核部门预算的调整程度。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hint="eastAsia" w:ascii="宋体" w:hAnsi="宋体" w:eastAsia="宋体" w:cs="宋体"/>
                <w:sz w:val="21"/>
                <w:szCs w:val="21"/>
                <w:lang w:eastAsia="zh-CN"/>
              </w:rPr>
            </w:pPr>
            <w:r>
              <w:rPr>
                <w:rFonts w:hint="eastAsia" w:ascii="宋体" w:hAnsi="宋体" w:eastAsia="宋体" w:cs="宋体"/>
                <w:sz w:val="21"/>
                <w:szCs w:val="21"/>
              </w:rPr>
              <w:t>预算调整率=（预算调整数/预算数）×100%。</w:t>
            </w:r>
          </w:p>
          <w:p>
            <w:pPr>
              <w:spacing w:line="240" w:lineRule="exact"/>
              <w:ind w:left="105" w:leftChars="50" w:right="105" w:rightChars="50"/>
              <w:rPr>
                <w:rFonts w:hint="eastAsia" w:ascii="宋体" w:hAnsi="宋体" w:eastAsia="宋体" w:cs="宋体"/>
                <w:sz w:val="21"/>
                <w:szCs w:val="21"/>
              </w:rPr>
            </w:pPr>
            <w:r>
              <w:rPr>
                <w:rFonts w:hint="eastAsia" w:ascii="宋体" w:hAnsi="宋体" w:eastAsia="宋体" w:cs="宋体"/>
                <w:sz w:val="21"/>
                <w:szCs w:val="21"/>
              </w:rPr>
              <w:t>预算调整数：部门在本年度内涉及预算的追加、追减或结构调整的资金总和（因落实国家政策、发生不可抗力、上级部门或本级党委政府临时交办而产生的调整除外）。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1" w:hRule="atLeast"/>
          <w:jc w:val="center"/>
        </w:trPr>
        <w:tc>
          <w:tcPr>
            <w:tcW w:w="307" w:type="pct"/>
            <w:vMerge w:val="continue"/>
            <w:noWrap w:val="0"/>
            <w:vAlign w:val="center"/>
          </w:tcPr>
          <w:p>
            <w:pPr>
              <w:spacing w:line="240" w:lineRule="exact"/>
              <w:jc w:val="center"/>
              <w:rPr>
                <w:rFonts w:hint="eastAsia" w:ascii="宋体" w:hAnsi="宋体" w:eastAsia="宋体" w:cs="宋体"/>
                <w:sz w:val="21"/>
                <w:szCs w:val="21"/>
              </w:rPr>
            </w:pPr>
          </w:p>
        </w:tc>
        <w:tc>
          <w:tcPr>
            <w:tcW w:w="375" w:type="pct"/>
            <w:vMerge w:val="continue"/>
            <w:noWrap w:val="0"/>
            <w:vAlign w:val="center"/>
          </w:tcPr>
          <w:p>
            <w:pPr>
              <w:spacing w:line="240" w:lineRule="exact"/>
              <w:jc w:val="center"/>
              <w:rPr>
                <w:rFonts w:hint="eastAsia" w:ascii="宋体" w:hAnsi="宋体" w:eastAsia="宋体" w:cs="宋体"/>
                <w:sz w:val="21"/>
                <w:szCs w:val="21"/>
              </w:rPr>
            </w:pPr>
          </w:p>
        </w:tc>
        <w:tc>
          <w:tcPr>
            <w:tcW w:w="500" w:type="pct"/>
            <w:noWrap w:val="0"/>
            <w:tcMar>
              <w:top w:w="10" w:type="dxa"/>
              <w:left w:w="10" w:type="dxa"/>
              <w:bottom w:w="0" w:type="dxa"/>
              <w:right w:w="10" w:type="dxa"/>
            </w:tcMar>
            <w:vAlign w:val="center"/>
          </w:tcPr>
          <w:p>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支付</w:t>
            </w:r>
          </w:p>
          <w:p>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进度率（2分）</w:t>
            </w:r>
          </w:p>
        </w:tc>
        <w:tc>
          <w:tcPr>
            <w:tcW w:w="375" w:type="pct"/>
            <w:noWrap w:val="0"/>
            <w:vAlign w:val="top"/>
          </w:tcPr>
          <w:p>
            <w:pPr>
              <w:tabs>
                <w:tab w:val="left" w:pos="2604"/>
              </w:tabs>
              <w:spacing w:line="240" w:lineRule="exact"/>
              <w:ind w:left="105" w:leftChars="50" w:right="105" w:rightChars="50" w:firstLine="96" w:firstLineChars="46"/>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hint="eastAsia" w:ascii="宋体" w:hAnsi="宋体" w:eastAsia="宋体" w:cs="宋体"/>
                <w:sz w:val="21"/>
                <w:szCs w:val="21"/>
              </w:rPr>
            </w:pPr>
            <w:r>
              <w:rPr>
                <w:rFonts w:hint="eastAsia" w:ascii="宋体" w:hAnsi="宋体" w:eastAsia="宋体" w:cs="宋体"/>
                <w:sz w:val="21"/>
                <w:szCs w:val="21"/>
              </w:rPr>
              <w:t>部门实际支付进度与既定支付进度的比率，用以反映和考核部门预算执行的及时性和均衡性程度。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hint="eastAsia" w:ascii="宋体" w:hAnsi="宋体" w:eastAsia="宋体" w:cs="宋体"/>
                <w:sz w:val="21"/>
                <w:szCs w:val="21"/>
                <w:lang w:eastAsia="zh-CN"/>
              </w:rPr>
            </w:pPr>
            <w:r>
              <w:rPr>
                <w:rFonts w:hint="eastAsia" w:ascii="宋体" w:hAnsi="宋体" w:eastAsia="宋体" w:cs="宋体"/>
                <w:sz w:val="21"/>
                <w:szCs w:val="21"/>
              </w:rPr>
              <w:t>支付进度率=（实际支付进度/既定支付进度）×100%。</w:t>
            </w:r>
          </w:p>
          <w:p>
            <w:pPr>
              <w:spacing w:line="240" w:lineRule="exact"/>
              <w:ind w:left="105" w:leftChars="50" w:right="105" w:rightChars="50"/>
              <w:rPr>
                <w:rFonts w:hint="eastAsia" w:ascii="宋体" w:hAnsi="宋体" w:eastAsia="宋体" w:cs="宋体"/>
                <w:sz w:val="21"/>
                <w:szCs w:val="21"/>
                <w:lang w:eastAsia="zh-CN"/>
              </w:rPr>
            </w:pPr>
            <w:r>
              <w:rPr>
                <w:rFonts w:hint="eastAsia" w:ascii="宋体" w:hAnsi="宋体" w:eastAsia="宋体" w:cs="宋体"/>
                <w:sz w:val="21"/>
                <w:szCs w:val="21"/>
              </w:rPr>
              <w:t>实际支付进度：部门在某一时点的支出预算执行总数与年度支出预算数的比率。</w:t>
            </w:r>
          </w:p>
          <w:p>
            <w:pPr>
              <w:spacing w:line="240" w:lineRule="exact"/>
              <w:ind w:left="105" w:leftChars="50" w:right="105" w:rightChars="50"/>
              <w:rPr>
                <w:rFonts w:hint="eastAsia" w:ascii="宋体" w:hAnsi="宋体" w:eastAsia="宋体" w:cs="宋体"/>
                <w:sz w:val="21"/>
                <w:szCs w:val="21"/>
              </w:rPr>
            </w:pPr>
            <w:r>
              <w:rPr>
                <w:rFonts w:hint="eastAsia" w:ascii="宋体" w:hAnsi="宋体" w:eastAsia="宋体" w:cs="宋体"/>
                <w:sz w:val="21"/>
                <w:szCs w:val="21"/>
              </w:rPr>
              <w:t>既定支付进度：由部门在申报部门整体绩效目标时，参照序时支付进度、前三年支付进度、本级部门平均支付进度水平等确定的，在某一时点应达到的支付进度（比率）。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9" w:hRule="atLeast"/>
          <w:jc w:val="center"/>
        </w:trPr>
        <w:tc>
          <w:tcPr>
            <w:tcW w:w="307" w:type="pct"/>
            <w:vMerge w:val="continue"/>
            <w:noWrap/>
            <w:tcMar>
              <w:top w:w="10" w:type="dxa"/>
              <w:left w:w="10" w:type="dxa"/>
              <w:bottom w:w="0" w:type="dxa"/>
              <w:right w:w="10" w:type="dxa"/>
            </w:tcMar>
            <w:textDirection w:val="tbRlV"/>
            <w:vAlign w:val="center"/>
          </w:tcPr>
          <w:p>
            <w:pPr>
              <w:spacing w:line="240" w:lineRule="exact"/>
              <w:jc w:val="center"/>
              <w:rPr>
                <w:rFonts w:hint="eastAsia" w:ascii="宋体" w:hAnsi="宋体" w:eastAsia="宋体" w:cs="宋体"/>
                <w:sz w:val="21"/>
                <w:szCs w:val="21"/>
              </w:rPr>
            </w:pPr>
          </w:p>
        </w:tc>
        <w:tc>
          <w:tcPr>
            <w:tcW w:w="375" w:type="pct"/>
            <w:vMerge w:val="continue"/>
            <w:noWrap w:val="0"/>
            <w:tcMar>
              <w:top w:w="10" w:type="dxa"/>
              <w:left w:w="10" w:type="dxa"/>
              <w:bottom w:w="0" w:type="dxa"/>
              <w:right w:w="10" w:type="dxa"/>
            </w:tcMar>
            <w:vAlign w:val="center"/>
          </w:tcPr>
          <w:p>
            <w:pPr>
              <w:spacing w:line="240" w:lineRule="exact"/>
              <w:jc w:val="center"/>
              <w:rPr>
                <w:rFonts w:hint="eastAsia" w:ascii="宋体" w:hAnsi="宋体" w:eastAsia="宋体" w:cs="宋体"/>
                <w:sz w:val="21"/>
                <w:szCs w:val="21"/>
              </w:rPr>
            </w:pPr>
          </w:p>
        </w:tc>
        <w:tc>
          <w:tcPr>
            <w:tcW w:w="500" w:type="pct"/>
            <w:noWrap w:val="0"/>
            <w:tcMar>
              <w:top w:w="10" w:type="dxa"/>
              <w:left w:w="10" w:type="dxa"/>
              <w:bottom w:w="0" w:type="dxa"/>
              <w:right w:w="10" w:type="dxa"/>
            </w:tcMar>
            <w:vAlign w:val="center"/>
          </w:tcPr>
          <w:p>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结转</w:t>
            </w:r>
          </w:p>
          <w:p>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结余率（2分）</w:t>
            </w:r>
          </w:p>
        </w:tc>
        <w:tc>
          <w:tcPr>
            <w:tcW w:w="375" w:type="pct"/>
            <w:noWrap w:val="0"/>
            <w:vAlign w:val="top"/>
          </w:tcPr>
          <w:p>
            <w:pPr>
              <w:tabs>
                <w:tab w:val="left" w:pos="2604"/>
              </w:tabs>
              <w:spacing w:line="240" w:lineRule="exact"/>
              <w:ind w:left="105" w:leftChars="50" w:right="105" w:rightChars="50" w:firstLine="96" w:firstLineChars="46"/>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hint="eastAsia" w:ascii="宋体" w:hAnsi="宋体" w:eastAsia="宋体" w:cs="宋体"/>
                <w:sz w:val="21"/>
                <w:szCs w:val="21"/>
              </w:rPr>
            </w:pPr>
            <w:r>
              <w:rPr>
                <w:rFonts w:hint="eastAsia" w:ascii="宋体" w:hAnsi="宋体" w:eastAsia="宋体" w:cs="宋体"/>
                <w:sz w:val="21"/>
                <w:szCs w:val="21"/>
              </w:rPr>
              <w:t>部门本年度结转结余总额与支出预算数的比率，用以反映和考核部门对本年度结转结余资金的实际控制程度。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hint="eastAsia" w:ascii="宋体" w:hAnsi="宋体" w:eastAsia="宋体" w:cs="宋体"/>
                <w:sz w:val="21"/>
                <w:szCs w:val="21"/>
                <w:lang w:eastAsia="zh-CN"/>
              </w:rPr>
            </w:pPr>
            <w:r>
              <w:rPr>
                <w:rFonts w:hint="eastAsia" w:ascii="宋体" w:hAnsi="宋体" w:eastAsia="宋体" w:cs="宋体"/>
                <w:sz w:val="21"/>
                <w:szCs w:val="21"/>
              </w:rPr>
              <w:t>结转结余率=结转结余总额/支出预算数×100%。</w:t>
            </w:r>
          </w:p>
          <w:p>
            <w:pPr>
              <w:spacing w:line="240" w:lineRule="exact"/>
              <w:ind w:left="105" w:leftChars="50" w:right="105" w:rightChars="50"/>
              <w:rPr>
                <w:rFonts w:hint="eastAsia" w:ascii="宋体" w:hAnsi="宋体" w:eastAsia="宋体" w:cs="宋体"/>
                <w:sz w:val="21"/>
                <w:szCs w:val="21"/>
              </w:rPr>
            </w:pPr>
            <w:r>
              <w:rPr>
                <w:rFonts w:hint="eastAsia" w:ascii="宋体" w:hAnsi="宋体" w:eastAsia="宋体" w:cs="宋体"/>
                <w:sz w:val="21"/>
                <w:szCs w:val="21"/>
              </w:rPr>
              <w:t>结转结余总额：部门本年度的结转资金与结余资金之和（以决算数为准）。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3" w:hRule="atLeast"/>
          <w:jc w:val="center"/>
        </w:trPr>
        <w:tc>
          <w:tcPr>
            <w:tcW w:w="307" w:type="pct"/>
            <w:vMerge w:val="continue"/>
            <w:noWrap w:val="0"/>
            <w:vAlign w:val="center"/>
          </w:tcPr>
          <w:p>
            <w:pPr>
              <w:spacing w:line="240" w:lineRule="exact"/>
              <w:jc w:val="center"/>
              <w:rPr>
                <w:rFonts w:hint="eastAsia" w:ascii="宋体" w:hAnsi="宋体" w:eastAsia="宋体" w:cs="宋体"/>
                <w:sz w:val="21"/>
                <w:szCs w:val="21"/>
              </w:rPr>
            </w:pPr>
          </w:p>
        </w:tc>
        <w:tc>
          <w:tcPr>
            <w:tcW w:w="375" w:type="pct"/>
            <w:vMerge w:val="continue"/>
            <w:noWrap w:val="0"/>
            <w:vAlign w:val="center"/>
          </w:tcPr>
          <w:p>
            <w:pPr>
              <w:spacing w:line="240" w:lineRule="exact"/>
              <w:rPr>
                <w:rFonts w:hint="eastAsia" w:ascii="宋体" w:hAnsi="宋体" w:eastAsia="宋体" w:cs="宋体"/>
                <w:sz w:val="21"/>
                <w:szCs w:val="21"/>
              </w:rPr>
            </w:pPr>
          </w:p>
        </w:tc>
        <w:tc>
          <w:tcPr>
            <w:tcW w:w="500" w:type="pct"/>
            <w:noWrap w:val="0"/>
            <w:tcMar>
              <w:top w:w="10" w:type="dxa"/>
              <w:left w:w="10" w:type="dxa"/>
              <w:bottom w:w="0" w:type="dxa"/>
              <w:right w:w="10" w:type="dxa"/>
            </w:tcMar>
            <w:vAlign w:val="center"/>
          </w:tcPr>
          <w:p>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结转结余</w:t>
            </w:r>
          </w:p>
          <w:p>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变动率（2分）</w:t>
            </w:r>
          </w:p>
        </w:tc>
        <w:tc>
          <w:tcPr>
            <w:tcW w:w="375" w:type="pct"/>
            <w:noWrap w:val="0"/>
            <w:vAlign w:val="top"/>
          </w:tcPr>
          <w:p>
            <w:pPr>
              <w:tabs>
                <w:tab w:val="left" w:pos="2604"/>
              </w:tabs>
              <w:spacing w:line="240" w:lineRule="exact"/>
              <w:ind w:left="105" w:leftChars="50" w:right="105" w:rightChars="50" w:firstLine="96" w:firstLineChars="46"/>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hint="eastAsia" w:ascii="宋体" w:hAnsi="宋体" w:eastAsia="宋体" w:cs="宋体"/>
                <w:sz w:val="21"/>
                <w:szCs w:val="21"/>
              </w:rPr>
            </w:pPr>
            <w:r>
              <w:rPr>
                <w:rFonts w:hint="eastAsia" w:ascii="宋体" w:hAnsi="宋体" w:eastAsia="宋体" w:cs="宋体"/>
                <w:sz w:val="21"/>
                <w:szCs w:val="21"/>
              </w:rPr>
              <w:t>部门本年度结转结余资金总额与上年度结转结余资金总额的变动比率，用以反映和考核部门对控制结转结余资金的努力程度。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hint="eastAsia" w:ascii="宋体" w:hAnsi="宋体" w:eastAsia="宋体" w:cs="宋体"/>
                <w:sz w:val="21"/>
                <w:szCs w:val="21"/>
              </w:rPr>
            </w:pPr>
            <w:r>
              <w:rPr>
                <w:rFonts w:hint="eastAsia" w:ascii="宋体" w:hAnsi="宋体" w:eastAsia="宋体" w:cs="宋体"/>
                <w:sz w:val="21"/>
                <w:szCs w:val="21"/>
              </w:rPr>
              <w:t>结转结余变动率=[（本年度累计结转结余资金总额-上年度累计结转结余资金总额）/上年度累计结转结余资金总额]×100%。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5" w:hRule="atLeast"/>
          <w:jc w:val="center"/>
        </w:trPr>
        <w:tc>
          <w:tcPr>
            <w:tcW w:w="307" w:type="pct"/>
            <w:vMerge w:val="continue"/>
            <w:noWrap w:val="0"/>
            <w:vAlign w:val="center"/>
          </w:tcPr>
          <w:p>
            <w:pPr>
              <w:spacing w:line="240" w:lineRule="exact"/>
              <w:jc w:val="center"/>
              <w:rPr>
                <w:rFonts w:hint="eastAsia" w:ascii="宋体" w:hAnsi="宋体" w:eastAsia="宋体" w:cs="宋体"/>
                <w:sz w:val="21"/>
                <w:szCs w:val="21"/>
              </w:rPr>
            </w:pPr>
          </w:p>
        </w:tc>
        <w:tc>
          <w:tcPr>
            <w:tcW w:w="375" w:type="pct"/>
            <w:vMerge w:val="continue"/>
            <w:noWrap w:val="0"/>
            <w:vAlign w:val="center"/>
          </w:tcPr>
          <w:p>
            <w:pPr>
              <w:spacing w:line="240" w:lineRule="exact"/>
              <w:rPr>
                <w:rFonts w:hint="eastAsia" w:ascii="宋体" w:hAnsi="宋体" w:eastAsia="宋体" w:cs="宋体"/>
                <w:sz w:val="21"/>
                <w:szCs w:val="21"/>
              </w:rPr>
            </w:pPr>
          </w:p>
        </w:tc>
        <w:tc>
          <w:tcPr>
            <w:tcW w:w="500" w:type="pct"/>
            <w:noWrap w:val="0"/>
            <w:tcMar>
              <w:top w:w="10" w:type="dxa"/>
              <w:left w:w="10" w:type="dxa"/>
              <w:bottom w:w="0" w:type="dxa"/>
              <w:right w:w="10" w:type="dxa"/>
            </w:tcMar>
            <w:vAlign w:val="center"/>
          </w:tcPr>
          <w:p>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公用经费</w:t>
            </w:r>
          </w:p>
          <w:p>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控制率（2分）</w:t>
            </w:r>
          </w:p>
        </w:tc>
        <w:tc>
          <w:tcPr>
            <w:tcW w:w="375" w:type="pct"/>
            <w:noWrap w:val="0"/>
            <w:vAlign w:val="top"/>
          </w:tcPr>
          <w:p>
            <w:pPr>
              <w:tabs>
                <w:tab w:val="left" w:pos="2604"/>
              </w:tabs>
              <w:spacing w:line="240" w:lineRule="exact"/>
              <w:ind w:left="105" w:leftChars="50" w:right="105" w:rightChars="50" w:firstLine="96" w:firstLineChars="46"/>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hint="eastAsia" w:ascii="宋体" w:hAnsi="宋体" w:eastAsia="宋体" w:cs="宋体"/>
                <w:sz w:val="21"/>
                <w:szCs w:val="21"/>
              </w:rPr>
            </w:pPr>
            <w:r>
              <w:rPr>
                <w:rFonts w:hint="eastAsia" w:ascii="宋体" w:hAnsi="宋体" w:eastAsia="宋体" w:cs="宋体"/>
                <w:sz w:val="21"/>
                <w:szCs w:val="21"/>
              </w:rPr>
              <w:t>部门本年度实际支出的公用经费总额与预算安排的公用经费总额的比率，用以反映和考核部门对机构运转成本的实际控制程度。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hint="eastAsia" w:ascii="宋体" w:hAnsi="宋体" w:eastAsia="宋体" w:cs="宋体"/>
                <w:sz w:val="21"/>
                <w:szCs w:val="21"/>
              </w:rPr>
            </w:pPr>
            <w:r>
              <w:rPr>
                <w:rFonts w:hint="eastAsia" w:ascii="宋体" w:hAnsi="宋体" w:eastAsia="宋体" w:cs="宋体"/>
                <w:sz w:val="21"/>
                <w:szCs w:val="21"/>
              </w:rPr>
              <w:t>公用经费控制率=（实际支出公用经费总额/预算安排公用经费总额）×100%。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8" w:hRule="atLeast"/>
          <w:jc w:val="center"/>
        </w:trPr>
        <w:tc>
          <w:tcPr>
            <w:tcW w:w="307" w:type="pct"/>
            <w:vMerge w:val="continue"/>
            <w:noWrap w:val="0"/>
            <w:vAlign w:val="center"/>
          </w:tcPr>
          <w:p>
            <w:pPr>
              <w:spacing w:line="240" w:lineRule="exact"/>
              <w:jc w:val="center"/>
              <w:rPr>
                <w:rFonts w:hint="eastAsia" w:ascii="宋体" w:hAnsi="宋体" w:eastAsia="宋体" w:cs="宋体"/>
                <w:sz w:val="21"/>
                <w:szCs w:val="21"/>
              </w:rPr>
            </w:pPr>
          </w:p>
        </w:tc>
        <w:tc>
          <w:tcPr>
            <w:tcW w:w="375" w:type="pct"/>
            <w:vMerge w:val="continue"/>
            <w:noWrap w:val="0"/>
            <w:vAlign w:val="center"/>
          </w:tcPr>
          <w:p>
            <w:pPr>
              <w:spacing w:line="240" w:lineRule="exact"/>
              <w:jc w:val="center"/>
              <w:rPr>
                <w:rFonts w:hint="eastAsia" w:ascii="宋体" w:hAnsi="宋体" w:eastAsia="宋体" w:cs="宋体"/>
                <w:sz w:val="21"/>
                <w:szCs w:val="21"/>
              </w:rPr>
            </w:pPr>
          </w:p>
        </w:tc>
        <w:tc>
          <w:tcPr>
            <w:tcW w:w="500" w:type="pct"/>
            <w:noWrap w:val="0"/>
            <w:tcMar>
              <w:top w:w="10" w:type="dxa"/>
              <w:left w:w="10" w:type="dxa"/>
              <w:bottom w:w="0" w:type="dxa"/>
              <w:right w:w="10" w:type="dxa"/>
            </w:tcMar>
            <w:vAlign w:val="center"/>
          </w:tcPr>
          <w:p>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“三公经费”控制率（2分）</w:t>
            </w:r>
          </w:p>
        </w:tc>
        <w:tc>
          <w:tcPr>
            <w:tcW w:w="375" w:type="pct"/>
            <w:noWrap w:val="0"/>
            <w:vAlign w:val="top"/>
          </w:tcPr>
          <w:p>
            <w:pPr>
              <w:tabs>
                <w:tab w:val="left" w:pos="2604"/>
              </w:tabs>
              <w:spacing w:line="240" w:lineRule="exact"/>
              <w:ind w:left="105" w:leftChars="50" w:right="105" w:rightChars="50" w:firstLine="96" w:firstLineChars="46"/>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hint="eastAsia" w:ascii="宋体" w:hAnsi="宋体" w:eastAsia="宋体" w:cs="宋体"/>
                <w:sz w:val="21"/>
                <w:szCs w:val="21"/>
              </w:rPr>
            </w:pPr>
            <w:r>
              <w:rPr>
                <w:rFonts w:hint="eastAsia" w:ascii="宋体" w:hAnsi="宋体" w:eastAsia="宋体" w:cs="宋体"/>
                <w:sz w:val="21"/>
                <w:szCs w:val="21"/>
              </w:rPr>
              <w:t>部门本年度“三公经费”实际支出数与预算安排数的比率，用以反映和考核部门对“三公经费”的实际控制程度。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hint="eastAsia" w:ascii="宋体" w:hAnsi="宋体" w:eastAsia="宋体" w:cs="宋体"/>
                <w:sz w:val="21"/>
                <w:szCs w:val="21"/>
              </w:rPr>
            </w:pPr>
            <w:r>
              <w:rPr>
                <w:rFonts w:hint="eastAsia" w:ascii="宋体" w:hAnsi="宋体" w:eastAsia="宋体" w:cs="宋体"/>
                <w:sz w:val="21"/>
                <w:szCs w:val="21"/>
              </w:rPr>
              <w:t>“三公经费”控制率=（“三公经费”实际支出数/“三公经费”预算安排数）×100%。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20" w:hRule="atLeast"/>
          <w:jc w:val="center"/>
        </w:trPr>
        <w:tc>
          <w:tcPr>
            <w:tcW w:w="307" w:type="pct"/>
            <w:vMerge w:val="continue"/>
            <w:noWrap w:val="0"/>
            <w:vAlign w:val="center"/>
          </w:tcPr>
          <w:p>
            <w:pPr>
              <w:spacing w:line="240" w:lineRule="exact"/>
              <w:jc w:val="center"/>
              <w:rPr>
                <w:rFonts w:hint="eastAsia" w:ascii="宋体" w:hAnsi="宋体" w:eastAsia="宋体" w:cs="宋体"/>
                <w:sz w:val="21"/>
                <w:szCs w:val="21"/>
              </w:rPr>
            </w:pPr>
          </w:p>
        </w:tc>
        <w:tc>
          <w:tcPr>
            <w:tcW w:w="375" w:type="pct"/>
            <w:vMerge w:val="continue"/>
            <w:noWrap w:val="0"/>
            <w:vAlign w:val="center"/>
          </w:tcPr>
          <w:p>
            <w:pPr>
              <w:spacing w:line="240" w:lineRule="exact"/>
              <w:rPr>
                <w:rFonts w:hint="eastAsia" w:ascii="宋体" w:hAnsi="宋体" w:eastAsia="宋体" w:cs="宋体"/>
                <w:sz w:val="21"/>
                <w:szCs w:val="21"/>
              </w:rPr>
            </w:pPr>
          </w:p>
        </w:tc>
        <w:tc>
          <w:tcPr>
            <w:tcW w:w="500" w:type="pct"/>
            <w:noWrap w:val="0"/>
            <w:tcMar>
              <w:top w:w="10" w:type="dxa"/>
              <w:left w:w="10" w:type="dxa"/>
              <w:bottom w:w="0" w:type="dxa"/>
              <w:right w:w="10" w:type="dxa"/>
            </w:tcMar>
            <w:vAlign w:val="center"/>
          </w:tcPr>
          <w:p>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政府采购</w:t>
            </w:r>
          </w:p>
          <w:p>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执行率（4分）</w:t>
            </w:r>
          </w:p>
        </w:tc>
        <w:tc>
          <w:tcPr>
            <w:tcW w:w="375" w:type="pct"/>
            <w:noWrap w:val="0"/>
            <w:vAlign w:val="top"/>
          </w:tcPr>
          <w:p>
            <w:pPr>
              <w:tabs>
                <w:tab w:val="left" w:pos="2604"/>
              </w:tabs>
              <w:spacing w:line="240" w:lineRule="exact"/>
              <w:ind w:left="105" w:leftChars="50" w:right="105" w:rightChars="50" w:firstLine="96" w:firstLineChars="46"/>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hint="eastAsia" w:ascii="宋体" w:hAnsi="宋体" w:eastAsia="宋体" w:cs="宋体"/>
                <w:sz w:val="21"/>
                <w:szCs w:val="21"/>
              </w:rPr>
            </w:pPr>
            <w:r>
              <w:rPr>
                <w:rFonts w:hint="eastAsia" w:ascii="宋体" w:hAnsi="宋体" w:eastAsia="宋体" w:cs="宋体"/>
                <w:sz w:val="21"/>
                <w:szCs w:val="21"/>
              </w:rPr>
              <w:t>部门本年度实际政府采购金额与年初政府采购预算的比率，用以反映和考核部门政府采购预算执行情况。</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hint="eastAsia" w:ascii="宋体" w:hAnsi="宋体" w:eastAsia="宋体" w:cs="宋体"/>
                <w:sz w:val="21"/>
                <w:szCs w:val="21"/>
                <w:lang w:eastAsia="zh-CN"/>
              </w:rPr>
            </w:pPr>
            <w:r>
              <w:rPr>
                <w:rFonts w:hint="eastAsia" w:ascii="宋体" w:hAnsi="宋体" w:eastAsia="宋体" w:cs="宋体"/>
                <w:sz w:val="21"/>
                <w:szCs w:val="21"/>
              </w:rPr>
              <w:t>政府采购执行率=（实际政府采购金额/政府采购预算数）×100%；</w:t>
            </w:r>
          </w:p>
          <w:p>
            <w:pPr>
              <w:spacing w:line="240" w:lineRule="exact"/>
              <w:ind w:left="105" w:leftChars="50" w:right="105" w:rightChars="50"/>
              <w:rPr>
                <w:rFonts w:hint="eastAsia" w:ascii="宋体" w:hAnsi="宋体" w:eastAsia="宋体" w:cs="宋体"/>
                <w:sz w:val="21"/>
                <w:szCs w:val="21"/>
              </w:rPr>
            </w:pPr>
            <w:r>
              <w:rPr>
                <w:rFonts w:hint="eastAsia" w:ascii="宋体" w:hAnsi="宋体" w:eastAsia="宋体" w:cs="宋体"/>
                <w:sz w:val="21"/>
                <w:szCs w:val="21"/>
              </w:rPr>
              <w:t xml:space="preserve">政府采购预算：采购机关根据事业发展计划和行政任务编制的、并经过规定程序批准的年度政府采购计划。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29" w:hRule="atLeast"/>
          <w:jc w:val="center"/>
        </w:trPr>
        <w:tc>
          <w:tcPr>
            <w:tcW w:w="307" w:type="pct"/>
            <w:vMerge w:val="restart"/>
            <w:noWrap w:val="0"/>
            <w:vAlign w:val="center"/>
          </w:tcPr>
          <w:p>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过</w:t>
            </w:r>
          </w:p>
          <w:p>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程（30分）</w:t>
            </w:r>
          </w:p>
        </w:tc>
        <w:tc>
          <w:tcPr>
            <w:tcW w:w="375" w:type="pct"/>
            <w:vMerge w:val="restart"/>
            <w:noWrap w:val="0"/>
            <w:tcMar>
              <w:top w:w="10" w:type="dxa"/>
              <w:left w:w="10" w:type="dxa"/>
              <w:bottom w:w="0" w:type="dxa"/>
              <w:right w:w="10" w:type="dxa"/>
            </w:tcMar>
            <w:vAlign w:val="center"/>
          </w:tcPr>
          <w:p>
            <w:pPr>
              <w:spacing w:line="240" w:lineRule="exact"/>
              <w:jc w:val="center"/>
              <w:rPr>
                <w:rFonts w:hint="eastAsia" w:ascii="宋体" w:hAnsi="宋体" w:eastAsia="宋体" w:cs="宋体"/>
                <w:sz w:val="21"/>
                <w:szCs w:val="21"/>
                <w:lang w:eastAsia="zh-CN"/>
              </w:rPr>
            </w:pPr>
            <w:r>
              <w:rPr>
                <w:rFonts w:hint="eastAsia" w:ascii="宋体" w:hAnsi="宋体" w:eastAsia="宋体" w:cs="宋体"/>
                <w:sz w:val="21"/>
                <w:szCs w:val="21"/>
              </w:rPr>
              <w:t>预算</w:t>
            </w:r>
          </w:p>
          <w:p>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管理（5分）</w:t>
            </w:r>
          </w:p>
          <w:p>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w:t>
            </w:r>
          </w:p>
        </w:tc>
        <w:tc>
          <w:tcPr>
            <w:tcW w:w="500" w:type="pct"/>
            <w:noWrap w:val="0"/>
            <w:tcMar>
              <w:top w:w="10" w:type="dxa"/>
              <w:left w:w="10" w:type="dxa"/>
              <w:bottom w:w="0" w:type="dxa"/>
              <w:right w:w="10" w:type="dxa"/>
            </w:tcMar>
            <w:vAlign w:val="center"/>
          </w:tcPr>
          <w:p>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管理制度</w:t>
            </w:r>
          </w:p>
          <w:p>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健全性（2分）</w:t>
            </w:r>
          </w:p>
        </w:tc>
        <w:tc>
          <w:tcPr>
            <w:tcW w:w="375" w:type="pct"/>
            <w:noWrap w:val="0"/>
            <w:vAlign w:val="top"/>
          </w:tcPr>
          <w:p>
            <w:pPr>
              <w:tabs>
                <w:tab w:val="left" w:pos="2604"/>
              </w:tabs>
              <w:spacing w:line="240" w:lineRule="exact"/>
              <w:ind w:left="105" w:leftChars="50" w:right="105" w:rightChars="50" w:firstLine="96" w:firstLineChars="46"/>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hint="eastAsia" w:ascii="宋体" w:hAnsi="宋体" w:eastAsia="宋体" w:cs="宋体"/>
                <w:sz w:val="21"/>
                <w:szCs w:val="21"/>
              </w:rPr>
            </w:pPr>
            <w:r>
              <w:rPr>
                <w:rFonts w:hint="eastAsia" w:ascii="宋体" w:hAnsi="宋体" w:eastAsia="宋体" w:cs="宋体"/>
                <w:sz w:val="21"/>
                <w:szCs w:val="21"/>
              </w:rPr>
              <w:t>部门为加强预算管理、规范财务行为而制定的管理制度是否健全完整，用以反映和考核部门预算管理制度对完成主要职责或促进事业发展的保障情况。</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hint="eastAsia" w:ascii="宋体" w:hAnsi="宋体" w:eastAsia="宋体" w:cs="宋体"/>
                <w:sz w:val="21"/>
                <w:szCs w:val="21"/>
                <w:lang w:eastAsia="zh-CN"/>
              </w:rPr>
            </w:pPr>
            <w:r>
              <w:rPr>
                <w:rFonts w:hint="eastAsia" w:ascii="宋体" w:hAnsi="宋体" w:eastAsia="宋体" w:cs="宋体"/>
                <w:sz w:val="21"/>
                <w:szCs w:val="21"/>
              </w:rPr>
              <w:t>评价要点：</w:t>
            </w:r>
          </w:p>
          <w:p>
            <w:pPr>
              <w:spacing w:line="240" w:lineRule="exact"/>
              <w:ind w:left="105" w:leftChars="50" w:right="105" w:rightChars="50"/>
              <w:rPr>
                <w:rFonts w:hint="eastAsia" w:ascii="宋体" w:hAnsi="宋体" w:eastAsia="宋体" w:cs="宋体"/>
                <w:sz w:val="21"/>
                <w:szCs w:val="21"/>
                <w:lang w:eastAsia="zh-CN"/>
              </w:rPr>
            </w:pPr>
            <w:r>
              <w:rPr>
                <w:rFonts w:hint="eastAsia" w:ascii="宋体" w:hAnsi="宋体" w:eastAsia="宋体" w:cs="宋体"/>
                <w:sz w:val="21"/>
                <w:szCs w:val="21"/>
              </w:rPr>
              <w:t>①是否已制定或具有预算资金管理办法、内部财务管理制度、会计核算制度等管理制度；</w:t>
            </w:r>
          </w:p>
          <w:p>
            <w:pPr>
              <w:spacing w:line="240" w:lineRule="exact"/>
              <w:ind w:left="105" w:leftChars="50" w:right="105" w:rightChars="50"/>
              <w:rPr>
                <w:rFonts w:hint="eastAsia" w:ascii="宋体" w:hAnsi="宋体" w:eastAsia="宋体" w:cs="宋体"/>
                <w:sz w:val="21"/>
                <w:szCs w:val="21"/>
                <w:lang w:eastAsia="zh-CN"/>
              </w:rPr>
            </w:pPr>
            <w:r>
              <w:rPr>
                <w:rFonts w:hint="eastAsia" w:ascii="宋体" w:hAnsi="宋体" w:eastAsia="宋体" w:cs="宋体"/>
                <w:sz w:val="21"/>
                <w:szCs w:val="21"/>
              </w:rPr>
              <w:t>②相关管理制度是否合法、合规、完整；</w:t>
            </w:r>
          </w:p>
          <w:p>
            <w:pPr>
              <w:spacing w:line="240" w:lineRule="exact"/>
              <w:ind w:left="105" w:leftChars="50" w:right="105" w:rightChars="50"/>
              <w:rPr>
                <w:rFonts w:hint="eastAsia" w:ascii="宋体" w:hAnsi="宋体" w:eastAsia="宋体" w:cs="宋体"/>
                <w:sz w:val="21"/>
                <w:szCs w:val="21"/>
              </w:rPr>
            </w:pPr>
            <w:r>
              <w:rPr>
                <w:rFonts w:hint="eastAsia" w:ascii="宋体" w:hAnsi="宋体" w:eastAsia="宋体" w:cs="宋体"/>
                <w:sz w:val="21"/>
                <w:szCs w:val="21"/>
              </w:rPr>
              <w:t>③相关管理制度是否得到有效执行。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7" w:hRule="atLeast"/>
          <w:jc w:val="center"/>
        </w:trPr>
        <w:tc>
          <w:tcPr>
            <w:tcW w:w="307" w:type="pct"/>
            <w:vMerge w:val="continue"/>
            <w:noWrap w:val="0"/>
            <w:vAlign w:val="center"/>
          </w:tcPr>
          <w:p>
            <w:pPr>
              <w:spacing w:line="240" w:lineRule="exact"/>
              <w:jc w:val="center"/>
              <w:rPr>
                <w:rFonts w:hint="eastAsia" w:ascii="宋体" w:hAnsi="宋体" w:eastAsia="宋体" w:cs="宋体"/>
                <w:sz w:val="21"/>
                <w:szCs w:val="21"/>
              </w:rPr>
            </w:pPr>
          </w:p>
        </w:tc>
        <w:tc>
          <w:tcPr>
            <w:tcW w:w="375" w:type="pct"/>
            <w:vMerge w:val="continue"/>
            <w:noWrap w:val="0"/>
            <w:vAlign w:val="center"/>
          </w:tcPr>
          <w:p>
            <w:pPr>
              <w:spacing w:line="240" w:lineRule="exact"/>
              <w:jc w:val="center"/>
              <w:rPr>
                <w:rFonts w:hint="eastAsia" w:ascii="宋体" w:hAnsi="宋体" w:eastAsia="宋体" w:cs="宋体"/>
                <w:sz w:val="21"/>
                <w:szCs w:val="21"/>
              </w:rPr>
            </w:pPr>
          </w:p>
        </w:tc>
        <w:tc>
          <w:tcPr>
            <w:tcW w:w="500" w:type="pct"/>
            <w:noWrap w:val="0"/>
            <w:tcMar>
              <w:top w:w="10" w:type="dxa"/>
              <w:left w:w="10" w:type="dxa"/>
              <w:bottom w:w="0" w:type="dxa"/>
              <w:right w:w="10" w:type="dxa"/>
            </w:tcMar>
            <w:vAlign w:val="center"/>
          </w:tcPr>
          <w:p>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资金使用</w:t>
            </w:r>
          </w:p>
          <w:p>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合规性（1分）</w:t>
            </w:r>
          </w:p>
        </w:tc>
        <w:tc>
          <w:tcPr>
            <w:tcW w:w="375" w:type="pct"/>
            <w:noWrap w:val="0"/>
            <w:vAlign w:val="top"/>
          </w:tcPr>
          <w:p>
            <w:pPr>
              <w:tabs>
                <w:tab w:val="left" w:pos="2604"/>
              </w:tabs>
              <w:spacing w:line="240" w:lineRule="exact"/>
              <w:ind w:left="105" w:leftChars="50" w:right="105" w:rightChars="50" w:firstLine="96" w:firstLineChars="46"/>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hint="eastAsia" w:ascii="宋体" w:hAnsi="宋体" w:eastAsia="宋体" w:cs="宋体"/>
                <w:sz w:val="21"/>
                <w:szCs w:val="21"/>
              </w:rPr>
            </w:pPr>
            <w:r>
              <w:rPr>
                <w:rFonts w:hint="eastAsia" w:ascii="宋体" w:hAnsi="宋体" w:eastAsia="宋体" w:cs="宋体"/>
                <w:sz w:val="21"/>
                <w:szCs w:val="21"/>
              </w:rPr>
              <w:t>部门使用预算资金是否符合相关的预算财务管理制度的规定，用以反映和考核部门预算资金的规范运行情况。</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hint="eastAsia" w:ascii="宋体" w:hAnsi="宋体" w:eastAsia="宋体" w:cs="宋体"/>
                <w:sz w:val="21"/>
                <w:szCs w:val="21"/>
                <w:lang w:eastAsia="zh-CN"/>
              </w:rPr>
            </w:pPr>
            <w:r>
              <w:rPr>
                <w:rFonts w:hint="eastAsia" w:ascii="宋体" w:hAnsi="宋体" w:eastAsia="宋体" w:cs="宋体"/>
                <w:sz w:val="21"/>
                <w:szCs w:val="21"/>
              </w:rPr>
              <w:t>评价要点：</w:t>
            </w:r>
          </w:p>
          <w:p>
            <w:pPr>
              <w:spacing w:line="240" w:lineRule="exact"/>
              <w:ind w:left="105" w:leftChars="50" w:right="105" w:rightChars="50"/>
              <w:rPr>
                <w:rFonts w:hint="eastAsia" w:ascii="宋体" w:hAnsi="宋体" w:eastAsia="宋体" w:cs="宋体"/>
                <w:sz w:val="21"/>
                <w:szCs w:val="21"/>
                <w:lang w:eastAsia="zh-CN"/>
              </w:rPr>
            </w:pPr>
            <w:r>
              <w:rPr>
                <w:rFonts w:hint="eastAsia" w:ascii="宋体" w:hAnsi="宋体" w:eastAsia="宋体" w:cs="宋体"/>
                <w:sz w:val="21"/>
                <w:szCs w:val="21"/>
              </w:rPr>
              <w:t>①是否符合国家财经法规和财务管理制度规定以及有关预算支出管理办法的规定；</w:t>
            </w:r>
          </w:p>
          <w:p>
            <w:pPr>
              <w:spacing w:line="240" w:lineRule="exact"/>
              <w:ind w:left="105" w:leftChars="50" w:right="105" w:rightChars="50"/>
              <w:rPr>
                <w:rFonts w:hint="eastAsia" w:ascii="宋体" w:hAnsi="宋体" w:eastAsia="宋体" w:cs="宋体"/>
                <w:sz w:val="21"/>
                <w:szCs w:val="21"/>
                <w:lang w:eastAsia="zh-CN"/>
              </w:rPr>
            </w:pPr>
            <w:r>
              <w:rPr>
                <w:rFonts w:hint="eastAsia" w:ascii="宋体" w:hAnsi="宋体" w:eastAsia="宋体" w:cs="宋体"/>
                <w:sz w:val="21"/>
                <w:szCs w:val="21"/>
              </w:rPr>
              <w:t>②资金的拨付是否有完整的审批程序和手续；</w:t>
            </w:r>
          </w:p>
          <w:p>
            <w:pPr>
              <w:spacing w:line="240" w:lineRule="exact"/>
              <w:ind w:left="105" w:leftChars="50" w:right="105" w:rightChars="50"/>
              <w:rPr>
                <w:rFonts w:hint="eastAsia" w:ascii="宋体" w:hAnsi="宋体" w:eastAsia="宋体" w:cs="宋体"/>
                <w:sz w:val="21"/>
                <w:szCs w:val="21"/>
                <w:lang w:eastAsia="zh-CN"/>
              </w:rPr>
            </w:pPr>
            <w:r>
              <w:rPr>
                <w:rFonts w:hint="eastAsia" w:ascii="宋体" w:hAnsi="宋体" w:eastAsia="宋体" w:cs="宋体"/>
                <w:sz w:val="21"/>
                <w:szCs w:val="21"/>
              </w:rPr>
              <w:t>③预算支出的重大开支是否经过评估论证；</w:t>
            </w:r>
          </w:p>
          <w:p>
            <w:pPr>
              <w:spacing w:line="240" w:lineRule="exact"/>
              <w:ind w:left="105" w:leftChars="50" w:right="105" w:rightChars="50"/>
              <w:rPr>
                <w:rFonts w:hint="eastAsia" w:ascii="宋体" w:hAnsi="宋体" w:eastAsia="宋体" w:cs="宋体"/>
                <w:sz w:val="21"/>
                <w:szCs w:val="21"/>
                <w:lang w:eastAsia="zh-CN"/>
              </w:rPr>
            </w:pPr>
            <w:r>
              <w:rPr>
                <w:rFonts w:hint="eastAsia" w:ascii="宋体" w:hAnsi="宋体" w:eastAsia="宋体" w:cs="宋体"/>
                <w:sz w:val="21"/>
                <w:szCs w:val="21"/>
              </w:rPr>
              <w:t>④是否符合部门预算批复的用途；</w:t>
            </w:r>
          </w:p>
          <w:p>
            <w:pPr>
              <w:spacing w:line="240" w:lineRule="exact"/>
              <w:ind w:left="105" w:leftChars="50" w:right="105" w:rightChars="50"/>
              <w:rPr>
                <w:rFonts w:hint="eastAsia" w:ascii="宋体" w:hAnsi="宋体" w:eastAsia="宋体" w:cs="宋体"/>
                <w:sz w:val="21"/>
                <w:szCs w:val="21"/>
              </w:rPr>
            </w:pPr>
            <w:r>
              <w:rPr>
                <w:rFonts w:hint="eastAsia" w:ascii="宋体" w:hAnsi="宋体" w:eastAsia="宋体" w:cs="宋体"/>
                <w:sz w:val="21"/>
                <w:szCs w:val="21"/>
              </w:rPr>
              <w:t>⑤是否存在截留、挤占、挪用、虚列支出等情况。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2" w:hRule="atLeast"/>
          <w:jc w:val="center"/>
        </w:trPr>
        <w:tc>
          <w:tcPr>
            <w:tcW w:w="307" w:type="pct"/>
            <w:vMerge w:val="continue"/>
            <w:noWrap w:val="0"/>
            <w:vAlign w:val="center"/>
          </w:tcPr>
          <w:p>
            <w:pPr>
              <w:spacing w:line="240" w:lineRule="exact"/>
              <w:jc w:val="center"/>
              <w:rPr>
                <w:rFonts w:hint="eastAsia" w:ascii="宋体" w:hAnsi="宋体" w:eastAsia="宋体" w:cs="宋体"/>
                <w:sz w:val="21"/>
                <w:szCs w:val="21"/>
              </w:rPr>
            </w:pPr>
          </w:p>
        </w:tc>
        <w:tc>
          <w:tcPr>
            <w:tcW w:w="375" w:type="pct"/>
            <w:vMerge w:val="continue"/>
            <w:noWrap w:val="0"/>
            <w:vAlign w:val="center"/>
          </w:tcPr>
          <w:p>
            <w:pPr>
              <w:spacing w:line="240" w:lineRule="exact"/>
              <w:rPr>
                <w:rFonts w:hint="eastAsia" w:ascii="宋体" w:hAnsi="宋体" w:eastAsia="宋体" w:cs="宋体"/>
                <w:sz w:val="21"/>
                <w:szCs w:val="21"/>
              </w:rPr>
            </w:pPr>
          </w:p>
        </w:tc>
        <w:tc>
          <w:tcPr>
            <w:tcW w:w="500" w:type="pct"/>
            <w:noWrap w:val="0"/>
            <w:tcMar>
              <w:top w:w="10" w:type="dxa"/>
              <w:left w:w="10" w:type="dxa"/>
              <w:bottom w:w="0" w:type="dxa"/>
              <w:right w:w="10" w:type="dxa"/>
            </w:tcMar>
            <w:vAlign w:val="center"/>
          </w:tcPr>
          <w:p>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预决算信</w:t>
            </w:r>
          </w:p>
          <w:p>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息公开性（1分）</w:t>
            </w:r>
          </w:p>
        </w:tc>
        <w:tc>
          <w:tcPr>
            <w:tcW w:w="375" w:type="pct"/>
            <w:noWrap w:val="0"/>
            <w:vAlign w:val="top"/>
          </w:tcPr>
          <w:p>
            <w:pPr>
              <w:tabs>
                <w:tab w:val="left" w:pos="2604"/>
              </w:tabs>
              <w:spacing w:line="240" w:lineRule="exact"/>
              <w:ind w:left="105" w:leftChars="50" w:right="105" w:rightChars="50" w:firstLine="96" w:firstLineChars="46"/>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hint="eastAsia" w:ascii="宋体" w:hAnsi="宋体" w:eastAsia="宋体" w:cs="宋体"/>
                <w:sz w:val="21"/>
                <w:szCs w:val="21"/>
              </w:rPr>
            </w:pPr>
            <w:r>
              <w:rPr>
                <w:rFonts w:hint="eastAsia" w:ascii="宋体" w:hAnsi="宋体" w:eastAsia="宋体" w:cs="宋体"/>
                <w:sz w:val="21"/>
                <w:szCs w:val="21"/>
              </w:rPr>
              <w:t>部门是否按照政府信息公开有关规定公开相关预决算信息，用以反映和考核部门预决算管理的公开透明情况。</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hint="eastAsia" w:ascii="宋体" w:hAnsi="宋体" w:eastAsia="宋体" w:cs="宋体"/>
                <w:sz w:val="21"/>
                <w:szCs w:val="21"/>
                <w:lang w:eastAsia="zh-CN"/>
              </w:rPr>
            </w:pPr>
            <w:r>
              <w:rPr>
                <w:rFonts w:hint="eastAsia" w:ascii="宋体" w:hAnsi="宋体" w:eastAsia="宋体" w:cs="宋体"/>
                <w:sz w:val="21"/>
                <w:szCs w:val="21"/>
              </w:rPr>
              <w:t>评价要点：</w:t>
            </w:r>
          </w:p>
          <w:p>
            <w:pPr>
              <w:spacing w:line="240" w:lineRule="exact"/>
              <w:ind w:left="105" w:leftChars="50" w:right="105" w:rightChars="50"/>
              <w:rPr>
                <w:rFonts w:hint="eastAsia" w:ascii="宋体" w:hAnsi="宋体" w:eastAsia="宋体" w:cs="宋体"/>
                <w:sz w:val="21"/>
                <w:szCs w:val="21"/>
                <w:lang w:eastAsia="zh-CN"/>
              </w:rPr>
            </w:pPr>
            <w:r>
              <w:rPr>
                <w:rFonts w:hint="eastAsia" w:ascii="宋体" w:hAnsi="宋体" w:eastAsia="宋体" w:cs="宋体"/>
                <w:sz w:val="21"/>
                <w:szCs w:val="21"/>
              </w:rPr>
              <w:t>①是否按规定内容公开预决算信息；</w:t>
            </w:r>
          </w:p>
          <w:p>
            <w:pPr>
              <w:spacing w:line="240" w:lineRule="exact"/>
              <w:ind w:left="105" w:leftChars="50" w:right="105" w:rightChars="50"/>
              <w:rPr>
                <w:rFonts w:hint="eastAsia" w:ascii="宋体" w:hAnsi="宋体" w:eastAsia="宋体" w:cs="宋体"/>
                <w:sz w:val="21"/>
                <w:szCs w:val="21"/>
                <w:lang w:eastAsia="zh-CN"/>
              </w:rPr>
            </w:pPr>
            <w:r>
              <w:rPr>
                <w:rFonts w:hint="eastAsia" w:ascii="宋体" w:hAnsi="宋体" w:eastAsia="宋体" w:cs="宋体"/>
                <w:sz w:val="21"/>
                <w:szCs w:val="21"/>
              </w:rPr>
              <w:t>②是否按规定时限公开预决算信息。</w:t>
            </w:r>
          </w:p>
          <w:p>
            <w:pPr>
              <w:spacing w:line="240" w:lineRule="exact"/>
              <w:ind w:left="105" w:leftChars="50" w:right="105" w:rightChars="50"/>
              <w:rPr>
                <w:rFonts w:hint="eastAsia" w:ascii="宋体" w:hAnsi="宋体" w:eastAsia="宋体" w:cs="宋体"/>
                <w:sz w:val="21"/>
                <w:szCs w:val="21"/>
              </w:rPr>
            </w:pPr>
            <w:r>
              <w:rPr>
                <w:rFonts w:hint="eastAsia" w:ascii="宋体" w:hAnsi="宋体" w:eastAsia="宋体" w:cs="宋体"/>
                <w:sz w:val="21"/>
                <w:szCs w:val="21"/>
              </w:rPr>
              <w:t>预决算信息是指与部门预算、执行、决算、监督、绩效等管理相关的信息。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37" w:hRule="atLeast"/>
          <w:jc w:val="center"/>
        </w:trPr>
        <w:tc>
          <w:tcPr>
            <w:tcW w:w="307" w:type="pct"/>
            <w:vMerge w:val="continue"/>
            <w:noWrap w:val="0"/>
            <w:vAlign w:val="center"/>
          </w:tcPr>
          <w:p>
            <w:pPr>
              <w:spacing w:line="240" w:lineRule="exact"/>
              <w:jc w:val="center"/>
              <w:rPr>
                <w:rFonts w:hint="eastAsia" w:ascii="宋体" w:hAnsi="宋体" w:eastAsia="宋体" w:cs="宋体"/>
                <w:sz w:val="21"/>
                <w:szCs w:val="21"/>
              </w:rPr>
            </w:pPr>
          </w:p>
        </w:tc>
        <w:tc>
          <w:tcPr>
            <w:tcW w:w="375" w:type="pct"/>
            <w:vMerge w:val="continue"/>
            <w:noWrap w:val="0"/>
            <w:vAlign w:val="center"/>
          </w:tcPr>
          <w:p>
            <w:pPr>
              <w:spacing w:line="240" w:lineRule="exact"/>
              <w:jc w:val="center"/>
              <w:rPr>
                <w:rFonts w:hint="eastAsia" w:ascii="宋体" w:hAnsi="宋体" w:eastAsia="宋体" w:cs="宋体"/>
                <w:sz w:val="21"/>
                <w:szCs w:val="21"/>
              </w:rPr>
            </w:pPr>
          </w:p>
        </w:tc>
        <w:tc>
          <w:tcPr>
            <w:tcW w:w="500" w:type="pct"/>
            <w:noWrap w:val="0"/>
            <w:tcMar>
              <w:top w:w="10" w:type="dxa"/>
              <w:left w:w="10" w:type="dxa"/>
              <w:bottom w:w="0" w:type="dxa"/>
              <w:right w:w="10" w:type="dxa"/>
            </w:tcMar>
            <w:vAlign w:val="center"/>
          </w:tcPr>
          <w:p>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基础信息</w:t>
            </w:r>
          </w:p>
          <w:p>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完善性（1分）</w:t>
            </w:r>
          </w:p>
        </w:tc>
        <w:tc>
          <w:tcPr>
            <w:tcW w:w="375" w:type="pct"/>
            <w:noWrap w:val="0"/>
            <w:vAlign w:val="top"/>
          </w:tcPr>
          <w:p>
            <w:pPr>
              <w:tabs>
                <w:tab w:val="left" w:pos="2604"/>
              </w:tabs>
              <w:spacing w:line="240" w:lineRule="exact"/>
              <w:ind w:left="105" w:leftChars="50" w:right="105" w:rightChars="50" w:firstLine="96" w:firstLineChars="46"/>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hint="eastAsia" w:ascii="宋体" w:hAnsi="宋体" w:eastAsia="宋体" w:cs="宋体"/>
                <w:sz w:val="21"/>
                <w:szCs w:val="21"/>
              </w:rPr>
            </w:pPr>
            <w:r>
              <w:rPr>
                <w:rFonts w:hint="eastAsia" w:ascii="宋体" w:hAnsi="宋体" w:eastAsia="宋体" w:cs="宋体"/>
                <w:sz w:val="21"/>
                <w:szCs w:val="21"/>
              </w:rPr>
              <w:t>部门基础信息是否完善，用以反映和考核基础信息对预算管理工作的支撑情况。</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hint="eastAsia" w:ascii="宋体" w:hAnsi="宋体" w:eastAsia="宋体" w:cs="宋体"/>
                <w:sz w:val="21"/>
                <w:szCs w:val="21"/>
                <w:lang w:eastAsia="zh-CN"/>
              </w:rPr>
            </w:pPr>
            <w:r>
              <w:rPr>
                <w:rFonts w:hint="eastAsia" w:ascii="宋体" w:hAnsi="宋体" w:eastAsia="宋体" w:cs="宋体"/>
                <w:sz w:val="21"/>
                <w:szCs w:val="21"/>
              </w:rPr>
              <w:t>评价要点：</w:t>
            </w:r>
          </w:p>
          <w:p>
            <w:pPr>
              <w:spacing w:line="240" w:lineRule="exact"/>
              <w:ind w:left="105" w:leftChars="50" w:right="105" w:rightChars="50"/>
              <w:rPr>
                <w:rFonts w:hint="eastAsia" w:ascii="宋体" w:hAnsi="宋体" w:eastAsia="宋体" w:cs="宋体"/>
                <w:sz w:val="21"/>
                <w:szCs w:val="21"/>
                <w:lang w:eastAsia="zh-CN"/>
              </w:rPr>
            </w:pPr>
            <w:r>
              <w:rPr>
                <w:rFonts w:hint="eastAsia" w:ascii="宋体" w:hAnsi="宋体" w:eastAsia="宋体" w:cs="宋体"/>
                <w:sz w:val="21"/>
                <w:szCs w:val="21"/>
              </w:rPr>
              <w:t>①基础数据信息和会计信息资料是否真实；</w:t>
            </w:r>
          </w:p>
          <w:p>
            <w:pPr>
              <w:spacing w:line="240" w:lineRule="exact"/>
              <w:ind w:left="105" w:leftChars="50" w:right="105" w:rightChars="50"/>
              <w:rPr>
                <w:rFonts w:hint="eastAsia" w:ascii="宋体" w:hAnsi="宋体" w:eastAsia="宋体" w:cs="宋体"/>
                <w:sz w:val="21"/>
                <w:szCs w:val="21"/>
                <w:lang w:eastAsia="zh-CN"/>
              </w:rPr>
            </w:pPr>
            <w:r>
              <w:rPr>
                <w:rFonts w:hint="eastAsia" w:ascii="宋体" w:hAnsi="宋体" w:eastAsia="宋体" w:cs="宋体"/>
                <w:sz w:val="21"/>
                <w:szCs w:val="21"/>
              </w:rPr>
              <w:t>②基础数据信息和会计信息资料是否完整；</w:t>
            </w:r>
          </w:p>
          <w:p>
            <w:pPr>
              <w:spacing w:line="240" w:lineRule="exact"/>
              <w:ind w:left="105" w:leftChars="50" w:right="105" w:rightChars="50"/>
              <w:rPr>
                <w:rFonts w:hint="eastAsia" w:ascii="宋体" w:hAnsi="宋体" w:eastAsia="宋体" w:cs="宋体"/>
                <w:sz w:val="21"/>
                <w:szCs w:val="21"/>
              </w:rPr>
            </w:pPr>
            <w:r>
              <w:rPr>
                <w:rFonts w:hint="eastAsia" w:ascii="宋体" w:hAnsi="宋体" w:eastAsia="宋体" w:cs="宋体"/>
                <w:sz w:val="21"/>
                <w:szCs w:val="21"/>
              </w:rPr>
              <w:t>③基础数据信息和会计信息资料是否准确。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89" w:hRule="atLeast"/>
          <w:jc w:val="center"/>
        </w:trPr>
        <w:tc>
          <w:tcPr>
            <w:tcW w:w="307" w:type="pct"/>
            <w:vMerge w:val="continue"/>
            <w:noWrap/>
            <w:tcMar>
              <w:top w:w="10" w:type="dxa"/>
              <w:left w:w="10" w:type="dxa"/>
              <w:bottom w:w="0" w:type="dxa"/>
              <w:right w:w="10" w:type="dxa"/>
            </w:tcMar>
            <w:textDirection w:val="tbRlV"/>
            <w:vAlign w:val="center"/>
          </w:tcPr>
          <w:p>
            <w:pPr>
              <w:spacing w:line="240" w:lineRule="exact"/>
              <w:jc w:val="center"/>
              <w:rPr>
                <w:rFonts w:hint="eastAsia" w:ascii="宋体" w:hAnsi="宋体" w:eastAsia="宋体" w:cs="宋体"/>
                <w:sz w:val="21"/>
                <w:szCs w:val="21"/>
              </w:rPr>
            </w:pPr>
          </w:p>
        </w:tc>
        <w:tc>
          <w:tcPr>
            <w:tcW w:w="375" w:type="pct"/>
            <w:vMerge w:val="restart"/>
            <w:noWrap w:val="0"/>
            <w:tcMar>
              <w:top w:w="10" w:type="dxa"/>
              <w:left w:w="10" w:type="dxa"/>
              <w:bottom w:w="0" w:type="dxa"/>
              <w:right w:w="10" w:type="dxa"/>
            </w:tcMar>
            <w:vAlign w:val="center"/>
          </w:tcPr>
          <w:p>
            <w:pPr>
              <w:spacing w:line="240" w:lineRule="exact"/>
              <w:jc w:val="center"/>
              <w:rPr>
                <w:rFonts w:hint="eastAsia" w:ascii="宋体" w:hAnsi="宋体" w:eastAsia="宋体" w:cs="宋体"/>
                <w:sz w:val="21"/>
                <w:szCs w:val="21"/>
                <w:lang w:eastAsia="zh-CN"/>
              </w:rPr>
            </w:pPr>
            <w:r>
              <w:rPr>
                <w:rFonts w:hint="eastAsia" w:ascii="宋体" w:hAnsi="宋体" w:eastAsia="宋体" w:cs="宋体"/>
                <w:sz w:val="21"/>
                <w:szCs w:val="21"/>
              </w:rPr>
              <w:t>资产</w:t>
            </w:r>
          </w:p>
          <w:p>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管理（5分）</w:t>
            </w:r>
          </w:p>
        </w:tc>
        <w:tc>
          <w:tcPr>
            <w:tcW w:w="500" w:type="pct"/>
            <w:noWrap w:val="0"/>
            <w:tcMar>
              <w:top w:w="10" w:type="dxa"/>
              <w:left w:w="10" w:type="dxa"/>
              <w:bottom w:w="0" w:type="dxa"/>
              <w:right w:w="10" w:type="dxa"/>
            </w:tcMar>
            <w:vAlign w:val="center"/>
          </w:tcPr>
          <w:p>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管理制度</w:t>
            </w:r>
          </w:p>
          <w:p>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健全性（2分）</w:t>
            </w:r>
          </w:p>
        </w:tc>
        <w:tc>
          <w:tcPr>
            <w:tcW w:w="375" w:type="pct"/>
            <w:noWrap w:val="0"/>
            <w:vAlign w:val="top"/>
          </w:tcPr>
          <w:p>
            <w:pPr>
              <w:tabs>
                <w:tab w:val="left" w:pos="2604"/>
              </w:tabs>
              <w:spacing w:line="240" w:lineRule="exact"/>
              <w:ind w:left="105" w:leftChars="50" w:right="105" w:rightChars="50" w:firstLine="96" w:firstLineChars="46"/>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hint="eastAsia" w:ascii="宋体" w:hAnsi="宋体" w:eastAsia="宋体" w:cs="宋体"/>
                <w:sz w:val="21"/>
                <w:szCs w:val="21"/>
              </w:rPr>
            </w:pPr>
            <w:r>
              <w:rPr>
                <w:rFonts w:hint="eastAsia" w:ascii="宋体" w:hAnsi="宋体" w:eastAsia="宋体" w:cs="宋体"/>
                <w:sz w:val="21"/>
                <w:szCs w:val="21"/>
              </w:rPr>
              <w:t>部门为加强资产管理、规范资产管理行为而制定的管理制度是否健全完整，用以反映和考核部门资产管理制度对完成主要职责或促进社会发展的保障情况。</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hint="eastAsia" w:ascii="宋体" w:hAnsi="宋体" w:eastAsia="宋体" w:cs="宋体"/>
                <w:sz w:val="21"/>
                <w:szCs w:val="21"/>
                <w:lang w:eastAsia="zh-CN"/>
              </w:rPr>
            </w:pPr>
            <w:r>
              <w:rPr>
                <w:rFonts w:hint="eastAsia" w:ascii="宋体" w:hAnsi="宋体" w:eastAsia="宋体" w:cs="宋体"/>
                <w:sz w:val="21"/>
                <w:szCs w:val="21"/>
              </w:rPr>
              <w:t>评价要点：</w:t>
            </w:r>
          </w:p>
          <w:p>
            <w:pPr>
              <w:spacing w:line="240" w:lineRule="exact"/>
              <w:ind w:left="105" w:leftChars="50" w:right="105" w:rightChars="50"/>
              <w:rPr>
                <w:rFonts w:hint="eastAsia" w:ascii="宋体" w:hAnsi="宋体" w:eastAsia="宋体" w:cs="宋体"/>
                <w:sz w:val="21"/>
                <w:szCs w:val="21"/>
                <w:lang w:eastAsia="zh-CN"/>
              </w:rPr>
            </w:pPr>
            <w:r>
              <w:rPr>
                <w:rFonts w:hint="eastAsia" w:ascii="宋体" w:hAnsi="宋体" w:eastAsia="宋体" w:cs="宋体"/>
                <w:sz w:val="21"/>
                <w:szCs w:val="21"/>
              </w:rPr>
              <w:t>①是否已制定或具有资产管理制度；           ②相关资金管理制度是否合法、合规、完整；</w:t>
            </w:r>
          </w:p>
          <w:p>
            <w:pPr>
              <w:spacing w:line="240" w:lineRule="exact"/>
              <w:ind w:left="105" w:leftChars="50" w:right="105" w:rightChars="50"/>
              <w:rPr>
                <w:rFonts w:hint="eastAsia" w:ascii="宋体" w:hAnsi="宋体" w:eastAsia="宋体" w:cs="宋体"/>
                <w:sz w:val="21"/>
                <w:szCs w:val="21"/>
              </w:rPr>
            </w:pPr>
            <w:r>
              <w:rPr>
                <w:rFonts w:hint="eastAsia" w:ascii="宋体" w:hAnsi="宋体" w:eastAsia="宋体" w:cs="宋体"/>
                <w:sz w:val="21"/>
                <w:szCs w:val="21"/>
              </w:rPr>
              <w:t>③相关资产管理制度是否得到有效执行。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87" w:hRule="atLeast"/>
          <w:jc w:val="center"/>
        </w:trPr>
        <w:tc>
          <w:tcPr>
            <w:tcW w:w="307" w:type="pct"/>
            <w:vMerge w:val="continue"/>
            <w:noWrap w:val="0"/>
            <w:vAlign w:val="center"/>
          </w:tcPr>
          <w:p>
            <w:pPr>
              <w:spacing w:line="240" w:lineRule="exact"/>
              <w:jc w:val="center"/>
              <w:rPr>
                <w:rFonts w:hint="eastAsia" w:ascii="宋体" w:hAnsi="宋体" w:eastAsia="宋体" w:cs="宋体"/>
                <w:sz w:val="21"/>
                <w:szCs w:val="21"/>
              </w:rPr>
            </w:pPr>
          </w:p>
        </w:tc>
        <w:tc>
          <w:tcPr>
            <w:tcW w:w="375" w:type="pct"/>
            <w:vMerge w:val="continue"/>
            <w:noWrap w:val="0"/>
            <w:vAlign w:val="center"/>
          </w:tcPr>
          <w:p>
            <w:pPr>
              <w:spacing w:line="240" w:lineRule="exact"/>
              <w:jc w:val="center"/>
              <w:rPr>
                <w:rFonts w:hint="eastAsia" w:ascii="宋体" w:hAnsi="宋体" w:eastAsia="宋体" w:cs="宋体"/>
                <w:sz w:val="21"/>
                <w:szCs w:val="21"/>
              </w:rPr>
            </w:pPr>
          </w:p>
        </w:tc>
        <w:tc>
          <w:tcPr>
            <w:tcW w:w="500" w:type="pct"/>
            <w:noWrap w:val="0"/>
            <w:tcMar>
              <w:top w:w="10" w:type="dxa"/>
              <w:left w:w="10" w:type="dxa"/>
              <w:bottom w:w="0" w:type="dxa"/>
              <w:right w:w="10" w:type="dxa"/>
            </w:tcMar>
            <w:vAlign w:val="center"/>
          </w:tcPr>
          <w:p>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资产管理</w:t>
            </w:r>
          </w:p>
          <w:p>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安全性（2分）</w:t>
            </w:r>
          </w:p>
        </w:tc>
        <w:tc>
          <w:tcPr>
            <w:tcW w:w="375" w:type="pct"/>
            <w:noWrap w:val="0"/>
            <w:vAlign w:val="top"/>
          </w:tcPr>
          <w:p>
            <w:pPr>
              <w:tabs>
                <w:tab w:val="left" w:pos="761"/>
                <w:tab w:val="left" w:pos="2604"/>
              </w:tabs>
              <w:spacing w:line="240" w:lineRule="exact"/>
              <w:ind w:left="105" w:leftChars="50" w:right="105" w:rightChars="50" w:firstLine="96" w:firstLineChars="46"/>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1576" w:type="pct"/>
            <w:noWrap w:val="0"/>
            <w:tcMar>
              <w:top w:w="10" w:type="dxa"/>
              <w:left w:w="10" w:type="dxa"/>
              <w:bottom w:w="0" w:type="dxa"/>
              <w:right w:w="10" w:type="dxa"/>
            </w:tcMar>
            <w:vAlign w:val="center"/>
          </w:tcPr>
          <w:p>
            <w:pPr>
              <w:tabs>
                <w:tab w:val="left" w:pos="761"/>
                <w:tab w:val="left" w:pos="2604"/>
              </w:tabs>
              <w:spacing w:line="240" w:lineRule="exact"/>
              <w:ind w:left="105" w:leftChars="50" w:right="105" w:rightChars="50" w:firstLine="96" w:firstLineChars="46"/>
              <w:rPr>
                <w:rFonts w:hint="eastAsia" w:ascii="宋体" w:hAnsi="宋体" w:eastAsia="宋体" w:cs="宋体"/>
                <w:sz w:val="21"/>
                <w:szCs w:val="21"/>
              </w:rPr>
            </w:pPr>
            <w:r>
              <w:rPr>
                <w:rFonts w:hint="eastAsia" w:ascii="宋体" w:hAnsi="宋体" w:eastAsia="宋体" w:cs="宋体"/>
                <w:sz w:val="21"/>
                <w:szCs w:val="21"/>
              </w:rPr>
              <w:t>部门的资产是否保存完整、使用合规、配置合理、处置规范、收入及时足额上缴，用以反映和考核部门资产安全运行情况。</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hint="eastAsia" w:ascii="宋体" w:hAnsi="宋体" w:eastAsia="宋体" w:cs="宋体"/>
                <w:sz w:val="21"/>
                <w:szCs w:val="21"/>
                <w:lang w:eastAsia="zh-CN"/>
              </w:rPr>
            </w:pPr>
            <w:r>
              <w:rPr>
                <w:rFonts w:hint="eastAsia" w:ascii="宋体" w:hAnsi="宋体" w:eastAsia="宋体" w:cs="宋体"/>
                <w:sz w:val="21"/>
                <w:szCs w:val="21"/>
              </w:rPr>
              <w:t>评价要点：</w:t>
            </w:r>
          </w:p>
          <w:p>
            <w:pPr>
              <w:spacing w:line="240" w:lineRule="exact"/>
              <w:ind w:left="105" w:leftChars="50" w:right="105" w:rightChars="50"/>
              <w:rPr>
                <w:rFonts w:hint="eastAsia" w:ascii="宋体" w:hAnsi="宋体" w:eastAsia="宋体" w:cs="宋体"/>
                <w:sz w:val="21"/>
                <w:szCs w:val="21"/>
                <w:lang w:eastAsia="zh-CN"/>
              </w:rPr>
            </w:pPr>
            <w:r>
              <w:rPr>
                <w:rFonts w:hint="eastAsia" w:ascii="宋体" w:hAnsi="宋体" w:eastAsia="宋体" w:cs="宋体"/>
                <w:sz w:val="21"/>
                <w:szCs w:val="21"/>
              </w:rPr>
              <w:t>①资产保存是否完整；</w:t>
            </w:r>
          </w:p>
          <w:p>
            <w:pPr>
              <w:spacing w:line="240" w:lineRule="exact"/>
              <w:ind w:left="105" w:leftChars="50" w:right="105" w:rightChars="50"/>
              <w:rPr>
                <w:rFonts w:hint="eastAsia" w:ascii="宋体" w:hAnsi="宋体" w:eastAsia="宋体" w:cs="宋体"/>
                <w:sz w:val="21"/>
                <w:szCs w:val="21"/>
                <w:lang w:eastAsia="zh-CN"/>
              </w:rPr>
            </w:pPr>
            <w:r>
              <w:rPr>
                <w:rFonts w:hint="eastAsia" w:ascii="宋体" w:hAnsi="宋体" w:eastAsia="宋体" w:cs="宋体"/>
                <w:sz w:val="21"/>
                <w:szCs w:val="21"/>
              </w:rPr>
              <w:t>②资产配置是否合理；</w:t>
            </w:r>
          </w:p>
          <w:p>
            <w:pPr>
              <w:spacing w:line="240" w:lineRule="exact"/>
              <w:ind w:left="105" w:leftChars="50" w:right="105" w:rightChars="50"/>
              <w:rPr>
                <w:rFonts w:hint="eastAsia" w:ascii="宋体" w:hAnsi="宋体" w:eastAsia="宋体" w:cs="宋体"/>
                <w:sz w:val="21"/>
                <w:szCs w:val="21"/>
                <w:lang w:eastAsia="zh-CN"/>
              </w:rPr>
            </w:pPr>
            <w:r>
              <w:rPr>
                <w:rFonts w:hint="eastAsia" w:ascii="宋体" w:hAnsi="宋体" w:eastAsia="宋体" w:cs="宋体"/>
                <w:sz w:val="21"/>
                <w:szCs w:val="21"/>
              </w:rPr>
              <w:t>③资产处置是否规范；</w:t>
            </w:r>
          </w:p>
          <w:p>
            <w:pPr>
              <w:spacing w:line="240" w:lineRule="exact"/>
              <w:ind w:left="105" w:leftChars="50" w:right="105" w:rightChars="50"/>
              <w:rPr>
                <w:rFonts w:hint="eastAsia" w:ascii="宋体" w:hAnsi="宋体" w:eastAsia="宋体" w:cs="宋体"/>
                <w:sz w:val="21"/>
                <w:szCs w:val="21"/>
                <w:lang w:eastAsia="zh-CN"/>
              </w:rPr>
            </w:pPr>
            <w:r>
              <w:rPr>
                <w:rFonts w:hint="eastAsia" w:ascii="宋体" w:hAnsi="宋体" w:eastAsia="宋体" w:cs="宋体"/>
                <w:sz w:val="21"/>
                <w:szCs w:val="21"/>
              </w:rPr>
              <w:t>④资产账务管理是否合规，是否帐实相符；</w:t>
            </w:r>
          </w:p>
          <w:p>
            <w:pPr>
              <w:spacing w:line="240" w:lineRule="exact"/>
              <w:ind w:left="105" w:leftChars="50" w:right="105" w:rightChars="50"/>
              <w:rPr>
                <w:rFonts w:hint="eastAsia" w:ascii="宋体" w:hAnsi="宋体" w:eastAsia="宋体" w:cs="宋体"/>
                <w:sz w:val="21"/>
                <w:szCs w:val="21"/>
              </w:rPr>
            </w:pPr>
            <w:r>
              <w:rPr>
                <w:rFonts w:hint="eastAsia" w:ascii="宋体" w:hAnsi="宋体" w:eastAsia="宋体" w:cs="宋体"/>
                <w:sz w:val="21"/>
                <w:szCs w:val="21"/>
              </w:rPr>
              <w:t>⑤资产是否有偿使用及处置收入及时足额上缴。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5" w:hRule="atLeast"/>
          <w:jc w:val="center"/>
        </w:trPr>
        <w:tc>
          <w:tcPr>
            <w:tcW w:w="307" w:type="pct"/>
            <w:vMerge w:val="continue"/>
            <w:noWrap w:val="0"/>
            <w:vAlign w:val="center"/>
          </w:tcPr>
          <w:p>
            <w:pPr>
              <w:spacing w:line="240" w:lineRule="exact"/>
              <w:rPr>
                <w:rFonts w:hint="eastAsia" w:ascii="宋体" w:hAnsi="宋体" w:eastAsia="宋体" w:cs="宋体"/>
                <w:sz w:val="21"/>
                <w:szCs w:val="21"/>
              </w:rPr>
            </w:pPr>
          </w:p>
        </w:tc>
        <w:tc>
          <w:tcPr>
            <w:tcW w:w="375" w:type="pct"/>
            <w:vMerge w:val="continue"/>
            <w:noWrap w:val="0"/>
            <w:vAlign w:val="center"/>
          </w:tcPr>
          <w:p>
            <w:pPr>
              <w:spacing w:line="240" w:lineRule="exact"/>
              <w:rPr>
                <w:rFonts w:hint="eastAsia" w:ascii="宋体" w:hAnsi="宋体" w:eastAsia="宋体" w:cs="宋体"/>
                <w:sz w:val="21"/>
                <w:szCs w:val="21"/>
              </w:rPr>
            </w:pPr>
          </w:p>
        </w:tc>
        <w:tc>
          <w:tcPr>
            <w:tcW w:w="500" w:type="pct"/>
            <w:noWrap w:val="0"/>
            <w:tcMar>
              <w:top w:w="10" w:type="dxa"/>
              <w:left w:w="10" w:type="dxa"/>
              <w:bottom w:w="0" w:type="dxa"/>
              <w:right w:w="10" w:type="dxa"/>
            </w:tcMar>
            <w:vAlign w:val="center"/>
          </w:tcPr>
          <w:p>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固定资产</w:t>
            </w:r>
          </w:p>
          <w:p>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利用率（1分）</w:t>
            </w:r>
          </w:p>
        </w:tc>
        <w:tc>
          <w:tcPr>
            <w:tcW w:w="375" w:type="pct"/>
            <w:noWrap w:val="0"/>
            <w:vAlign w:val="top"/>
          </w:tcPr>
          <w:p>
            <w:pPr>
              <w:tabs>
                <w:tab w:val="left" w:pos="2604"/>
              </w:tabs>
              <w:spacing w:line="240" w:lineRule="exact"/>
              <w:ind w:left="105" w:leftChars="50" w:right="105" w:rightChars="50" w:firstLine="96" w:firstLineChars="46"/>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hint="eastAsia" w:ascii="宋体" w:hAnsi="宋体" w:eastAsia="宋体" w:cs="宋体"/>
                <w:sz w:val="21"/>
                <w:szCs w:val="21"/>
              </w:rPr>
            </w:pPr>
            <w:r>
              <w:rPr>
                <w:rFonts w:hint="eastAsia" w:ascii="宋体" w:hAnsi="宋体" w:eastAsia="宋体" w:cs="宋体"/>
                <w:sz w:val="21"/>
                <w:szCs w:val="21"/>
              </w:rPr>
              <w:t>部门实际在用固定资产总额与所有固定资产总额的比率，用以反映和考核部门固定资产使用效率程度。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hint="eastAsia" w:ascii="宋体" w:hAnsi="宋体" w:eastAsia="宋体" w:cs="宋体"/>
                <w:sz w:val="21"/>
                <w:szCs w:val="21"/>
              </w:rPr>
            </w:pPr>
            <w:r>
              <w:rPr>
                <w:rFonts w:hint="eastAsia" w:ascii="宋体" w:hAnsi="宋体" w:eastAsia="宋体" w:cs="宋体"/>
                <w:sz w:val="21"/>
                <w:szCs w:val="21"/>
              </w:rPr>
              <w:t>固定资产利用率=（实际在用固定资产总额/所有固定资产总额）×100%。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71" w:hRule="atLeast"/>
          <w:jc w:val="center"/>
        </w:trPr>
        <w:tc>
          <w:tcPr>
            <w:tcW w:w="307" w:type="pct"/>
            <w:vMerge w:val="restart"/>
            <w:noWrap/>
            <w:tcMar>
              <w:top w:w="10" w:type="dxa"/>
              <w:left w:w="10" w:type="dxa"/>
              <w:bottom w:w="0" w:type="dxa"/>
              <w:right w:w="10" w:type="dxa"/>
            </w:tcMar>
            <w:textDirection w:val="tbRlV"/>
            <w:vAlign w:val="center"/>
          </w:tcPr>
          <w:p>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产   出（30分）</w:t>
            </w:r>
          </w:p>
        </w:tc>
        <w:tc>
          <w:tcPr>
            <w:tcW w:w="375" w:type="pct"/>
            <w:vMerge w:val="restart"/>
            <w:noWrap w:val="0"/>
            <w:tcMar>
              <w:top w:w="10" w:type="dxa"/>
              <w:left w:w="10" w:type="dxa"/>
              <w:bottom w:w="0" w:type="dxa"/>
              <w:right w:w="10" w:type="dxa"/>
            </w:tcMar>
            <w:vAlign w:val="center"/>
          </w:tcPr>
          <w:p>
            <w:pPr>
              <w:spacing w:line="240" w:lineRule="exact"/>
              <w:jc w:val="center"/>
              <w:rPr>
                <w:rFonts w:hint="eastAsia" w:ascii="宋体" w:hAnsi="宋体" w:eastAsia="宋体" w:cs="宋体"/>
                <w:sz w:val="21"/>
                <w:szCs w:val="21"/>
                <w:lang w:eastAsia="zh-CN"/>
              </w:rPr>
            </w:pPr>
            <w:r>
              <w:rPr>
                <w:rFonts w:hint="eastAsia" w:ascii="宋体" w:hAnsi="宋体" w:eastAsia="宋体" w:cs="宋体"/>
                <w:sz w:val="21"/>
                <w:szCs w:val="21"/>
              </w:rPr>
              <w:t>职责</w:t>
            </w:r>
          </w:p>
          <w:p>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履行（30分）</w:t>
            </w:r>
          </w:p>
        </w:tc>
        <w:tc>
          <w:tcPr>
            <w:tcW w:w="500" w:type="pct"/>
            <w:noWrap w:val="0"/>
            <w:tcMar>
              <w:top w:w="10" w:type="dxa"/>
              <w:left w:w="10" w:type="dxa"/>
              <w:bottom w:w="0" w:type="dxa"/>
              <w:right w:w="10" w:type="dxa"/>
            </w:tcMar>
            <w:vAlign w:val="center"/>
          </w:tcPr>
          <w:p>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实际</w:t>
            </w:r>
          </w:p>
          <w:p>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完成率（8分）</w:t>
            </w:r>
          </w:p>
        </w:tc>
        <w:tc>
          <w:tcPr>
            <w:tcW w:w="375" w:type="pct"/>
            <w:noWrap w:val="0"/>
            <w:vAlign w:val="top"/>
          </w:tcPr>
          <w:p>
            <w:pPr>
              <w:tabs>
                <w:tab w:val="left" w:pos="2604"/>
              </w:tabs>
              <w:spacing w:line="240" w:lineRule="exact"/>
              <w:ind w:left="105" w:leftChars="50" w:right="105" w:rightChars="50" w:firstLine="96" w:firstLineChars="46"/>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hint="eastAsia" w:ascii="宋体" w:hAnsi="宋体" w:eastAsia="宋体" w:cs="宋体"/>
                <w:sz w:val="21"/>
                <w:szCs w:val="21"/>
              </w:rPr>
            </w:pPr>
            <w:r>
              <w:rPr>
                <w:rFonts w:hint="eastAsia" w:ascii="宋体" w:hAnsi="宋体" w:eastAsia="宋体" w:cs="宋体"/>
                <w:sz w:val="21"/>
                <w:szCs w:val="21"/>
              </w:rPr>
              <w:t>部门履行职责而实际完成工作数与计划工作数的比率，用以反映和考核部门履职工作任务目标的实现程度。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hint="eastAsia" w:ascii="宋体" w:hAnsi="宋体" w:eastAsia="宋体" w:cs="宋体"/>
                <w:sz w:val="21"/>
                <w:szCs w:val="21"/>
                <w:lang w:eastAsia="zh-CN"/>
              </w:rPr>
            </w:pPr>
            <w:r>
              <w:rPr>
                <w:rFonts w:hint="eastAsia" w:ascii="宋体" w:hAnsi="宋体" w:eastAsia="宋体" w:cs="宋体"/>
                <w:sz w:val="21"/>
                <w:szCs w:val="21"/>
              </w:rPr>
              <w:t>实际完成率=（实际完成工作数/计划工作数）×100%。</w:t>
            </w:r>
          </w:p>
          <w:p>
            <w:pPr>
              <w:spacing w:line="240" w:lineRule="exact"/>
              <w:ind w:left="105" w:leftChars="50" w:right="105" w:rightChars="50"/>
              <w:rPr>
                <w:rFonts w:hint="eastAsia" w:ascii="宋体" w:hAnsi="宋体" w:eastAsia="宋体" w:cs="宋体"/>
                <w:sz w:val="21"/>
                <w:szCs w:val="21"/>
                <w:lang w:eastAsia="zh-CN"/>
              </w:rPr>
            </w:pPr>
            <w:r>
              <w:rPr>
                <w:rFonts w:hint="eastAsia" w:ascii="宋体" w:hAnsi="宋体" w:eastAsia="宋体" w:cs="宋体"/>
                <w:sz w:val="21"/>
                <w:szCs w:val="21"/>
              </w:rPr>
              <w:t>实际完成工作数：一定时期（年度或规划期）内部门实际完成工作任务的数量。</w:t>
            </w:r>
          </w:p>
          <w:p>
            <w:pPr>
              <w:spacing w:line="240" w:lineRule="exact"/>
              <w:ind w:left="105" w:leftChars="50" w:right="105" w:rightChars="50"/>
              <w:rPr>
                <w:rFonts w:hint="eastAsia" w:ascii="宋体" w:hAnsi="宋体" w:eastAsia="宋体" w:cs="宋体"/>
                <w:sz w:val="21"/>
                <w:szCs w:val="21"/>
              </w:rPr>
            </w:pPr>
            <w:r>
              <w:rPr>
                <w:rFonts w:hint="eastAsia" w:ascii="宋体" w:hAnsi="宋体" w:eastAsia="宋体" w:cs="宋体"/>
                <w:sz w:val="21"/>
                <w:szCs w:val="21"/>
              </w:rPr>
              <w:t>计划工作数：部门整体绩效目标确定的一定时期（年度或规划期）内预计完成工作任务的数量。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3" w:hRule="atLeast"/>
          <w:jc w:val="center"/>
        </w:trPr>
        <w:tc>
          <w:tcPr>
            <w:tcW w:w="307" w:type="pct"/>
            <w:vMerge w:val="continue"/>
            <w:noWrap w:val="0"/>
            <w:textDirection w:val="tbRlV"/>
            <w:vAlign w:val="center"/>
          </w:tcPr>
          <w:p>
            <w:pPr>
              <w:spacing w:line="240" w:lineRule="exact"/>
              <w:ind w:left="113"/>
              <w:jc w:val="center"/>
              <w:rPr>
                <w:rFonts w:hint="eastAsia" w:ascii="宋体" w:hAnsi="宋体" w:eastAsia="宋体" w:cs="宋体"/>
                <w:sz w:val="21"/>
                <w:szCs w:val="21"/>
              </w:rPr>
            </w:pPr>
          </w:p>
        </w:tc>
        <w:tc>
          <w:tcPr>
            <w:tcW w:w="375" w:type="pct"/>
            <w:vMerge w:val="continue"/>
            <w:noWrap w:val="0"/>
            <w:vAlign w:val="center"/>
          </w:tcPr>
          <w:p>
            <w:pPr>
              <w:spacing w:line="240" w:lineRule="exact"/>
              <w:jc w:val="center"/>
              <w:rPr>
                <w:rFonts w:hint="eastAsia" w:ascii="宋体" w:hAnsi="宋体" w:eastAsia="宋体" w:cs="宋体"/>
                <w:sz w:val="21"/>
                <w:szCs w:val="21"/>
              </w:rPr>
            </w:pPr>
          </w:p>
        </w:tc>
        <w:tc>
          <w:tcPr>
            <w:tcW w:w="500" w:type="pct"/>
            <w:noWrap w:val="0"/>
            <w:tcMar>
              <w:top w:w="10" w:type="dxa"/>
              <w:left w:w="10" w:type="dxa"/>
              <w:bottom w:w="0" w:type="dxa"/>
              <w:right w:w="10" w:type="dxa"/>
            </w:tcMar>
            <w:vAlign w:val="center"/>
          </w:tcPr>
          <w:p>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完成</w:t>
            </w:r>
          </w:p>
          <w:p>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及时率（4分）</w:t>
            </w:r>
          </w:p>
        </w:tc>
        <w:tc>
          <w:tcPr>
            <w:tcW w:w="375" w:type="pct"/>
            <w:noWrap w:val="0"/>
            <w:vAlign w:val="top"/>
          </w:tcPr>
          <w:p>
            <w:pPr>
              <w:tabs>
                <w:tab w:val="left" w:pos="2604"/>
              </w:tabs>
              <w:spacing w:line="240" w:lineRule="exact"/>
              <w:ind w:left="105" w:leftChars="50" w:right="105" w:rightChars="50" w:firstLine="96" w:firstLineChars="46"/>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hint="eastAsia" w:ascii="宋体" w:hAnsi="宋体" w:eastAsia="宋体" w:cs="宋体"/>
                <w:sz w:val="21"/>
                <w:szCs w:val="21"/>
              </w:rPr>
            </w:pPr>
            <w:r>
              <w:rPr>
                <w:rFonts w:hint="eastAsia" w:ascii="宋体" w:hAnsi="宋体" w:eastAsia="宋体" w:cs="宋体"/>
                <w:sz w:val="21"/>
                <w:szCs w:val="21"/>
              </w:rPr>
              <w:t>部门在规定时限内及时完成的实际工作数与计划工作数的比率,用以反映和考核部门履职时效目标的实现程度。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hint="eastAsia" w:ascii="宋体" w:hAnsi="宋体" w:eastAsia="宋体" w:cs="宋体"/>
                <w:sz w:val="21"/>
                <w:szCs w:val="21"/>
                <w:lang w:eastAsia="zh-CN"/>
              </w:rPr>
            </w:pPr>
            <w:r>
              <w:rPr>
                <w:rFonts w:hint="eastAsia" w:ascii="宋体" w:hAnsi="宋体" w:eastAsia="宋体" w:cs="宋体"/>
                <w:sz w:val="21"/>
                <w:szCs w:val="21"/>
              </w:rPr>
              <w:t>完成及时率=（及时完成实际工作数/计划工作数）×100%。</w:t>
            </w:r>
          </w:p>
          <w:p>
            <w:pPr>
              <w:spacing w:line="240" w:lineRule="exact"/>
              <w:ind w:left="105" w:leftChars="50" w:right="105" w:rightChars="50"/>
              <w:rPr>
                <w:rFonts w:hint="eastAsia" w:ascii="宋体" w:hAnsi="宋体" w:eastAsia="宋体" w:cs="宋体"/>
                <w:sz w:val="21"/>
                <w:szCs w:val="21"/>
              </w:rPr>
            </w:pPr>
            <w:r>
              <w:rPr>
                <w:rFonts w:hint="eastAsia" w:ascii="宋体" w:hAnsi="宋体" w:eastAsia="宋体" w:cs="宋体"/>
                <w:sz w:val="21"/>
                <w:szCs w:val="21"/>
              </w:rPr>
              <w:t>及时完成实际工作数：部门按照整体绩效目标确定的时限实际完成的工作任务数量。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75" w:hRule="atLeast"/>
          <w:jc w:val="center"/>
        </w:trPr>
        <w:tc>
          <w:tcPr>
            <w:tcW w:w="307" w:type="pct"/>
            <w:vMerge w:val="continue"/>
            <w:noWrap w:val="0"/>
            <w:vAlign w:val="center"/>
          </w:tcPr>
          <w:p>
            <w:pPr>
              <w:spacing w:line="240" w:lineRule="exact"/>
              <w:rPr>
                <w:rFonts w:hint="eastAsia" w:ascii="宋体" w:hAnsi="宋体" w:eastAsia="宋体" w:cs="宋体"/>
                <w:sz w:val="21"/>
                <w:szCs w:val="21"/>
              </w:rPr>
            </w:pPr>
          </w:p>
        </w:tc>
        <w:tc>
          <w:tcPr>
            <w:tcW w:w="375" w:type="pct"/>
            <w:vMerge w:val="continue"/>
            <w:noWrap w:val="0"/>
            <w:vAlign w:val="center"/>
          </w:tcPr>
          <w:p>
            <w:pPr>
              <w:spacing w:line="240" w:lineRule="exact"/>
              <w:rPr>
                <w:rFonts w:hint="eastAsia" w:ascii="宋体" w:hAnsi="宋体" w:eastAsia="宋体" w:cs="宋体"/>
                <w:sz w:val="21"/>
                <w:szCs w:val="21"/>
              </w:rPr>
            </w:pPr>
          </w:p>
        </w:tc>
        <w:tc>
          <w:tcPr>
            <w:tcW w:w="500" w:type="pct"/>
            <w:noWrap w:val="0"/>
            <w:tcMar>
              <w:top w:w="10" w:type="dxa"/>
              <w:left w:w="10" w:type="dxa"/>
              <w:bottom w:w="0" w:type="dxa"/>
              <w:right w:w="10" w:type="dxa"/>
            </w:tcMar>
            <w:vAlign w:val="center"/>
          </w:tcPr>
          <w:p>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质量</w:t>
            </w:r>
          </w:p>
          <w:p>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达标率（8分）</w:t>
            </w:r>
          </w:p>
        </w:tc>
        <w:tc>
          <w:tcPr>
            <w:tcW w:w="375" w:type="pct"/>
            <w:noWrap w:val="0"/>
            <w:vAlign w:val="top"/>
          </w:tcPr>
          <w:p>
            <w:pPr>
              <w:tabs>
                <w:tab w:val="left" w:pos="2604"/>
              </w:tabs>
              <w:spacing w:line="240" w:lineRule="exact"/>
              <w:ind w:left="105" w:leftChars="50" w:right="105" w:rightChars="50" w:firstLine="96" w:firstLineChars="46"/>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hint="eastAsia" w:ascii="宋体" w:hAnsi="宋体" w:eastAsia="宋体" w:cs="宋体"/>
                <w:sz w:val="21"/>
                <w:szCs w:val="21"/>
              </w:rPr>
            </w:pPr>
            <w:r>
              <w:rPr>
                <w:rFonts w:hint="eastAsia" w:ascii="宋体" w:hAnsi="宋体" w:eastAsia="宋体" w:cs="宋体"/>
                <w:sz w:val="21"/>
                <w:szCs w:val="21"/>
              </w:rPr>
              <w:t>达到质量标准（绩效标准值）的实际工作数与计划工作数的比率,用以反映和考核部门履职质量目标的实现程度。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hint="eastAsia" w:ascii="宋体" w:hAnsi="宋体" w:eastAsia="宋体" w:cs="宋体"/>
                <w:sz w:val="21"/>
                <w:szCs w:val="21"/>
                <w:lang w:eastAsia="zh-CN"/>
              </w:rPr>
            </w:pPr>
            <w:r>
              <w:rPr>
                <w:rFonts w:hint="eastAsia" w:ascii="宋体" w:hAnsi="宋体" w:eastAsia="宋体" w:cs="宋体"/>
                <w:sz w:val="21"/>
                <w:szCs w:val="21"/>
              </w:rPr>
              <w:t>质量达标率=（质量达标实际工作数/计划工作数）×100%。</w:t>
            </w:r>
          </w:p>
          <w:p>
            <w:pPr>
              <w:spacing w:line="240" w:lineRule="exact"/>
              <w:ind w:left="105" w:leftChars="50" w:right="105" w:rightChars="50"/>
              <w:rPr>
                <w:rFonts w:hint="eastAsia" w:ascii="宋体" w:hAnsi="宋体" w:eastAsia="宋体" w:cs="宋体"/>
                <w:sz w:val="21"/>
                <w:szCs w:val="21"/>
              </w:rPr>
            </w:pPr>
            <w:r>
              <w:rPr>
                <w:rFonts w:hint="eastAsia" w:ascii="宋体" w:hAnsi="宋体" w:eastAsia="宋体" w:cs="宋体"/>
                <w:sz w:val="21"/>
                <w:szCs w:val="21"/>
              </w:rPr>
              <w:t>质量达标实际工作数：一定时期（年度或规划期）内部门实际完成工作数中达到部门绩效目标要求（绩效标准值）的工作任务数量。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5" w:hRule="atLeast"/>
          <w:jc w:val="center"/>
        </w:trPr>
        <w:tc>
          <w:tcPr>
            <w:tcW w:w="307" w:type="pct"/>
            <w:vMerge w:val="continue"/>
            <w:noWrap w:val="0"/>
            <w:vAlign w:val="center"/>
          </w:tcPr>
          <w:p>
            <w:pPr>
              <w:spacing w:line="240" w:lineRule="exact"/>
              <w:rPr>
                <w:rFonts w:hint="eastAsia" w:ascii="宋体" w:hAnsi="宋体" w:eastAsia="宋体" w:cs="宋体"/>
                <w:sz w:val="21"/>
                <w:szCs w:val="21"/>
              </w:rPr>
            </w:pPr>
          </w:p>
        </w:tc>
        <w:tc>
          <w:tcPr>
            <w:tcW w:w="375" w:type="pct"/>
            <w:vMerge w:val="continue"/>
            <w:noWrap w:val="0"/>
            <w:vAlign w:val="center"/>
          </w:tcPr>
          <w:p>
            <w:pPr>
              <w:spacing w:line="240" w:lineRule="exact"/>
              <w:rPr>
                <w:rFonts w:hint="eastAsia" w:ascii="宋体" w:hAnsi="宋体" w:eastAsia="宋体" w:cs="宋体"/>
                <w:sz w:val="21"/>
                <w:szCs w:val="21"/>
              </w:rPr>
            </w:pPr>
          </w:p>
        </w:tc>
        <w:tc>
          <w:tcPr>
            <w:tcW w:w="500" w:type="pct"/>
            <w:noWrap w:val="0"/>
            <w:tcMar>
              <w:top w:w="10" w:type="dxa"/>
              <w:left w:w="10" w:type="dxa"/>
              <w:bottom w:w="0" w:type="dxa"/>
              <w:right w:w="10" w:type="dxa"/>
            </w:tcMar>
            <w:vAlign w:val="center"/>
          </w:tcPr>
          <w:p>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重点工作</w:t>
            </w:r>
          </w:p>
          <w:p>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办结率（10分）</w:t>
            </w:r>
          </w:p>
        </w:tc>
        <w:tc>
          <w:tcPr>
            <w:tcW w:w="375" w:type="pct"/>
            <w:noWrap w:val="0"/>
            <w:vAlign w:val="top"/>
          </w:tcPr>
          <w:p>
            <w:pPr>
              <w:tabs>
                <w:tab w:val="left" w:pos="2604"/>
              </w:tabs>
              <w:spacing w:line="240" w:lineRule="exact"/>
              <w:ind w:left="105" w:leftChars="50" w:right="105" w:rightChars="50" w:firstLine="96" w:firstLineChars="46"/>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hint="eastAsia" w:ascii="宋体" w:hAnsi="宋体" w:eastAsia="宋体" w:cs="宋体"/>
                <w:sz w:val="21"/>
                <w:szCs w:val="21"/>
              </w:rPr>
            </w:pPr>
            <w:r>
              <w:rPr>
                <w:rFonts w:hint="eastAsia" w:ascii="宋体" w:hAnsi="宋体" w:eastAsia="宋体" w:cs="宋体"/>
                <w:sz w:val="21"/>
                <w:szCs w:val="21"/>
              </w:rPr>
              <w:t>部门年度重点工作实际完成数与交办或下达数的比率，用以反映部门对重点工作的办理落实程度。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hint="eastAsia" w:ascii="宋体" w:hAnsi="宋体" w:eastAsia="宋体" w:cs="宋体"/>
                <w:sz w:val="21"/>
                <w:szCs w:val="21"/>
                <w:lang w:eastAsia="zh-CN"/>
              </w:rPr>
            </w:pPr>
            <w:r>
              <w:rPr>
                <w:rFonts w:hint="eastAsia" w:ascii="宋体" w:hAnsi="宋体" w:eastAsia="宋体" w:cs="宋体"/>
                <w:sz w:val="21"/>
                <w:szCs w:val="21"/>
              </w:rPr>
              <w:t>重点工作办结率=（重点工作实际完成数/交办或下达数）×100%。</w:t>
            </w:r>
          </w:p>
          <w:p>
            <w:pPr>
              <w:spacing w:line="240" w:lineRule="exact"/>
              <w:ind w:left="105" w:leftChars="50" w:right="105" w:rightChars="50"/>
              <w:rPr>
                <w:rFonts w:hint="eastAsia" w:ascii="宋体" w:hAnsi="宋体" w:eastAsia="宋体" w:cs="宋体"/>
                <w:sz w:val="21"/>
                <w:szCs w:val="21"/>
              </w:rPr>
            </w:pPr>
            <w:r>
              <w:rPr>
                <w:rFonts w:hint="eastAsia" w:ascii="宋体" w:hAnsi="宋体" w:eastAsia="宋体" w:cs="宋体"/>
                <w:sz w:val="21"/>
                <w:szCs w:val="21"/>
              </w:rPr>
              <w:t>重点工作是指党委、政府、人大、相关部门交办或下达的工作任务。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307" w:type="pct"/>
            <w:vMerge w:val="restart"/>
            <w:noWrap/>
            <w:tcMar>
              <w:top w:w="10" w:type="dxa"/>
              <w:left w:w="10" w:type="dxa"/>
              <w:bottom w:w="0" w:type="dxa"/>
              <w:right w:w="10" w:type="dxa"/>
            </w:tcMar>
            <w:textDirection w:val="tbRlV"/>
            <w:vAlign w:val="center"/>
          </w:tcPr>
          <w:p>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效   果（20分）</w:t>
            </w:r>
          </w:p>
        </w:tc>
        <w:tc>
          <w:tcPr>
            <w:tcW w:w="375" w:type="pct"/>
            <w:vMerge w:val="restart"/>
            <w:noWrap w:val="0"/>
            <w:tcMar>
              <w:top w:w="10" w:type="dxa"/>
              <w:left w:w="10" w:type="dxa"/>
              <w:bottom w:w="0" w:type="dxa"/>
              <w:right w:w="10" w:type="dxa"/>
            </w:tcMar>
            <w:vAlign w:val="center"/>
          </w:tcPr>
          <w:p>
            <w:pPr>
              <w:spacing w:line="240" w:lineRule="exact"/>
              <w:jc w:val="center"/>
              <w:rPr>
                <w:rFonts w:hint="eastAsia" w:ascii="宋体" w:hAnsi="宋体" w:eastAsia="宋体" w:cs="宋体"/>
                <w:sz w:val="21"/>
                <w:szCs w:val="21"/>
                <w:lang w:eastAsia="zh-CN"/>
              </w:rPr>
            </w:pPr>
            <w:r>
              <w:rPr>
                <w:rFonts w:hint="eastAsia" w:ascii="宋体" w:hAnsi="宋体" w:eastAsia="宋体" w:cs="宋体"/>
                <w:sz w:val="21"/>
                <w:szCs w:val="21"/>
              </w:rPr>
              <w:t>履职</w:t>
            </w:r>
          </w:p>
          <w:p>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效益（20分）</w:t>
            </w:r>
          </w:p>
        </w:tc>
        <w:tc>
          <w:tcPr>
            <w:tcW w:w="500" w:type="pct"/>
            <w:noWrap w:val="0"/>
            <w:tcMar>
              <w:top w:w="10" w:type="dxa"/>
              <w:left w:w="10" w:type="dxa"/>
              <w:bottom w:w="0" w:type="dxa"/>
              <w:right w:w="10" w:type="dxa"/>
            </w:tcMar>
            <w:vAlign w:val="center"/>
          </w:tcPr>
          <w:p>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经济效益（5分）</w:t>
            </w:r>
          </w:p>
        </w:tc>
        <w:tc>
          <w:tcPr>
            <w:tcW w:w="375" w:type="pct"/>
            <w:noWrap w:val="0"/>
            <w:vAlign w:val="top"/>
          </w:tcPr>
          <w:p>
            <w:pPr>
              <w:tabs>
                <w:tab w:val="left" w:pos="2604"/>
              </w:tabs>
              <w:spacing w:line="240" w:lineRule="exact"/>
              <w:ind w:left="105" w:leftChars="50" w:right="105" w:rightChars="50" w:firstLine="96" w:firstLineChars="46"/>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hint="eastAsia" w:ascii="宋体" w:hAnsi="宋体" w:eastAsia="宋体" w:cs="宋体"/>
                <w:sz w:val="21"/>
                <w:szCs w:val="21"/>
              </w:rPr>
            </w:pPr>
            <w:r>
              <w:rPr>
                <w:rFonts w:hint="eastAsia" w:ascii="宋体" w:hAnsi="宋体" w:eastAsia="宋体" w:cs="宋体"/>
                <w:sz w:val="21"/>
                <w:szCs w:val="21"/>
              </w:rPr>
              <w:t>部门履行职责对经济发展所带来的直接或间接影响。</w:t>
            </w:r>
          </w:p>
        </w:tc>
        <w:tc>
          <w:tcPr>
            <w:tcW w:w="1867" w:type="pct"/>
            <w:vMerge w:val="restart"/>
            <w:noWrap w:val="0"/>
            <w:tcMar>
              <w:top w:w="10" w:type="dxa"/>
              <w:left w:w="10" w:type="dxa"/>
              <w:bottom w:w="0" w:type="dxa"/>
              <w:right w:w="10" w:type="dxa"/>
            </w:tcMar>
            <w:vAlign w:val="center"/>
          </w:tcPr>
          <w:p>
            <w:pPr>
              <w:spacing w:line="240" w:lineRule="exact"/>
              <w:ind w:left="105" w:leftChars="50" w:right="105" w:rightChars="50"/>
              <w:rPr>
                <w:rFonts w:hint="eastAsia" w:ascii="宋体" w:hAnsi="宋体" w:eastAsia="宋体" w:cs="宋体"/>
                <w:sz w:val="21"/>
                <w:szCs w:val="21"/>
              </w:rPr>
            </w:pPr>
            <w:r>
              <w:rPr>
                <w:rFonts w:hint="eastAsia" w:ascii="宋体" w:hAnsi="宋体" w:eastAsia="宋体" w:cs="宋体"/>
                <w:sz w:val="21"/>
                <w:szCs w:val="21"/>
              </w:rPr>
              <w:t>此三项指标为设置部门整体支出绩效评价指标时必须考虑的共性要素，可根据部门实际并结合部门整体支出绩效目标设立情况有选择的进行设置，并将其细化为相应的个性化指标。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307" w:type="pct"/>
            <w:vMerge w:val="continue"/>
            <w:noWrap w:val="0"/>
            <w:vAlign w:val="center"/>
          </w:tcPr>
          <w:p>
            <w:pPr>
              <w:spacing w:line="240" w:lineRule="exact"/>
              <w:rPr>
                <w:rFonts w:hint="eastAsia" w:ascii="宋体" w:hAnsi="宋体" w:eastAsia="宋体" w:cs="宋体"/>
                <w:sz w:val="21"/>
                <w:szCs w:val="21"/>
              </w:rPr>
            </w:pPr>
          </w:p>
        </w:tc>
        <w:tc>
          <w:tcPr>
            <w:tcW w:w="375" w:type="pct"/>
            <w:vMerge w:val="continue"/>
            <w:noWrap w:val="0"/>
            <w:vAlign w:val="center"/>
          </w:tcPr>
          <w:p>
            <w:pPr>
              <w:spacing w:line="240" w:lineRule="exact"/>
              <w:rPr>
                <w:rFonts w:hint="eastAsia" w:ascii="宋体" w:hAnsi="宋体" w:eastAsia="宋体" w:cs="宋体"/>
                <w:sz w:val="21"/>
                <w:szCs w:val="21"/>
              </w:rPr>
            </w:pPr>
          </w:p>
        </w:tc>
        <w:tc>
          <w:tcPr>
            <w:tcW w:w="500" w:type="pct"/>
            <w:noWrap w:val="0"/>
            <w:tcMar>
              <w:top w:w="10" w:type="dxa"/>
              <w:left w:w="10" w:type="dxa"/>
              <w:bottom w:w="0" w:type="dxa"/>
              <w:right w:w="10" w:type="dxa"/>
            </w:tcMar>
            <w:vAlign w:val="center"/>
          </w:tcPr>
          <w:p>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社会效益（5分）</w:t>
            </w:r>
          </w:p>
        </w:tc>
        <w:tc>
          <w:tcPr>
            <w:tcW w:w="375" w:type="pct"/>
            <w:noWrap w:val="0"/>
            <w:vAlign w:val="top"/>
          </w:tcPr>
          <w:p>
            <w:pPr>
              <w:tabs>
                <w:tab w:val="left" w:pos="2604"/>
              </w:tabs>
              <w:spacing w:line="240" w:lineRule="exact"/>
              <w:ind w:left="105" w:leftChars="50" w:right="105" w:rightChars="50" w:firstLine="96" w:firstLineChars="46"/>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hint="eastAsia" w:ascii="宋体" w:hAnsi="宋体" w:eastAsia="宋体" w:cs="宋体"/>
                <w:sz w:val="21"/>
                <w:szCs w:val="21"/>
              </w:rPr>
            </w:pPr>
            <w:r>
              <w:rPr>
                <w:rFonts w:hint="eastAsia" w:ascii="宋体" w:hAnsi="宋体" w:eastAsia="宋体" w:cs="宋体"/>
                <w:sz w:val="21"/>
                <w:szCs w:val="21"/>
              </w:rPr>
              <w:t>部门履行职责对社会发展所带来的直接或间接影响。</w:t>
            </w:r>
          </w:p>
        </w:tc>
        <w:tc>
          <w:tcPr>
            <w:tcW w:w="1867" w:type="pct"/>
            <w:vMerge w:val="continue"/>
            <w:noWrap w:val="0"/>
            <w:vAlign w:val="center"/>
          </w:tcPr>
          <w:p>
            <w:pPr>
              <w:spacing w:line="240" w:lineRule="exact"/>
              <w:ind w:left="105" w:leftChars="50" w:right="105" w:rightChars="5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307" w:type="pct"/>
            <w:vMerge w:val="continue"/>
            <w:noWrap w:val="0"/>
            <w:vAlign w:val="center"/>
          </w:tcPr>
          <w:p>
            <w:pPr>
              <w:spacing w:line="240" w:lineRule="exact"/>
              <w:rPr>
                <w:rFonts w:hint="eastAsia" w:ascii="宋体" w:hAnsi="宋体" w:eastAsia="宋体" w:cs="宋体"/>
                <w:sz w:val="21"/>
                <w:szCs w:val="21"/>
              </w:rPr>
            </w:pPr>
          </w:p>
        </w:tc>
        <w:tc>
          <w:tcPr>
            <w:tcW w:w="375" w:type="pct"/>
            <w:vMerge w:val="continue"/>
            <w:noWrap w:val="0"/>
            <w:vAlign w:val="center"/>
          </w:tcPr>
          <w:p>
            <w:pPr>
              <w:spacing w:line="240" w:lineRule="exact"/>
              <w:rPr>
                <w:rFonts w:hint="eastAsia" w:ascii="宋体" w:hAnsi="宋体" w:eastAsia="宋体" w:cs="宋体"/>
                <w:sz w:val="21"/>
                <w:szCs w:val="21"/>
              </w:rPr>
            </w:pPr>
          </w:p>
        </w:tc>
        <w:tc>
          <w:tcPr>
            <w:tcW w:w="500" w:type="pct"/>
            <w:noWrap w:val="0"/>
            <w:tcMar>
              <w:top w:w="10" w:type="dxa"/>
              <w:left w:w="10" w:type="dxa"/>
              <w:bottom w:w="0" w:type="dxa"/>
              <w:right w:w="10" w:type="dxa"/>
            </w:tcMar>
            <w:vAlign w:val="center"/>
          </w:tcPr>
          <w:p>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生态效益（5分）</w:t>
            </w:r>
          </w:p>
        </w:tc>
        <w:tc>
          <w:tcPr>
            <w:tcW w:w="375" w:type="pct"/>
            <w:noWrap w:val="0"/>
            <w:vAlign w:val="top"/>
          </w:tcPr>
          <w:p>
            <w:pPr>
              <w:tabs>
                <w:tab w:val="left" w:pos="2604"/>
              </w:tabs>
              <w:spacing w:line="240" w:lineRule="exact"/>
              <w:ind w:left="105" w:leftChars="50" w:right="105" w:rightChars="50" w:firstLine="96" w:firstLineChars="46"/>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hint="eastAsia" w:ascii="宋体" w:hAnsi="宋体" w:eastAsia="宋体" w:cs="宋体"/>
                <w:sz w:val="21"/>
                <w:szCs w:val="21"/>
              </w:rPr>
            </w:pPr>
            <w:r>
              <w:rPr>
                <w:rFonts w:hint="eastAsia" w:ascii="宋体" w:hAnsi="宋体" w:eastAsia="宋体" w:cs="宋体"/>
                <w:sz w:val="21"/>
                <w:szCs w:val="21"/>
              </w:rPr>
              <w:t>部门履行职责对生态环境所带来的直接或间接影响。</w:t>
            </w:r>
          </w:p>
        </w:tc>
        <w:tc>
          <w:tcPr>
            <w:tcW w:w="1867" w:type="pct"/>
            <w:vMerge w:val="continue"/>
            <w:noWrap w:val="0"/>
            <w:vAlign w:val="center"/>
          </w:tcPr>
          <w:p>
            <w:pPr>
              <w:spacing w:line="240" w:lineRule="exact"/>
              <w:ind w:left="105" w:leftChars="50" w:right="105" w:rightChars="5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3" w:hRule="atLeast"/>
          <w:jc w:val="center"/>
        </w:trPr>
        <w:tc>
          <w:tcPr>
            <w:tcW w:w="307" w:type="pct"/>
            <w:vMerge w:val="continue"/>
            <w:noWrap w:val="0"/>
            <w:vAlign w:val="center"/>
          </w:tcPr>
          <w:p>
            <w:pPr>
              <w:spacing w:line="240" w:lineRule="exact"/>
              <w:rPr>
                <w:rFonts w:hint="eastAsia" w:ascii="宋体" w:hAnsi="宋体" w:eastAsia="宋体" w:cs="宋体"/>
                <w:sz w:val="21"/>
                <w:szCs w:val="21"/>
              </w:rPr>
            </w:pPr>
          </w:p>
        </w:tc>
        <w:tc>
          <w:tcPr>
            <w:tcW w:w="375" w:type="pct"/>
            <w:vMerge w:val="continue"/>
            <w:noWrap w:val="0"/>
            <w:vAlign w:val="center"/>
          </w:tcPr>
          <w:p>
            <w:pPr>
              <w:spacing w:line="240" w:lineRule="exact"/>
              <w:rPr>
                <w:rFonts w:hint="eastAsia" w:ascii="宋体" w:hAnsi="宋体" w:eastAsia="宋体" w:cs="宋体"/>
                <w:sz w:val="21"/>
                <w:szCs w:val="21"/>
              </w:rPr>
            </w:pPr>
          </w:p>
        </w:tc>
        <w:tc>
          <w:tcPr>
            <w:tcW w:w="500" w:type="pct"/>
            <w:noWrap w:val="0"/>
            <w:tcMar>
              <w:top w:w="10" w:type="dxa"/>
              <w:left w:w="10" w:type="dxa"/>
              <w:bottom w:w="0" w:type="dxa"/>
              <w:right w:w="10" w:type="dxa"/>
            </w:tcMar>
            <w:vAlign w:val="center"/>
          </w:tcPr>
          <w:p>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社会公众</w:t>
            </w:r>
          </w:p>
          <w:p>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或服务对</w:t>
            </w:r>
          </w:p>
          <w:p>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象满意度（5分）</w:t>
            </w:r>
          </w:p>
        </w:tc>
        <w:tc>
          <w:tcPr>
            <w:tcW w:w="375" w:type="pct"/>
            <w:noWrap w:val="0"/>
            <w:vAlign w:val="top"/>
          </w:tcPr>
          <w:p>
            <w:pPr>
              <w:tabs>
                <w:tab w:val="left" w:pos="2604"/>
              </w:tabs>
              <w:spacing w:line="240" w:lineRule="exact"/>
              <w:ind w:left="105" w:leftChars="50" w:right="105" w:rightChars="50" w:firstLine="96" w:firstLineChars="46"/>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hint="eastAsia" w:ascii="宋体" w:hAnsi="宋体" w:eastAsia="宋体" w:cs="宋体"/>
                <w:sz w:val="21"/>
                <w:szCs w:val="21"/>
              </w:rPr>
            </w:pPr>
            <w:r>
              <w:rPr>
                <w:rFonts w:hint="eastAsia" w:ascii="宋体" w:hAnsi="宋体" w:eastAsia="宋体" w:cs="宋体"/>
                <w:sz w:val="21"/>
                <w:szCs w:val="21"/>
              </w:rPr>
              <w:t>社会公众或部门的服务对象对部门履职效果的满意程度。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hint="eastAsia" w:ascii="宋体" w:hAnsi="宋体" w:eastAsia="宋体" w:cs="宋体"/>
                <w:sz w:val="21"/>
                <w:szCs w:val="21"/>
              </w:rPr>
            </w:pPr>
            <w:r>
              <w:rPr>
                <w:rFonts w:hint="eastAsia" w:ascii="宋体" w:hAnsi="宋体" w:eastAsia="宋体" w:cs="宋体"/>
                <w:sz w:val="21"/>
                <w:szCs w:val="21"/>
              </w:rPr>
              <w:t>社会公众或服务对象是指部门履行职责而影响到的部门、群体或个人。一般采取社会调查的方式。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jc w:val="center"/>
        </w:trPr>
        <w:tc>
          <w:tcPr>
            <w:tcW w:w="307" w:type="pct"/>
            <w:noWrap w:val="0"/>
            <w:vAlign w:val="center"/>
          </w:tcPr>
          <w:p>
            <w:pPr>
              <w:spacing w:line="240" w:lineRule="exact"/>
              <w:rPr>
                <w:rFonts w:hint="eastAsia" w:ascii="宋体" w:hAnsi="宋体" w:eastAsia="宋体" w:cs="宋体"/>
                <w:sz w:val="21"/>
                <w:szCs w:val="21"/>
              </w:rPr>
            </w:pPr>
            <w:r>
              <w:rPr>
                <w:rFonts w:hint="eastAsia" w:ascii="宋体" w:hAnsi="宋体" w:eastAsia="宋体" w:cs="宋体"/>
                <w:sz w:val="21"/>
                <w:szCs w:val="21"/>
              </w:rPr>
              <w:t>总分</w:t>
            </w:r>
          </w:p>
        </w:tc>
        <w:tc>
          <w:tcPr>
            <w:tcW w:w="375" w:type="pct"/>
            <w:noWrap w:val="0"/>
            <w:vAlign w:val="center"/>
          </w:tcPr>
          <w:p>
            <w:pPr>
              <w:spacing w:line="240" w:lineRule="exact"/>
              <w:rPr>
                <w:rFonts w:hint="eastAsia" w:ascii="宋体" w:hAnsi="宋体" w:eastAsia="宋体" w:cs="宋体"/>
                <w:sz w:val="21"/>
                <w:szCs w:val="21"/>
              </w:rPr>
            </w:pPr>
          </w:p>
        </w:tc>
        <w:tc>
          <w:tcPr>
            <w:tcW w:w="500" w:type="pct"/>
            <w:noWrap w:val="0"/>
            <w:tcMar>
              <w:top w:w="10" w:type="dxa"/>
              <w:left w:w="10" w:type="dxa"/>
              <w:bottom w:w="0" w:type="dxa"/>
              <w:right w:w="10" w:type="dxa"/>
            </w:tcMar>
            <w:vAlign w:val="center"/>
          </w:tcPr>
          <w:p>
            <w:pPr>
              <w:spacing w:line="240" w:lineRule="exact"/>
              <w:jc w:val="center"/>
              <w:rPr>
                <w:rFonts w:hint="eastAsia" w:ascii="宋体" w:hAnsi="宋体" w:eastAsia="宋体" w:cs="宋体"/>
                <w:sz w:val="21"/>
                <w:szCs w:val="21"/>
              </w:rPr>
            </w:pPr>
          </w:p>
        </w:tc>
        <w:tc>
          <w:tcPr>
            <w:tcW w:w="375" w:type="pct"/>
            <w:noWrap w:val="0"/>
            <w:vAlign w:val="top"/>
          </w:tcPr>
          <w:p>
            <w:pPr>
              <w:tabs>
                <w:tab w:val="left" w:pos="2604"/>
              </w:tabs>
              <w:spacing w:line="240" w:lineRule="exact"/>
              <w:ind w:left="105" w:leftChars="50" w:right="105" w:rightChars="50" w:firstLine="96" w:firstLineChars="46"/>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98</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hint="eastAsia" w:ascii="宋体" w:hAnsi="宋体" w:eastAsia="宋体" w:cs="宋体"/>
                <w:sz w:val="21"/>
                <w:szCs w:val="21"/>
              </w:rPr>
            </w:pP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hint="eastAsia" w:ascii="宋体" w:hAnsi="宋体" w:eastAsia="宋体" w:cs="宋体"/>
                <w:sz w:val="21"/>
                <w:szCs w:val="21"/>
              </w:rPr>
            </w:pPr>
          </w:p>
        </w:tc>
      </w:tr>
    </w:tbl>
    <w:p>
      <w:pPr>
        <w:pStyle w:val="16"/>
        <w:ind w:firstLine="1280" w:firstLineChars="400"/>
        <w:rPr>
          <w:rFonts w:asciiTheme="minorEastAsia" w:hAnsiTheme="minorEastAsia" w:eastAsiaTheme="minorEastAsia"/>
          <w:sz w:val="32"/>
          <w:szCs w:val="32"/>
        </w:rPr>
      </w:pPr>
    </w:p>
    <w:p>
      <w:pPr>
        <w:pStyle w:val="16"/>
        <w:spacing w:line="600" w:lineRule="exact"/>
        <w:ind w:firstLine="640" w:firstLineChars="200"/>
        <w:rPr>
          <w:rFonts w:ascii="Times New Roman" w:hAnsi="Times New Roman" w:eastAsia="仿宋_GB2312"/>
          <w:sz w:val="32"/>
          <w:szCs w:val="32"/>
        </w:rPr>
      </w:pPr>
    </w:p>
    <w:p>
      <w:pPr>
        <w:pStyle w:val="16"/>
        <w:jc w:val="center"/>
        <w:rPr>
          <w:sz w:val="72"/>
          <w:szCs w:val="72"/>
        </w:rPr>
      </w:pPr>
    </w:p>
    <w:p>
      <w:pPr>
        <w:pStyle w:val="16"/>
        <w:jc w:val="center"/>
        <w:rPr>
          <w:sz w:val="72"/>
          <w:szCs w:val="72"/>
        </w:rPr>
      </w:pPr>
    </w:p>
    <w:p>
      <w:pPr>
        <w:jc w:val="left"/>
        <w:rPr>
          <w:rFonts w:cs="黑体" w:asciiTheme="minorEastAsia" w:hAnsiTheme="minorEastAsia"/>
          <w:color w:val="000000"/>
          <w:kern w:val="0"/>
          <w:sz w:val="32"/>
          <w:szCs w:val="32"/>
        </w:rPr>
      </w:pPr>
    </w:p>
    <w:sectPr>
      <w:pgSz w:w="11906" w:h="16838"/>
      <w:pgMar w:top="720" w:right="720" w:bottom="720" w:left="720" w:header="851" w:footer="992" w:gutter="0"/>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98D6FAF-C4D4-4A99-B3EA-3B14F225D38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embedRegular r:id="rId2" w:fontKey="{789C7E6B-EF03-449A-A593-7E367C6D0205}"/>
  </w:font>
  <w:font w:name="仿宋_GB2312">
    <w:panose1 w:val="02010609030101010101"/>
    <w:charset w:val="86"/>
    <w:family w:val="modern"/>
    <w:pitch w:val="default"/>
    <w:sig w:usb0="00000001" w:usb1="080E0000" w:usb2="00000000" w:usb3="00000000" w:csb0="00040000" w:csb1="00000000"/>
    <w:embedRegular r:id="rId3" w:fontKey="{102276E6-81E7-4C03-93F2-48149E8DB5C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embedRegular r:id="rId4" w:fontKey="{997B9259-137D-4C03-AE7D-2FC03D4DA76B}"/>
  </w:font>
  <w:font w:name="方正小标宋简体">
    <w:panose1 w:val="02000000000000000000"/>
    <w:charset w:val="86"/>
    <w:family w:val="auto"/>
    <w:pitch w:val="default"/>
    <w:sig w:usb0="00000001" w:usb1="080E0000" w:usb2="00000000" w:usb3="00000000" w:csb0="00040000" w:csb1="00000000"/>
    <w:embedRegular r:id="rId5" w:fontKey="{AC315CE6-0281-4205-B007-490DC47A8946}"/>
  </w:font>
  <w:font w:name="楷体_GB2312">
    <w:panose1 w:val="02010609030101010101"/>
    <w:charset w:val="86"/>
    <w:family w:val="modern"/>
    <w:pitch w:val="default"/>
    <w:sig w:usb0="00000001" w:usb1="080E0000" w:usb2="00000000" w:usb3="00000000" w:csb0="00040000" w:csb1="00000000"/>
    <w:embedRegular r:id="rId6" w:fontKey="{A44745E2-0AD2-4D41-B912-7003745A79A5}"/>
  </w:font>
  <w:font w:name="微软雅黑">
    <w:panose1 w:val="020B0503020204020204"/>
    <w:charset w:val="86"/>
    <w:family w:val="auto"/>
    <w:pitch w:val="default"/>
    <w:sig w:usb0="80000287" w:usb1="2ACF3C50" w:usb2="00000016" w:usb3="00000000" w:csb0="0004001F" w:csb1="00000000"/>
    <w:embedRegular r:id="rId7" w:fontKey="{0CC8ABDD-F16F-4BD8-8621-B472F42C4131}"/>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4EA0EC"/>
    <w:multiLevelType w:val="singleLevel"/>
    <w:tmpl w:val="5C4EA0EC"/>
    <w:lvl w:ilvl="0" w:tentative="0">
      <w:start w:val="10"/>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TrueTypeFonts/>
  <w:saveSubsetFonts/>
  <w:bordersDoNotSurroundHeader w:val="0"/>
  <w:bordersDoNotSurroundFooter w:val="0"/>
  <w:documentProtection w:enforcement="0"/>
  <w:defaultTabStop w:val="420"/>
  <w:drawingGridHorizontalSpacing w:val="21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zNzg5NzJjYzA1ODczYjBjY2NkYWJkYzk0N2QxOTc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3F682E"/>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56FBD"/>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E721BC1"/>
    <w:rsid w:val="108878F1"/>
    <w:rsid w:val="133956FF"/>
    <w:rsid w:val="186B4953"/>
    <w:rsid w:val="1D97DEFF"/>
    <w:rsid w:val="1DFF72E5"/>
    <w:rsid w:val="1EFC6F07"/>
    <w:rsid w:val="254421CE"/>
    <w:rsid w:val="2685748B"/>
    <w:rsid w:val="2A565A21"/>
    <w:rsid w:val="2FDF85B8"/>
    <w:rsid w:val="2FFFEE04"/>
    <w:rsid w:val="3064070C"/>
    <w:rsid w:val="34DF85B0"/>
    <w:rsid w:val="3550436F"/>
    <w:rsid w:val="35BE24B2"/>
    <w:rsid w:val="3B8F36BC"/>
    <w:rsid w:val="3D38054F"/>
    <w:rsid w:val="40BC0E53"/>
    <w:rsid w:val="42DA35A3"/>
    <w:rsid w:val="491FF225"/>
    <w:rsid w:val="4C1D19C5"/>
    <w:rsid w:val="4FFD214C"/>
    <w:rsid w:val="569C6FB5"/>
    <w:rsid w:val="5777D4F5"/>
    <w:rsid w:val="58276B45"/>
    <w:rsid w:val="59DD8326"/>
    <w:rsid w:val="5DEF592A"/>
    <w:rsid w:val="5FC6BB1E"/>
    <w:rsid w:val="5FF720F1"/>
    <w:rsid w:val="67E757DA"/>
    <w:rsid w:val="67FF5C0B"/>
    <w:rsid w:val="6EFC0924"/>
    <w:rsid w:val="6FB74722"/>
    <w:rsid w:val="6FEF8B7E"/>
    <w:rsid w:val="71A6591B"/>
    <w:rsid w:val="737D59BA"/>
    <w:rsid w:val="77C37683"/>
    <w:rsid w:val="79FF515B"/>
    <w:rsid w:val="7E9E1962"/>
    <w:rsid w:val="7E9F11B4"/>
    <w:rsid w:val="7EA06B86"/>
    <w:rsid w:val="7F37EC1E"/>
    <w:rsid w:val="7F7DCD9D"/>
    <w:rsid w:val="7F970A6F"/>
    <w:rsid w:val="7FC1FFF3"/>
    <w:rsid w:val="7FC69637"/>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endnote text"/>
    <w:basedOn w:val="1"/>
    <w:next w:val="3"/>
    <w:qFormat/>
    <w:uiPriority w:val="0"/>
    <w:rPr>
      <w:rFonts w:ascii="Times New Roman" w:hAnsi="Times New Roman" w:eastAsia="宋体" w:cs="Times New Roman"/>
    </w:rPr>
  </w:style>
  <w:style w:type="paragraph" w:styleId="3">
    <w:name w:val="Body Text"/>
    <w:basedOn w:val="1"/>
    <w:next w:val="4"/>
    <w:qFormat/>
    <w:uiPriority w:val="0"/>
    <w:rPr>
      <w:sz w:val="31"/>
      <w:szCs w:val="22"/>
    </w:rPr>
  </w:style>
  <w:style w:type="paragraph" w:styleId="4">
    <w:name w:val="footer"/>
    <w:basedOn w:val="1"/>
    <w:next w:val="5"/>
    <w:link w:val="15"/>
    <w:unhideWhenUsed/>
    <w:qFormat/>
    <w:uiPriority w:val="99"/>
    <w:pPr>
      <w:tabs>
        <w:tab w:val="center" w:pos="4153"/>
        <w:tab w:val="right" w:pos="8306"/>
      </w:tabs>
      <w:snapToGrid w:val="0"/>
      <w:jc w:val="left"/>
    </w:pPr>
    <w:rPr>
      <w:sz w:val="18"/>
      <w:szCs w:val="18"/>
    </w:rPr>
  </w:style>
  <w:style w:type="paragraph" w:styleId="5">
    <w:name w:val="index 5"/>
    <w:basedOn w:val="1"/>
    <w:next w:val="1"/>
    <w:qFormat/>
    <w:uiPriority w:val="0"/>
    <w:pPr>
      <w:ind w:left="1680"/>
    </w:pPr>
    <w:rPr>
      <w:rFonts w:ascii="Times New Roman" w:hAnsi="Times New Roman" w:eastAsia="宋体"/>
    </w:rPr>
  </w:style>
  <w:style w:type="paragraph" w:styleId="6">
    <w:name w:val="Body Text Indent"/>
    <w:basedOn w:val="1"/>
    <w:next w:val="7"/>
    <w:unhideWhenUsed/>
    <w:qFormat/>
    <w:uiPriority w:val="99"/>
    <w:pPr>
      <w:widowControl/>
      <w:spacing w:after="120"/>
      <w:ind w:left="420" w:leftChars="200"/>
      <w:jc w:val="left"/>
    </w:pPr>
    <w:rPr>
      <w:rFonts w:ascii="宋体" w:hAnsi="宋体" w:eastAsia="宋体" w:cs="宋体"/>
      <w:kern w:val="0"/>
      <w:sz w:val="24"/>
    </w:rPr>
  </w:style>
  <w:style w:type="paragraph" w:styleId="7">
    <w:name w:val="Body Text First Indent 2"/>
    <w:basedOn w:val="6"/>
    <w:next w:val="1"/>
    <w:unhideWhenUsed/>
    <w:qFormat/>
    <w:uiPriority w:val="99"/>
    <w:pPr>
      <w:ind w:firstLine="420" w:firstLineChars="200"/>
    </w:pPr>
  </w:style>
  <w:style w:type="paragraph" w:styleId="8">
    <w:name w:val="Balloon Text"/>
    <w:basedOn w:val="1"/>
    <w:link w:val="18"/>
    <w:semiHidden/>
    <w:unhideWhenUsed/>
    <w:qFormat/>
    <w:uiPriority w:val="99"/>
    <w:rPr>
      <w:sz w:val="18"/>
      <w:szCs w:val="18"/>
    </w:rPr>
  </w:style>
  <w:style w:type="paragraph" w:styleId="9">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footnote text"/>
    <w:basedOn w:val="1"/>
    <w:next w:val="7"/>
    <w:semiHidden/>
    <w:qFormat/>
    <w:uiPriority w:val="0"/>
    <w:pPr>
      <w:snapToGrid w:val="0"/>
      <w:jc w:val="left"/>
    </w:pPr>
    <w:rPr>
      <w:sz w:val="18"/>
      <w:szCs w:val="18"/>
    </w:rPr>
  </w:style>
  <w:style w:type="paragraph" w:styleId="11">
    <w:name w:val="Normal (Web)"/>
    <w:basedOn w:val="1"/>
    <w:next w:val="4"/>
    <w:qFormat/>
    <w:uiPriority w:val="0"/>
    <w:pPr>
      <w:widowControl/>
      <w:spacing w:before="100" w:beforeAutospacing="1" w:after="100" w:afterAutospacing="1"/>
      <w:jc w:val="left"/>
    </w:pPr>
    <w:rPr>
      <w:rFonts w:ascii="宋体" w:hAnsi="宋体" w:cs="宋体"/>
      <w:kern w:val="0"/>
      <w:sz w:val="24"/>
    </w:rPr>
  </w:style>
  <w:style w:type="character" w:customStyle="1" w:styleId="14">
    <w:name w:val="页眉 Char"/>
    <w:basedOn w:val="13"/>
    <w:link w:val="9"/>
    <w:qFormat/>
    <w:uiPriority w:val="99"/>
    <w:rPr>
      <w:sz w:val="18"/>
      <w:szCs w:val="18"/>
    </w:rPr>
  </w:style>
  <w:style w:type="character" w:customStyle="1" w:styleId="15">
    <w:name w:val="页脚 Char"/>
    <w:basedOn w:val="13"/>
    <w:link w:val="4"/>
    <w:qFormat/>
    <w:uiPriority w:val="99"/>
    <w:rPr>
      <w:sz w:val="18"/>
      <w:szCs w:val="18"/>
    </w:rPr>
  </w:style>
  <w:style w:type="paragraph" w:customStyle="1" w:styleId="16">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7">
    <w:name w:val="List Paragraph"/>
    <w:basedOn w:val="1"/>
    <w:qFormat/>
    <w:uiPriority w:val="34"/>
    <w:pPr>
      <w:ind w:firstLine="420" w:firstLineChars="200"/>
    </w:pPr>
  </w:style>
  <w:style w:type="character" w:customStyle="1" w:styleId="18">
    <w:name w:val="批注框文本 Char"/>
    <w:basedOn w:val="13"/>
    <w:link w:val="8"/>
    <w:semiHidden/>
    <w:qFormat/>
    <w:uiPriority w:val="99"/>
    <w:rPr>
      <w:sz w:val="18"/>
      <w:szCs w:val="18"/>
    </w:rPr>
  </w:style>
  <w:style w:type="character" w:customStyle="1" w:styleId="19">
    <w:name w:val="font01"/>
    <w:basedOn w:val="13"/>
    <w:qFormat/>
    <w:uiPriority w:val="0"/>
    <w:rPr>
      <w:rFonts w:hint="eastAsia" w:ascii="宋体" w:hAnsi="宋体" w:eastAsia="宋体" w:cs="宋体"/>
      <w:color w:val="000000"/>
      <w:sz w:val="22"/>
      <w:szCs w:val="22"/>
      <w:u w:val="none"/>
    </w:rPr>
  </w:style>
  <w:style w:type="character" w:customStyle="1" w:styleId="20">
    <w:name w:val="font21"/>
    <w:basedOn w:val="13"/>
    <w:qFormat/>
    <w:uiPriority w:val="0"/>
    <w:rPr>
      <w:rFonts w:hint="eastAsia" w:ascii="宋体" w:hAnsi="宋体" w:eastAsia="宋体" w:cs="宋体"/>
      <w:color w:val="000000"/>
      <w:sz w:val="24"/>
      <w:szCs w:val="24"/>
      <w:u w:val="none"/>
    </w:rPr>
  </w:style>
  <w:style w:type="character" w:customStyle="1" w:styleId="21">
    <w:name w:val="font11"/>
    <w:basedOn w:val="13"/>
    <w:qFormat/>
    <w:uiPriority w:val="0"/>
    <w:rPr>
      <w:rFonts w:hint="eastAsia" w:ascii="宋体" w:hAnsi="宋体" w:eastAsia="宋体" w:cs="宋体"/>
      <w:color w:val="000000"/>
      <w:sz w:val="24"/>
      <w:szCs w:val="24"/>
      <w:u w:val="none"/>
    </w:rPr>
  </w:style>
  <w:style w:type="paragraph" w:customStyle="1" w:styleId="22">
    <w:name w:val="Normal"/>
    <w:qFormat/>
    <w:uiPriority w:val="0"/>
    <w:pPr>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38</Pages>
  <Words>9936</Words>
  <Characters>11226</Characters>
  <Lines>62</Lines>
  <Paragraphs>17</Paragraphs>
  <TotalTime>7</TotalTime>
  <ScaleCrop>false</ScaleCrop>
  <LinksUpToDate>false</LinksUpToDate>
  <CharactersWithSpaces>11712</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丫丫</cp:lastModifiedBy>
  <cp:lastPrinted>2024-08-08T10:20:00Z</cp:lastPrinted>
  <dcterms:modified xsi:type="dcterms:W3CDTF">2024-09-04T02:36:29Z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D8566411DC5F4D069F889C13FC37B69E</vt:lpwstr>
  </property>
</Properties>
</file>