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rgbClr val="FFFFFF"/>
                        </a:solidFill>
                        <a:ln w="6350">
                          <a:no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Bc6bCZdAgAAqAQAAA4AAABkcnMvZTJvRG9jLnhtbK1UzW4T&#10;MRC+I/EOlu9k89NNSZRNFRoFIVW0UkGcHa83a8n2GNvJbngAeANOXLjzXH0Oxt5tUwqHHsjBmfF8&#10;+cbzzUwWF61W5CCcl2AKOhoMKRGGQynNrqAfP2xevabEB2ZKpsCIgh6FpxfLly8WjZ2LMdSgSuEI&#10;khg/b2xB6xDsPMs8r4VmfgBWGAxW4DQL6LpdVjrWILtW2Xg4nGYNuNI64MJ7vF13QdozuucQQlVJ&#10;LtbA91qY0LE6oVjAknwtrafL9NqqEjxcV5UXgaiCYqUhnZgE7W08s+WCzXeO2Vry/gnsOU94UpNm&#10;0mDSB6o1C4zsnfyLSkvuwEMVBhx01hWSFMEqRsMn2tzWzIpUC0rt7YPo/v/R8veHG0dkiZNAiWEa&#10;G373/dvdj193P7+SUZSnsX6OqFuLuNC+gTZC+3uPl7HqtnI6fmM9JMbPZ7N8hhIfCzqb5DM0k86i&#10;DYTHeD6eTKY5JRwB+eg8H+cRkJ2IrPPhrQBNolFQh31M8rLDlQ8d9B4S83pQstxIpZLjdttL5ciB&#10;Yc836dOz/wFThjQFnU7yYWI2EH/fUSsTeUQanz5fVKGrNlqh3bYIjeYWyiMq46AbLW/5RuKbr5gP&#10;N8zhLKEMuG3hGo9KAaaE3qKkBvflX/cRjy3GKCUNzmZB/ec9c4IS9c5g82ejs7M4zMk5y8/H6LjH&#10;ke3jiNnrS0ApsMH4umRGfFD3ZuVAf8KlXMWsGGKGY+6ChnvzMnQbg0vNxWqVQDi+loUrc2t5pI6C&#10;GVjtA1QyNeikDTY2OjjAqcX9ssUNeewn1OkPZ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vAm&#10;UNYAAAAKAQAADwAAAAAAAAABACAAAAAiAAAAZHJzL2Rvd25yZXYueG1sUEsBAhQAFAAAAAgAh07i&#10;QBc6bCZdAgAAqAQAAA4AAAAAAAAAAQAgAAAAJQEAAGRycy9lMm9Eb2MueG1sUEsFBgAAAAAGAAYA&#10;WQEAAPQFAAAAAA==&#10;">
                <v:fill on="t" focussize="0,0"/>
                <v:stroke on="f" weight="0.5pt"/>
                <v:imagedata o:title=""/>
                <o:lock v:ext="edit" aspectratio="f"/>
                <v:textbox>
                  <w:txbxContent>
                    <w:p/>
                  </w:txbxContent>
                </v:textbox>
              </v:shape>
            </w:pict>
          </mc:Fallback>
        </mc:AlternateContent>
      </w:r>
    </w:p>
    <w:p>
      <w:pPr>
        <w:keepNext w:val="0"/>
        <w:keepLines w:val="0"/>
        <w:widowControl w:val="0"/>
        <w:suppressLineNumbers w:val="0"/>
        <w:spacing w:before="0" w:beforeAutospacing="0" w:after="0" w:afterAutospacing="0" w:line="640" w:lineRule="exact"/>
        <w:ind w:left="0" w:right="0"/>
        <w:jc w:val="center"/>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kern w:val="2"/>
          <w:sz w:val="44"/>
          <w:szCs w:val="44"/>
          <w:lang w:val="en-US" w:eastAsia="zh-CN" w:bidi="ar"/>
        </w:rPr>
        <w:t>2023年度益阳市赫山区委办公室</w:t>
      </w:r>
    </w:p>
    <w:p>
      <w:pPr>
        <w:keepNext w:val="0"/>
        <w:keepLines w:val="0"/>
        <w:widowControl w:val="0"/>
        <w:suppressLineNumbers w:val="0"/>
        <w:spacing w:before="0" w:beforeAutospacing="0" w:after="0" w:afterAutospacing="0" w:line="640" w:lineRule="exact"/>
        <w:ind w:left="0" w:right="0"/>
        <w:jc w:val="center"/>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kern w:val="2"/>
          <w:sz w:val="44"/>
          <w:szCs w:val="44"/>
          <w:lang w:val="en-US" w:eastAsia="zh-CN" w:bidi="ar"/>
        </w:rPr>
        <w:t>部门整体支出绩效评价报告</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根据益赫财绩〔2024〕2号《益阳市赫山区财政局关于做好2023年度区级预算部门绩效自评和部门评价工作的通知》文件精神，我办从预算配置、预算执行、预算管理、职责履行、履职效益等五方面入手，对照《部门整体支出绩效评价指标表》，认真负责、客观公正地开展2023年度部门整体支出绩效自评工作，现将相关情况报告如下：</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一、部门基本情况</w:t>
      </w:r>
      <w:bookmarkStart w:id="0" w:name="_GoBack"/>
      <w:bookmarkEnd w:id="0"/>
    </w:p>
    <w:p>
      <w:pPr>
        <w:keepNext w:val="0"/>
        <w:keepLines w:val="0"/>
        <w:widowControl/>
        <w:suppressLineNumbers w:val="0"/>
        <w:shd w:val="clear" w:fill="FFFFFF"/>
        <w:spacing w:before="0" w:beforeAutospacing="0" w:after="0" w:afterAutospacing="0" w:line="600" w:lineRule="exact"/>
        <w:ind w:left="0" w:right="0" w:firstLine="640" w:firstLineChars="200"/>
        <w:jc w:val="both"/>
        <w:rPr>
          <w:rFonts w:hint="eastAsia" w:ascii="楷体_GB2312" w:hAnsi="楷体_GB2312" w:eastAsia="楷体_GB2312" w:cs="楷体_GB2312"/>
          <w:sz w:val="32"/>
          <w:szCs w:val="32"/>
          <w:shd w:val="clear" w:fill="FFFFFF"/>
          <w:lang w:val="en-US"/>
        </w:rPr>
      </w:pPr>
      <w:r>
        <w:rPr>
          <w:rFonts w:hint="eastAsia" w:ascii="楷体_GB2312" w:hAnsi="楷体_GB2312" w:eastAsia="楷体_GB2312" w:cs="楷体_GB2312"/>
          <w:kern w:val="2"/>
          <w:sz w:val="32"/>
          <w:szCs w:val="32"/>
          <w:shd w:val="clear" w:fill="FFFFFF"/>
          <w:lang w:val="en-US" w:eastAsia="zh-CN" w:bidi="ar"/>
        </w:rPr>
        <w:t>（一）机构设置</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2023年度，赫山区委办公室内设秘书室、政研室、综调室、财务室、信息中心、法规室、机要保密局、总值班室、督查室、档案管理股、区委全面深化委员会办公室秘书室、国家密码管理局、区委外事工作委员会办公室秘书室。</w:t>
      </w:r>
    </w:p>
    <w:p>
      <w:pPr>
        <w:keepNext w:val="0"/>
        <w:keepLines w:val="0"/>
        <w:widowControl/>
        <w:suppressLineNumbers w:val="0"/>
        <w:shd w:val="clear" w:fill="FFFFFF"/>
        <w:spacing w:before="0" w:beforeAutospacing="0" w:after="0" w:afterAutospacing="0" w:line="600" w:lineRule="exact"/>
        <w:ind w:left="0" w:right="0" w:firstLine="640" w:firstLineChars="200"/>
        <w:jc w:val="both"/>
        <w:rPr>
          <w:rFonts w:hint="eastAsia" w:ascii="楷体_GB2312" w:hAnsi="楷体_GB2312" w:eastAsia="楷体_GB2312" w:cs="楷体_GB2312"/>
          <w:sz w:val="32"/>
          <w:szCs w:val="32"/>
          <w:shd w:val="clear" w:fill="FFFFFF"/>
          <w:lang w:val="en-US"/>
        </w:rPr>
      </w:pPr>
      <w:r>
        <w:rPr>
          <w:rFonts w:hint="eastAsia" w:ascii="楷体_GB2312" w:hAnsi="楷体_GB2312" w:eastAsia="楷体_GB2312" w:cs="楷体_GB2312"/>
          <w:kern w:val="2"/>
          <w:sz w:val="32"/>
          <w:szCs w:val="32"/>
          <w:shd w:val="clear" w:fill="FFFFFF"/>
          <w:lang w:val="en-US" w:eastAsia="zh-CN" w:bidi="ar"/>
        </w:rPr>
        <w:t>（二）人员编制情况：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赫山区委办系一级预算管理的行政单位，机构编制管理部门核定编制人数为行政编制35名，事业编制2名。现有行政编制人员30人，事业编制3人，劳务派遣人员1人。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二、一般公共预算支出情况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2023年一般公共预算财政拨款收入598.42万元，具体安排情况如下：</w:t>
      </w:r>
    </w:p>
    <w:p>
      <w:pPr>
        <w:keepNext w:val="0"/>
        <w:keepLines w:val="0"/>
        <w:widowControl/>
        <w:suppressLineNumbers w:val="0"/>
        <w:spacing w:before="0" w:beforeAutospacing="0" w:after="0" w:afterAutospacing="0" w:line="600" w:lineRule="exact"/>
        <w:ind w:left="0" w:right="0" w:firstLine="640" w:firstLineChars="200"/>
        <w:jc w:val="both"/>
        <w:rPr>
          <w:rFonts w:hint="eastAsia" w:ascii="仿宋" w:hAnsi="仿宋" w:eastAsia="仿宋" w:cs="仿宋"/>
          <w:sz w:val="32"/>
          <w:szCs w:val="32"/>
          <w:lang w:val="en-US"/>
        </w:rPr>
      </w:pPr>
      <w:r>
        <w:rPr>
          <w:rFonts w:hint="eastAsia" w:ascii="楷体_GB2312" w:hAnsi="楷体_GB2312" w:eastAsia="楷体_GB2312" w:cs="楷体_GB2312"/>
          <w:kern w:val="2"/>
          <w:sz w:val="32"/>
          <w:szCs w:val="32"/>
          <w:lang w:val="en-US" w:eastAsia="zh-CN" w:bidi="ar"/>
        </w:rPr>
        <w:t>（一）基本支出：</w:t>
      </w:r>
      <w:r>
        <w:rPr>
          <w:rFonts w:hint="eastAsia" w:ascii="仿宋_GB2312" w:hAnsi="仿宋_GB2312" w:eastAsia="仿宋_GB2312" w:cs="仿宋_GB2312"/>
          <w:kern w:val="2"/>
          <w:sz w:val="32"/>
          <w:szCs w:val="32"/>
          <w:lang w:val="en-US" w:eastAsia="zh-CN" w:bidi="ar"/>
        </w:rPr>
        <w:t>2023年年初预算数为504.58万元，主要用于基本工资、津贴补贴等人员经费以及办公费、印刷费、水电费、办公设备购置等日常公用经费。</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kern w:val="2"/>
          <w:sz w:val="32"/>
          <w:szCs w:val="32"/>
          <w:lang w:val="en-US" w:eastAsia="zh-CN" w:bidi="ar"/>
        </w:rPr>
        <w:t>（二）项目支出：</w:t>
      </w:r>
      <w:r>
        <w:rPr>
          <w:rFonts w:hint="eastAsia" w:ascii="仿宋_GB2312" w:hAnsi="仿宋_GB2312" w:eastAsia="仿宋_GB2312" w:cs="仿宋_GB2312"/>
          <w:kern w:val="2"/>
          <w:sz w:val="32"/>
          <w:szCs w:val="32"/>
          <w:lang w:val="en-US" w:eastAsia="zh-CN" w:bidi="ar"/>
        </w:rPr>
        <w:t>2023年年初预算数为93.84万元，其中机要经费8万元，用于机要工作日常开支；文印费经费20万元，用于办公室的日常文件印刷；值班电话费6万元，用于办公室日常电话通讯；党史联络经费5万元，用于党史编制工作；机要联网经费1万元，用于机要工作的网络维护；信息维护经费2万元，用于信息中心的系统维护；综合调研经费5万元，用于办公室的调研工作；临时工工资3万元，用于支付劳务派遣人员工资；密码人员经费2.16万元，用于支付密码人员岗位津贴；常委会议室经费10万元，用于常委会议的会议开支；区委网络费8.5万元，用于办公室的网络维护等；赫山通讯经费3万元，用于赫山通讯工作；机要岗位补贴7.68万元，用于支付机要人员的岗位津贴；党建经费2万元，用于办公室的日常党建工作；财经委员会经费5万元，用于办公室财经委员会的日常工作；外事经费0.5万元，用于外事工作；对台经费5万元，用于对台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三、政府性基金预算支出情况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2023年本单位无政府性基金预算支出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四、国有资本经营预算支出情况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2023年本单位无国有资本经营预算支出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五、社会保险基金预算支出情况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2023年本单位无社会保险经营预算支出。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六、部门整体支出绩效情况</w:t>
      </w:r>
    </w:p>
    <w:p>
      <w:pPr>
        <w:keepNext w:val="0"/>
        <w:keepLines w:val="0"/>
        <w:widowControl/>
        <w:suppressLineNumbers w:val="0"/>
        <w:shd w:val="clear" w:fill="FFFFFF"/>
        <w:spacing w:before="0" w:beforeAutospacing="0" w:after="0" w:afterAutospacing="0" w:line="600" w:lineRule="exact"/>
        <w:ind w:left="0" w:right="0" w:firstLine="640" w:firstLineChars="200"/>
        <w:jc w:val="both"/>
        <w:rPr>
          <w:rFonts w:hint="eastAsia" w:ascii="楷体_GB2312" w:hAnsi="楷体_GB2312" w:eastAsia="楷体_GB2312" w:cs="楷体_GB2312"/>
          <w:sz w:val="32"/>
          <w:szCs w:val="32"/>
          <w:shd w:val="clear" w:fill="FFFFFF"/>
          <w:lang w:val="en-US"/>
        </w:rPr>
      </w:pPr>
      <w:r>
        <w:rPr>
          <w:rFonts w:hint="eastAsia" w:ascii="楷体_GB2312" w:hAnsi="楷体_GB2312" w:eastAsia="楷体_GB2312" w:cs="楷体_GB2312"/>
          <w:kern w:val="2"/>
          <w:sz w:val="32"/>
          <w:szCs w:val="32"/>
          <w:shd w:val="clear" w:fill="FFFFFF"/>
          <w:lang w:val="en-US" w:eastAsia="zh-CN" w:bidi="ar"/>
        </w:rPr>
        <w:t>（一）预算绩效目标情况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预决算公开：根据区财政局的统一部署及相关要求，我办已在赫山信息网站上进行了预（决）算公开。</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存量资金管理：我办已实行国库集中支付管理。</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制定了《中共益阳市赫山区办公室资产管理制度》，建立了固定资产台帐，指定专人管理，及时登记，科学使用，实现了“一物一卡一条码”。固定资产的调出、处置、报废、报损严格执行国家有关规定的审批程序办理。</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“三公”经费控制：严格执行上级有关文件精神，加强“三公经费”管理，出台机关公务接待管理办法、公车管理办法，严控“三公经费”开支。</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内部控制制度建设：进一步健全内部控制制度，出台了《机关财务管理制度》、《机关公务接待管理制度》、《机关公务用车管理制度》、《机关固定资产管理制度》及日常公用经费报销细则等，并得到有效执行。</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绩效目标完成情况：1、坚持党的领导，把牢政治方向。2、调整体制机构，巩固改革成果。3、优化编制管理，服务发展大局。4、加强监督检查，强化刚性约束。5、规范事登管理，优化服务流程。6、对标对表要求，确保整改实效。7、加强自身建设，提高队伍素质。</w:t>
      </w:r>
    </w:p>
    <w:p>
      <w:pPr>
        <w:keepNext w:val="0"/>
        <w:keepLines w:val="0"/>
        <w:widowControl/>
        <w:suppressLineNumbers w:val="0"/>
        <w:shd w:val="clear" w:fill="FFFFFF"/>
        <w:spacing w:before="0" w:beforeAutospacing="0" w:after="0" w:afterAutospacing="0" w:line="600" w:lineRule="exact"/>
        <w:ind w:left="0" w:right="0" w:firstLine="640" w:firstLineChars="200"/>
        <w:jc w:val="both"/>
        <w:rPr>
          <w:rFonts w:hint="eastAsia" w:ascii="楷体_GB2312" w:hAnsi="楷体_GB2312" w:eastAsia="楷体_GB2312" w:cs="楷体_GB2312"/>
          <w:sz w:val="32"/>
          <w:szCs w:val="32"/>
          <w:shd w:val="clear" w:fill="FFFFFF"/>
          <w:lang w:val="en-US"/>
        </w:rPr>
      </w:pPr>
      <w:r>
        <w:rPr>
          <w:rFonts w:hint="eastAsia" w:ascii="楷体_GB2312" w:hAnsi="楷体_GB2312" w:eastAsia="楷体_GB2312" w:cs="楷体_GB2312"/>
          <w:kern w:val="2"/>
          <w:sz w:val="32"/>
          <w:szCs w:val="32"/>
          <w:shd w:val="clear" w:fill="FFFFFF"/>
          <w:lang w:val="en-US" w:eastAsia="zh-CN" w:bidi="ar"/>
        </w:rPr>
        <w:t>（三）部门整体支出实施情况分析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我办在部门整体支出中，严格按照年初预算安排，坚持“无预算，不支出；有预算，严格按预算支出”的原则，以及“细化预算和提前编制预算”原则，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使用效益。</w:t>
      </w:r>
    </w:p>
    <w:p>
      <w:pPr>
        <w:keepNext w:val="0"/>
        <w:keepLines w:val="0"/>
        <w:widowControl/>
        <w:suppressLineNumbers w:val="0"/>
        <w:shd w:val="clear" w:fill="FFFFFF"/>
        <w:spacing w:before="0" w:beforeAutospacing="0" w:after="0" w:afterAutospacing="0" w:line="600" w:lineRule="exact"/>
        <w:ind w:left="0" w:right="0" w:firstLine="640" w:firstLineChars="200"/>
        <w:jc w:val="both"/>
        <w:rPr>
          <w:rFonts w:hint="eastAsia" w:ascii="楷体_GB2312" w:hAnsi="楷体_GB2312" w:eastAsia="楷体_GB2312" w:cs="楷体_GB2312"/>
          <w:sz w:val="32"/>
          <w:szCs w:val="32"/>
          <w:shd w:val="clear" w:fill="FFFFFF"/>
          <w:lang w:val="en-US"/>
        </w:rPr>
      </w:pPr>
      <w:r>
        <w:rPr>
          <w:rFonts w:hint="eastAsia" w:ascii="楷体_GB2312" w:hAnsi="楷体_GB2312" w:eastAsia="楷体_GB2312" w:cs="楷体_GB2312"/>
          <w:kern w:val="2"/>
          <w:sz w:val="32"/>
          <w:szCs w:val="32"/>
          <w:shd w:val="clear" w:fill="FFFFFF"/>
          <w:lang w:val="en-US" w:eastAsia="zh-CN" w:bidi="ar"/>
        </w:rPr>
        <w:t>（四）绩效评价工作情况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lang w:val="en-US" w:eastAsia="zh-CN" w:bidi="ar"/>
        </w:rPr>
        <w:t>1.绩效评价目的</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本次绩效评价的目的是为了全面分析和综合评价我办本级财政预算资金的使用管理情况，为切实提高财政资金使用效益，强化预算支出的责任和效率提供参考依据。</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lang w:val="en-US" w:eastAsia="zh-CN" w:bidi="ar"/>
        </w:rPr>
        <w:t>2.绩效评价工作过程</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（1）前期准备。按照绩效自评工作要求，成立以区委办常务副主任组长的绩效评价工作小组，对相关的国家法律法规进行了认真学习，掌握政策，根据部门整体收支情况制定了部门整体支出绩效评价实施方案。</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（2）组织实施。采用核查法核查2023年同级财政预算批复执行及部门整体支出情况，着重核查了“三公”经费及资产管理、内部控制制度等情况。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（3）分析评价。对评价过程中收集资料进行归纳，汇总分析，依据设定的部门整体支出绩效评价指标体系进行了评分，形成了综合性书面报告。</w:t>
      </w:r>
    </w:p>
    <w:p>
      <w:pPr>
        <w:keepNext w:val="0"/>
        <w:keepLines w:val="0"/>
        <w:widowControl/>
        <w:suppressLineNumbers w:val="0"/>
        <w:shd w:val="clear" w:fill="FFFFFF"/>
        <w:spacing w:before="0" w:beforeAutospacing="0" w:after="0" w:afterAutospacing="0" w:line="600" w:lineRule="exact"/>
        <w:ind w:left="0" w:right="0" w:firstLine="640" w:firstLineChars="200"/>
        <w:jc w:val="both"/>
        <w:rPr>
          <w:rFonts w:hint="eastAsia" w:ascii="楷体_GB2312" w:hAnsi="楷体_GB2312" w:eastAsia="楷体_GB2312" w:cs="楷体_GB2312"/>
          <w:sz w:val="32"/>
          <w:szCs w:val="32"/>
          <w:shd w:val="clear" w:fill="FFFFFF"/>
          <w:lang w:val="en-US"/>
        </w:rPr>
      </w:pPr>
      <w:r>
        <w:rPr>
          <w:rFonts w:hint="eastAsia" w:ascii="楷体_GB2312" w:hAnsi="楷体_GB2312" w:eastAsia="楷体_GB2312" w:cs="楷体_GB2312"/>
          <w:kern w:val="2"/>
          <w:sz w:val="32"/>
          <w:szCs w:val="32"/>
          <w:shd w:val="clear" w:fill="FFFFFF"/>
          <w:lang w:val="en-US" w:eastAsia="zh-CN" w:bidi="ar"/>
        </w:rPr>
        <w:t>（五）主要绩效及评价结论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lang w:val="en-US" w:eastAsia="zh-CN" w:bidi="ar"/>
        </w:rPr>
        <w:t>1.经济性分析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（1）本年预算配置控制较好。财政供养人员控制在预算编制以内，编制内在职人员控制率为100%；“三公”经费支出总额小，低于年初预算。</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（2）预算执行方面。支出总额控制在预算总额以内，所有支出严格依照相关财务管理规定执行，特别重视量财办事、量力而行，严格控制标准、注重节约，少花钱办好事，各项支出都在合理范围内。</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（3）预算管理方面。我办制定了切实有效的内部管理制度和经费支出控制方案，有较强的内控风险管理意识、各项经费支出得到了有效控制。</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lang w:val="en-US" w:eastAsia="zh-CN" w:bidi="ar"/>
        </w:rPr>
        <w:t>2.效率性分析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2023年，在区委、区政府的正确领导和市委编办的精心指导下，赫山区委办公室以坚持习近平新时代中国特色社会主义思想为指导，认真落实省市编委、编办各项工作部署，守正创新、主动作为，自觉将机构编制工作融入赫山高质量发展新征程。</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lang w:val="en-US" w:eastAsia="zh-CN" w:bidi="ar"/>
        </w:rPr>
        <w:t>3.评价结论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一是预算执行到位。严格执行《预算法》和各项财经纪律，机关管理制度健全，财务管理规范，预算编制合理;二是资金监管到位。</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七、存在的问题及原因分析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因部分工作不可预见性，有些支出无法纳入预算，导致预算执行存在偏差。</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八、下一步改进措施</w:t>
      </w:r>
    </w:p>
    <w:p>
      <w:pPr>
        <w:keepNext w:val="0"/>
        <w:keepLines w:val="0"/>
        <w:widowControl/>
        <w:suppressLineNumbers w:val="0"/>
        <w:shd w:val="clear" w:fill="FFFFFF"/>
        <w:spacing w:before="0" w:beforeAutospacing="0" w:after="0" w:afterAutospacing="0" w:line="600" w:lineRule="exact"/>
        <w:ind w:left="0" w:right="0" w:firstLine="640" w:firstLineChars="200"/>
        <w:jc w:val="both"/>
        <w:rPr>
          <w:rFonts w:hint="eastAsia" w:ascii="楷体_GB2312" w:hAnsi="楷体_GB2312" w:eastAsia="楷体_GB2312" w:cs="楷体_GB2312"/>
          <w:sz w:val="32"/>
          <w:szCs w:val="32"/>
          <w:shd w:val="clear" w:fill="FFFFFF"/>
          <w:lang w:val="en-US"/>
        </w:rPr>
      </w:pPr>
      <w:r>
        <w:rPr>
          <w:rFonts w:hint="eastAsia" w:ascii="楷体_GB2312" w:hAnsi="楷体_GB2312" w:eastAsia="楷体_GB2312" w:cs="楷体_GB2312"/>
          <w:kern w:val="2"/>
          <w:sz w:val="32"/>
          <w:szCs w:val="32"/>
          <w:shd w:val="clear" w:fill="FFFFFF"/>
          <w:lang w:val="en-US" w:eastAsia="zh-CN" w:bidi="ar"/>
        </w:rPr>
        <w:t>（一）提高认识，突出重点</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1.提高对预算绩效管理的认识，充分理解财政绩效评价指标体系，注重绩效目标、评价指标的关联性，依据部门职责和年度工作重点，更加科学合理地确定部门绩效目标和评价目标。</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强化全过程预算绩效管理理念，强化部门项目选择与部门职责的相关性。按财政管理要求进一步建立完善项目库和内部项目选择机制，完善项目管理制度，实施项目事加强领导重视，合理设定绩效目标，强化管理措施，科学编制预算,认真组织绩效考评。</w:t>
      </w:r>
    </w:p>
    <w:p>
      <w:pPr>
        <w:keepNext w:val="0"/>
        <w:keepLines w:val="0"/>
        <w:widowControl/>
        <w:suppressLineNumbers w:val="0"/>
        <w:shd w:val="clear" w:fill="FFFFFF"/>
        <w:spacing w:before="0" w:beforeAutospacing="0" w:after="0" w:afterAutospacing="0" w:line="600" w:lineRule="exact"/>
        <w:ind w:left="0" w:right="0" w:firstLine="640" w:firstLineChars="200"/>
        <w:jc w:val="both"/>
        <w:rPr>
          <w:rFonts w:hint="eastAsia" w:ascii="楷体_GB2312" w:hAnsi="楷体_GB2312" w:eastAsia="楷体_GB2312" w:cs="楷体_GB2312"/>
          <w:sz w:val="32"/>
          <w:szCs w:val="32"/>
          <w:shd w:val="clear" w:fill="FFFFFF"/>
          <w:lang w:val="en-US"/>
        </w:rPr>
      </w:pPr>
      <w:r>
        <w:rPr>
          <w:rFonts w:hint="eastAsia" w:ascii="楷体_GB2312" w:hAnsi="楷体_GB2312" w:eastAsia="楷体_GB2312" w:cs="楷体_GB2312"/>
          <w:kern w:val="2"/>
          <w:sz w:val="32"/>
          <w:szCs w:val="32"/>
          <w:shd w:val="clear" w:fill="FFFFFF"/>
          <w:lang w:val="en-US" w:eastAsia="zh-CN" w:bidi="ar"/>
        </w:rPr>
        <w:t>（二）强化管理，规范行为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1.强化部门预算约束，细化预算编制，严格预算执行，合理制定项目方案和计划，减少预算执行中的项目预算调整和结余，平衡好预算执行进度，提高财政资金使用效率和效益。</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2.加强预算项目事前、事中、事后管控，做到事前有评估、事中有监控、事后有评价，并且按预期绩效目标完成程度考核项目实施效果。</w:t>
      </w:r>
    </w:p>
    <w:p>
      <w:pPr>
        <w:keepNext w:val="0"/>
        <w:keepLines w:val="0"/>
        <w:widowControl/>
        <w:suppressLineNumbers w:val="0"/>
        <w:shd w:val="clear" w:fill="FFFFFF"/>
        <w:spacing w:before="0" w:beforeAutospacing="0" w:after="0" w:afterAutospacing="0" w:line="600" w:lineRule="exact"/>
        <w:ind w:left="0" w:right="0" w:firstLine="640" w:firstLineChars="200"/>
        <w:jc w:val="both"/>
        <w:rPr>
          <w:rFonts w:hint="eastAsia" w:ascii="楷体_GB2312" w:hAnsi="楷体_GB2312" w:eastAsia="楷体_GB2312" w:cs="楷体_GB2312"/>
          <w:sz w:val="32"/>
          <w:szCs w:val="32"/>
          <w:shd w:val="clear" w:fill="FFFFFF"/>
          <w:lang w:val="en-US"/>
        </w:rPr>
      </w:pPr>
      <w:r>
        <w:rPr>
          <w:rFonts w:hint="eastAsia" w:ascii="楷体_GB2312" w:hAnsi="楷体_GB2312" w:eastAsia="楷体_GB2312" w:cs="楷体_GB2312"/>
          <w:kern w:val="2"/>
          <w:sz w:val="32"/>
          <w:szCs w:val="32"/>
          <w:shd w:val="clear" w:fill="FFFFFF"/>
          <w:lang w:val="en-US" w:eastAsia="zh-CN" w:bidi="ar"/>
        </w:rPr>
        <w:t>（三）科学考核，注重实效</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1.建立科学合理的项目预算效果考核机制，依据预设的绩效数量、质量指标全面衡量预算实施效果，既重“绩”，更重“效”。</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2.注重服务对象满意度调查工作，根据部门职责明确服务对象、确定调查范围，采取适当方式全面收集服务对象满意度资料，反映部门服务效果。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3.注重考核的全面性和客观性，对预设指标之外的项目效果同样纳入考核评价报告。</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总之，部门整体绩效考评是一项系统性、全局性的工作，需要领导重视，全员参与，科学考核，注重实效。只有这样，才能不断增强绩效考评的客观性和科学性，切实促进财政资金科学管理和实际绩效水平不断提高。</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九、其他需要说明的情况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p>
    <w:p>
      <w:pPr>
        <w:pStyle w:val="8"/>
        <w:widowControl/>
        <w:ind w:left="0" w:firstLine="640" w:firstLineChars="200"/>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rPr>
        <w:t>2023</w:t>
      </w:r>
      <w:r>
        <w:rPr>
          <w:rFonts w:hint="eastAsia" w:ascii="仿宋_GB2312" w:hAnsi="仿宋_GB2312" w:eastAsia="仿宋_GB2312" w:cs="仿宋_GB2312"/>
          <w:sz w:val="32"/>
          <w:szCs w:val="32"/>
          <w:lang w:eastAsia="zh-CN"/>
        </w:rPr>
        <w:t>年度部门整体支出绩效自评指标计分表</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600" w:lineRule="exact"/>
        <w:ind w:left="0" w:right="0" w:firstLine="4000" w:firstLineChars="1250"/>
        <w:jc w:val="center"/>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中共益阳市赫山区委办公室</w:t>
      </w:r>
    </w:p>
    <w:p>
      <w:pPr>
        <w:keepNext w:val="0"/>
        <w:keepLines w:val="0"/>
        <w:widowControl w:val="0"/>
        <w:suppressLineNumbers w:val="0"/>
        <w:spacing w:before="0" w:beforeAutospacing="0" w:after="0" w:afterAutospacing="0" w:line="600" w:lineRule="exact"/>
        <w:ind w:left="0" w:right="0" w:firstLine="4000" w:firstLineChars="1250"/>
        <w:jc w:val="center"/>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2024年6月25日</w:t>
      </w:r>
    </w:p>
    <w:p>
      <w:pPr>
        <w:keepNext w:val="0"/>
        <w:keepLines w:val="0"/>
        <w:widowControl w:val="0"/>
        <w:suppressLineNumbers w:val="0"/>
        <w:spacing w:before="0" w:beforeAutospacing="0" w:after="0" w:afterAutospacing="0" w:line="576" w:lineRule="exact"/>
        <w:ind w:left="0" w:right="0"/>
        <w:jc w:val="both"/>
        <w:rPr>
          <w:rFonts w:hint="eastAsia" w:ascii="黑体" w:hAnsi="宋体" w:eastAsia="黑体" w:cs="黑体"/>
          <w:sz w:val="32"/>
          <w:szCs w:val="32"/>
          <w:lang w:val="en-US"/>
        </w:rPr>
      </w:pPr>
      <w:r>
        <w:rPr>
          <w:rFonts w:hint="eastAsia" w:ascii="仿宋_GB2312" w:hAnsi="仿宋_GB2312" w:eastAsia="仿宋_GB2312" w:cs="仿宋_GB2312"/>
          <w:kern w:val="2"/>
          <w:sz w:val="32"/>
          <w:szCs w:val="32"/>
          <w:lang w:val="en-US" w:eastAsia="zh-CN" w:bidi="ar"/>
        </w:rPr>
        <w:br w:type="page"/>
      </w:r>
      <w:r>
        <w:rPr>
          <w:rFonts w:hint="eastAsia" w:ascii="黑体" w:hAnsi="宋体" w:eastAsia="黑体" w:cs="黑体"/>
          <w:kern w:val="2"/>
          <w:sz w:val="32"/>
          <w:szCs w:val="32"/>
          <w:lang w:val="en-US" w:eastAsia="zh-CN" w:bidi="ar"/>
        </w:rPr>
        <w:t>附件</w:t>
      </w:r>
    </w:p>
    <w:p>
      <w:pPr>
        <w:keepNext w:val="0"/>
        <w:keepLines w:val="0"/>
        <w:widowControl w:val="0"/>
        <w:suppressLineNumbers w:val="0"/>
        <w:spacing w:before="0" w:beforeAutospacing="0" w:after="0" w:afterAutospacing="0" w:line="576" w:lineRule="exact"/>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2023年度部门整体支出绩效自评指标计分表</w:t>
      </w:r>
    </w:p>
    <w:p>
      <w:pPr>
        <w:keepNext w:val="0"/>
        <w:keepLines w:val="0"/>
        <w:widowControl w:val="0"/>
        <w:suppressLineNumbers w:val="0"/>
        <w:spacing w:before="156" w:beforeLines="50" w:beforeAutospacing="0" w:after="156" w:afterLines="50" w:afterAutospacing="0" w:line="360" w:lineRule="exact"/>
        <w:ind w:left="0" w:right="0"/>
        <w:jc w:val="center"/>
        <w:rPr>
          <w:rFonts w:hint="eastAsia" w:ascii="楷体_GB2312" w:hAnsi="楷体_GB2312" w:eastAsia="楷体_GB2312" w:cs="楷体_GB2312"/>
          <w:sz w:val="24"/>
          <w:szCs w:val="24"/>
          <w:lang w:val="en-US"/>
        </w:rPr>
      </w:pPr>
      <w:r>
        <w:rPr>
          <w:rFonts w:hint="eastAsia" w:ascii="楷体_GB2312" w:hAnsi="楷体_GB2312" w:eastAsia="楷体_GB2312" w:cs="楷体_GB2312"/>
          <w:b/>
          <w:bCs/>
          <w:kern w:val="2"/>
          <w:sz w:val="24"/>
          <w:szCs w:val="24"/>
          <w:lang w:val="en-US" w:eastAsia="zh-CN" w:bidi="ar"/>
        </w:rPr>
        <w:t>单位：赫山区委办公室自评分：96分</w:t>
      </w:r>
    </w:p>
    <w:tbl>
      <w:tblPr>
        <w:tblStyle w:val="9"/>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84"/>
        <w:gridCol w:w="776"/>
        <w:gridCol w:w="703"/>
        <w:gridCol w:w="446"/>
        <w:gridCol w:w="2606"/>
        <w:gridCol w:w="3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blHeader/>
          <w:jc w:val="center"/>
        </w:trPr>
        <w:tc>
          <w:tcPr>
            <w:tcW w:w="6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center"/>
              <w:rPr>
                <w:rFonts w:hint="eastAsia" w:ascii="黑体" w:hAnsi="宋体" w:eastAsia="黑体" w:cs="黑体"/>
                <w:bCs/>
                <w:spacing w:val="-6"/>
                <w:sz w:val="20"/>
                <w:szCs w:val="20"/>
                <w:lang w:val="en-US"/>
              </w:rPr>
            </w:pPr>
            <w:r>
              <w:rPr>
                <w:rFonts w:hint="eastAsia" w:ascii="黑体" w:hAnsi="宋体" w:eastAsia="黑体" w:cs="黑体"/>
                <w:bCs/>
                <w:spacing w:val="-6"/>
                <w:kern w:val="2"/>
                <w:sz w:val="20"/>
                <w:szCs w:val="20"/>
                <w:lang w:val="en-US" w:eastAsia="zh-CN" w:bidi="ar"/>
              </w:rPr>
              <w:t>一级</w:t>
            </w:r>
          </w:p>
          <w:p>
            <w:pPr>
              <w:keepNext w:val="0"/>
              <w:keepLines w:val="0"/>
              <w:widowControl w:val="0"/>
              <w:suppressLineNumbers w:val="0"/>
              <w:spacing w:before="0" w:beforeAutospacing="0" w:after="0" w:afterAutospacing="0" w:line="280" w:lineRule="exact"/>
              <w:ind w:left="-42" w:leftChars="-20" w:right="-42" w:rightChars="-20"/>
              <w:jc w:val="center"/>
              <w:rPr>
                <w:rFonts w:hint="eastAsia" w:ascii="黑体" w:hAnsi="宋体" w:eastAsia="黑体" w:cs="黑体"/>
                <w:bCs/>
                <w:spacing w:val="-6"/>
                <w:sz w:val="20"/>
                <w:szCs w:val="20"/>
                <w:lang w:val="en-US"/>
              </w:rPr>
            </w:pPr>
            <w:r>
              <w:rPr>
                <w:rFonts w:hint="eastAsia" w:ascii="黑体" w:hAnsi="宋体" w:eastAsia="黑体" w:cs="黑体"/>
                <w:bCs/>
                <w:spacing w:val="-6"/>
                <w:kern w:val="2"/>
                <w:sz w:val="20"/>
                <w:szCs w:val="20"/>
                <w:lang w:val="en-US" w:eastAsia="zh-CN" w:bidi="ar"/>
              </w:rPr>
              <w:t>指标</w:t>
            </w:r>
          </w:p>
        </w:tc>
        <w:tc>
          <w:tcPr>
            <w:tcW w:w="77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黑体" w:hAnsi="宋体" w:eastAsia="黑体" w:cs="黑体"/>
                <w:bCs/>
                <w:sz w:val="20"/>
                <w:szCs w:val="20"/>
                <w:lang w:val="en-US"/>
              </w:rPr>
            </w:pPr>
            <w:r>
              <w:rPr>
                <w:rFonts w:hint="eastAsia" w:ascii="黑体" w:hAnsi="宋体" w:eastAsia="黑体" w:cs="黑体"/>
                <w:bCs/>
                <w:kern w:val="2"/>
                <w:sz w:val="20"/>
                <w:szCs w:val="20"/>
                <w:lang w:val="en-US" w:eastAsia="zh-CN" w:bidi="ar"/>
              </w:rPr>
              <w:t>二级</w:t>
            </w:r>
          </w:p>
          <w:p>
            <w:pPr>
              <w:keepNext w:val="0"/>
              <w:keepLines w:val="0"/>
              <w:widowControl w:val="0"/>
              <w:suppressLineNumbers w:val="0"/>
              <w:spacing w:before="0" w:beforeAutospacing="0" w:after="0" w:afterAutospacing="0" w:line="280" w:lineRule="exact"/>
              <w:ind w:left="0" w:right="0"/>
              <w:jc w:val="center"/>
              <w:rPr>
                <w:rFonts w:hint="eastAsia" w:ascii="黑体" w:hAnsi="宋体" w:eastAsia="黑体" w:cs="黑体"/>
                <w:bCs/>
                <w:sz w:val="20"/>
                <w:szCs w:val="20"/>
                <w:lang w:val="en-US"/>
              </w:rPr>
            </w:pPr>
            <w:r>
              <w:rPr>
                <w:rFonts w:hint="eastAsia" w:ascii="黑体" w:hAnsi="宋体" w:eastAsia="黑体" w:cs="黑体"/>
                <w:bCs/>
                <w:kern w:val="2"/>
                <w:sz w:val="20"/>
                <w:szCs w:val="20"/>
                <w:lang w:val="en-US" w:eastAsia="zh-CN" w:bidi="ar"/>
              </w:rPr>
              <w:t>指标</w:t>
            </w: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黑体" w:hAnsi="宋体" w:eastAsia="黑体" w:cs="黑体"/>
                <w:bCs/>
                <w:sz w:val="20"/>
                <w:szCs w:val="20"/>
                <w:lang w:val="en-US"/>
              </w:rPr>
            </w:pPr>
            <w:r>
              <w:rPr>
                <w:rFonts w:hint="eastAsia" w:ascii="黑体" w:hAnsi="宋体" w:eastAsia="黑体" w:cs="黑体"/>
                <w:bCs/>
                <w:kern w:val="2"/>
                <w:sz w:val="20"/>
                <w:szCs w:val="20"/>
                <w:lang w:val="en-US" w:eastAsia="zh-CN" w:bidi="ar"/>
              </w:rPr>
              <w:t>三级</w:t>
            </w:r>
          </w:p>
          <w:p>
            <w:pPr>
              <w:keepNext w:val="0"/>
              <w:keepLines w:val="0"/>
              <w:widowControl w:val="0"/>
              <w:suppressLineNumbers w:val="0"/>
              <w:spacing w:before="0" w:beforeAutospacing="0" w:after="0" w:afterAutospacing="0" w:line="280" w:lineRule="exact"/>
              <w:ind w:left="0" w:right="0"/>
              <w:jc w:val="center"/>
              <w:rPr>
                <w:rFonts w:hint="eastAsia" w:ascii="黑体" w:hAnsi="宋体" w:eastAsia="黑体" w:cs="黑体"/>
                <w:bCs/>
                <w:sz w:val="20"/>
                <w:szCs w:val="20"/>
                <w:lang w:val="en-US"/>
              </w:rPr>
            </w:pPr>
            <w:r>
              <w:rPr>
                <w:rFonts w:hint="eastAsia" w:ascii="黑体" w:hAnsi="宋体" w:eastAsia="黑体" w:cs="黑体"/>
                <w:bCs/>
                <w:kern w:val="2"/>
                <w:sz w:val="20"/>
                <w:szCs w:val="20"/>
                <w:lang w:val="en-US" w:eastAsia="zh-CN" w:bidi="ar"/>
              </w:rPr>
              <w:t>指标</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黑体" w:hAnsi="宋体" w:eastAsia="黑体" w:cs="黑体"/>
                <w:bCs/>
                <w:sz w:val="20"/>
                <w:szCs w:val="20"/>
                <w:lang w:val="en-US"/>
              </w:rPr>
            </w:pPr>
            <w:r>
              <w:rPr>
                <w:rFonts w:hint="eastAsia" w:ascii="黑体" w:hAnsi="宋体" w:eastAsia="黑体" w:cs="黑体"/>
                <w:bCs/>
                <w:kern w:val="2"/>
                <w:sz w:val="20"/>
                <w:szCs w:val="20"/>
                <w:lang w:val="en-US" w:eastAsia="zh-CN" w:bidi="ar"/>
              </w:rPr>
              <w:t>自评分</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center"/>
              <w:rPr>
                <w:rFonts w:hint="eastAsia" w:ascii="黑体" w:hAnsi="宋体" w:eastAsia="黑体" w:cs="黑体"/>
                <w:bCs/>
                <w:sz w:val="20"/>
                <w:szCs w:val="20"/>
                <w:lang w:val="en-US"/>
              </w:rPr>
            </w:pPr>
            <w:r>
              <w:rPr>
                <w:rFonts w:hint="eastAsia" w:ascii="黑体" w:hAnsi="宋体" w:eastAsia="黑体" w:cs="黑体"/>
                <w:bCs/>
                <w:kern w:val="2"/>
                <w:sz w:val="20"/>
                <w:szCs w:val="20"/>
                <w:lang w:val="en-US" w:eastAsia="zh-CN" w:bidi="ar"/>
              </w:rPr>
              <w:t>指标解释</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center"/>
              <w:rPr>
                <w:rFonts w:hint="eastAsia" w:ascii="黑体" w:hAnsi="宋体" w:eastAsia="黑体" w:cs="黑体"/>
                <w:bCs/>
                <w:sz w:val="20"/>
                <w:szCs w:val="20"/>
                <w:lang w:val="en-US"/>
              </w:rPr>
            </w:pPr>
            <w:r>
              <w:rPr>
                <w:rFonts w:hint="eastAsia" w:ascii="黑体" w:hAnsi="宋体" w:eastAsia="黑体" w:cs="黑体"/>
                <w:bCs/>
                <w:kern w:val="2"/>
                <w:sz w:val="20"/>
                <w:szCs w:val="20"/>
                <w:lang w:val="en-US" w:eastAsia="zh-CN" w:bidi="ar"/>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35" w:hRule="atLeast"/>
          <w:jc w:val="center"/>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center"/>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投入</w:t>
            </w:r>
          </w:p>
          <w:p>
            <w:pPr>
              <w:keepNext w:val="0"/>
              <w:keepLines w:val="0"/>
              <w:widowControl w:val="0"/>
              <w:suppressLineNumbers w:val="0"/>
              <w:spacing w:before="0" w:beforeAutospacing="0" w:after="0" w:afterAutospacing="0" w:line="280" w:lineRule="exact"/>
              <w:ind w:left="-42" w:leftChars="-20" w:right="-42" w:rightChars="-20"/>
              <w:jc w:val="center"/>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（20分）</w:t>
            </w:r>
          </w:p>
        </w:tc>
        <w:tc>
          <w:tcPr>
            <w:tcW w:w="77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目标</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设定</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（5分）</w:t>
            </w: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绩效</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目标</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合理性（2分）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2</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部门所设立的整体绩效目标依据是否充分，是否符合客观实际，用以反映和考核部门整体绩效目标与部门履职、年度工作任务的相符性情况。</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50"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绩效</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指标</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明确性（3分）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3</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部门依据整体绩效目标所设定的绩效指标是否清晰、细化、可衡量，用以反映和考核部门整体绩效目标的明细化情况。</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95"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预算</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配置</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（15分）</w:t>
            </w: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在职</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人员</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控制率（5分）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5</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部门本年度实际在职人员数与编制数的比率，用以反映和考核部门对人员成本的控制程度。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15"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“三公经费”</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变动率（5分）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5</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部门本年度“三公经费”预算数与上年度“三公经费”预算数的变动比率，用以反映和考核部门对控制重点行政成本的努力程度。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55"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重点</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支出</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安排率（5分）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5</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部门本年度预算安排的重点项目支出与部门项目总支出的比率，用以反映和考核部门对履行主要职责或完成重点任务的保障程度。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2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center"/>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过程</w:t>
            </w:r>
          </w:p>
          <w:p>
            <w:pPr>
              <w:keepNext w:val="0"/>
              <w:keepLines w:val="0"/>
              <w:widowControl w:val="0"/>
              <w:suppressLineNumbers w:val="0"/>
              <w:spacing w:before="0" w:beforeAutospacing="0" w:after="0" w:afterAutospacing="0" w:line="280" w:lineRule="exact"/>
              <w:ind w:left="-42" w:leftChars="-20" w:right="-42" w:rightChars="-20"/>
              <w:jc w:val="center"/>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（30分）</w:t>
            </w:r>
          </w:p>
        </w:tc>
        <w:tc>
          <w:tcPr>
            <w:tcW w:w="77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预算</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执行</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（20分）</w:t>
            </w: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预算</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完成率（4分）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4</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部门本年度预算完成数与预算数的比率，用以反映和考核部门预算完成程度。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0" w:hRule="atLeast"/>
          <w:jc w:val="center"/>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42" w:leftChars="-20" w:right="-42" w:rightChars="-20"/>
              <w:jc w:val="center"/>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过程</w:t>
            </w:r>
          </w:p>
          <w:p>
            <w:pPr>
              <w:keepNext w:val="0"/>
              <w:keepLines w:val="0"/>
              <w:widowControl w:val="0"/>
              <w:suppressLineNumbers w:val="0"/>
              <w:spacing w:before="0" w:beforeAutospacing="0" w:after="0" w:afterAutospacing="0" w:line="280" w:lineRule="exact"/>
              <w:ind w:left="-42" w:leftChars="-20" w:right="-42" w:rightChars="-20"/>
              <w:jc w:val="center"/>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（30分）</w:t>
            </w:r>
          </w:p>
        </w:tc>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预算</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执行</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（20分）</w:t>
            </w: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预算</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调整率（2分）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2</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部门本年度预算调整数与预算数的比率，用以反映和考核部门预算的调整程度。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spacing w:val="-6"/>
                <w:kern w:val="2"/>
                <w:sz w:val="20"/>
                <w:szCs w:val="20"/>
                <w:lang w:val="en-US" w:eastAsia="zh-CN" w:bidi="ar"/>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70"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支付</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进度率（2分）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2</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spacing w:val="6"/>
                <w:kern w:val="2"/>
                <w:sz w:val="20"/>
                <w:szCs w:val="20"/>
                <w:lang w:val="en-US" w:eastAsia="zh-CN" w:bidi="ar"/>
              </w:rPr>
              <w:t>部门实际支付进度与既定支付进度的比率，用以反映和考核部门预算执行的及时性和均衡性程度。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spacing w:val="-6"/>
                <w:kern w:val="2"/>
                <w:sz w:val="20"/>
                <w:szCs w:val="20"/>
                <w:lang w:val="en-US" w:eastAsia="zh-CN" w:bidi="ar"/>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05"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结转</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结余</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控制率（4分）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4</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部门本年度结转结余总额与上年结转结余总额增减比例，用以反映和考核部门对存量资金的实际控制程度。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spacing w:val="6"/>
                <w:kern w:val="2"/>
                <w:sz w:val="20"/>
                <w:szCs w:val="20"/>
                <w:lang w:val="en-US" w:eastAsia="zh-CN" w:bidi="ar"/>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40"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公用</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经费</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控制率（2分）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2</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部门本年度实际支出的公用经费总额与预算安排的公用经费总额的比率，用以反映和考核部门对机构运转成本的实际控制程度。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05"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“三公经费”控制率（2分）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2</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部门本年度“三公经费”实际支出数与预算安排数的比率，用以反映和考核部门对“三公经费”的实际控制程度。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30"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政府</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采购</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执行率（4分）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4</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部门本年度实际政府采购金额与年初政府采购预算的比率，用以反映和考核部门政府采购预算执行情况。</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spacing w:val="-6"/>
                <w:kern w:val="2"/>
                <w:sz w:val="20"/>
                <w:szCs w:val="20"/>
                <w:lang w:val="en-US" w:eastAsia="zh-CN" w:bidi="ar"/>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atLeast"/>
          <w:jc w:val="center"/>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42" w:leftChars="-20" w:right="-42" w:rightChars="-20"/>
              <w:jc w:val="center"/>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过程</w:t>
            </w:r>
          </w:p>
          <w:p>
            <w:pPr>
              <w:keepNext w:val="0"/>
              <w:keepLines w:val="0"/>
              <w:widowControl w:val="0"/>
              <w:suppressLineNumbers w:val="0"/>
              <w:spacing w:before="0" w:beforeAutospacing="0" w:after="0" w:afterAutospacing="0" w:line="280" w:lineRule="exact"/>
              <w:ind w:left="-42" w:leftChars="-20" w:right="-42" w:rightChars="-20"/>
              <w:jc w:val="center"/>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（30分）</w:t>
            </w:r>
          </w:p>
        </w:tc>
        <w:tc>
          <w:tcPr>
            <w:tcW w:w="77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预算</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管理</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（5分）</w:t>
            </w: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管理</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制度</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健全性（2分）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2</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部门为加强预算管理、规范财务行为而制定的管理制度是否健全完整，用以反映和考核部门预算管理制度对完成主要职责或促进事业发展的保障情况。</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05"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资金</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使用</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合规性（1分）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1</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部门使用预算资金是否符合相关的预算财务管理制度的规定，用以反映和考核部门预算资金的规范运行情况。</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45"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预决算信息</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公开性（1分）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1</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部门是否按照政府信息公开有关规定公开相关预决算信息，用以反映和考核部门预决算管理的公开透明情况。</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60"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基础</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信息</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完善性（1分）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1</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部门基础信息是否完善，用以反映和考核基础信息对预算管理工作的支撑情况。</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50"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资产</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管理</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（5分）</w:t>
            </w: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管理</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制度</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健全性（2分）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2</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部门为加强资产管理、规范资产管理行为而制定的管理制度是否健全完整，用以反映和考核部门资产管理制度对完成主要职责或促进社会发展的保障情况。</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15"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资产</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管理</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安全性（2分）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761"/>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2</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761"/>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spacing w:val="6"/>
                <w:kern w:val="2"/>
                <w:sz w:val="20"/>
                <w:szCs w:val="20"/>
                <w:lang w:val="en-US" w:eastAsia="zh-CN" w:bidi="ar"/>
              </w:rPr>
              <w:t>部门的资产是否保存完整、使用合规、配置合理、处置规范、收入及时足额上缴，用以反映和考核部门资产安全运行情况。</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85"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固定</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资产</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利用率（1分）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1</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部门实际在用固定资产总额与所有固定资产总额的比率，用以反映和考核部门固定资产使用效率程度。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60" w:hRule="atLeast"/>
          <w:jc w:val="center"/>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center"/>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产出</w:t>
            </w:r>
          </w:p>
          <w:p>
            <w:pPr>
              <w:keepNext w:val="0"/>
              <w:keepLines w:val="0"/>
              <w:widowControl w:val="0"/>
              <w:suppressLineNumbers w:val="0"/>
              <w:spacing w:before="0" w:beforeAutospacing="0" w:after="0" w:afterAutospacing="0" w:line="280" w:lineRule="exact"/>
              <w:ind w:left="-42" w:leftChars="-20" w:right="-42" w:rightChars="-20"/>
              <w:jc w:val="center"/>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（30分）</w:t>
            </w:r>
          </w:p>
        </w:tc>
        <w:tc>
          <w:tcPr>
            <w:tcW w:w="77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职责</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履行</w:t>
            </w: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实际</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完成率（8分）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8</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部门履行职责而实际完成工作数与计划工作数的比率，用以反映和考核部门履职工作任务目标的实现程度。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35"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完成</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及时率（4分）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4</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部门在规定时限内及时完成的实际工作数与计划工作数的比率,用以反映和考核部门履职时效目标的实现程度。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完成及时率=（及时完成实际工作数/计划工作数）×100%。1-4季度各得1分</w:t>
            </w:r>
          </w:p>
          <w:p>
            <w:pPr>
              <w:pStyle w:val="8"/>
              <w:widowControl/>
              <w:spacing w:before="0" w:beforeAutospacing="0" w:after="0" w:afterAutospacing="0" w:line="280" w:lineRule="exact"/>
              <w:ind w:left="42" w:leftChars="20" w:right="42" w:rightChars="20"/>
              <w:rPr>
                <w:rFonts w:hint="eastAsia" w:ascii="仿宋_GB2312" w:hAnsi="仿宋_GB2312" w:eastAsia="仿宋_GB2312" w:cs="仿宋_GB2312"/>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05"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质量</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达标率（8分）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8</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达到质量标准（绩效标准值）的实际工作数与计划工作数的比率,用以反映和考核部门履职质量目标的实现程度。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重点</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工作</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办结率</w:t>
            </w:r>
            <w:r>
              <w:rPr>
                <w:rFonts w:hint="eastAsia" w:ascii="仿宋_GB2312" w:hAnsi="仿宋_GB2312" w:eastAsia="仿宋_GB2312" w:cs="仿宋_GB2312"/>
                <w:spacing w:val="-11"/>
                <w:kern w:val="2"/>
                <w:sz w:val="20"/>
                <w:szCs w:val="20"/>
                <w:lang w:val="en-US" w:eastAsia="zh-CN" w:bidi="ar"/>
              </w:rPr>
              <w:t>（10分）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10</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部门年度重点工作实际完成数与交办或下达数的比率，用以反映部门对重点工作的办理落实程度。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spacing w:val="6"/>
                <w:kern w:val="2"/>
                <w:sz w:val="20"/>
                <w:szCs w:val="20"/>
                <w:lang w:val="en-US" w:eastAsia="zh-CN" w:bidi="ar"/>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5" w:hRule="atLeast"/>
          <w:jc w:val="center"/>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center"/>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效果</w:t>
            </w:r>
          </w:p>
          <w:p>
            <w:pPr>
              <w:keepNext w:val="0"/>
              <w:keepLines w:val="0"/>
              <w:widowControl w:val="0"/>
              <w:suppressLineNumbers w:val="0"/>
              <w:spacing w:before="0" w:beforeAutospacing="0" w:after="0" w:afterAutospacing="0" w:line="280" w:lineRule="exact"/>
              <w:ind w:left="-42" w:leftChars="-20" w:right="-42" w:rightChars="-20"/>
              <w:jc w:val="center"/>
              <w:rPr>
                <w:rFonts w:hint="eastAsia" w:ascii="仿宋_GB2312" w:hAnsi="仿宋_GB2312" w:eastAsia="仿宋_GB2312" w:cs="仿宋_GB2312"/>
                <w:spacing w:val="-6"/>
                <w:sz w:val="20"/>
                <w:szCs w:val="20"/>
                <w:lang w:val="en-US"/>
              </w:rPr>
            </w:pPr>
            <w:r>
              <w:rPr>
                <w:rFonts w:hint="eastAsia" w:ascii="仿宋_GB2312" w:hAnsi="仿宋_GB2312" w:eastAsia="仿宋_GB2312" w:cs="仿宋_GB2312"/>
                <w:spacing w:val="-6"/>
                <w:kern w:val="2"/>
                <w:sz w:val="20"/>
                <w:szCs w:val="20"/>
                <w:lang w:val="en-US" w:eastAsia="zh-CN" w:bidi="ar"/>
              </w:rPr>
              <w:t>（20分）</w:t>
            </w:r>
          </w:p>
        </w:tc>
        <w:tc>
          <w:tcPr>
            <w:tcW w:w="77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履职</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效益</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（20分）</w:t>
            </w: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经济</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效益</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（5分）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4</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部门履行职责对经济发展所带来的直接或间接影响。</w:t>
            </w:r>
          </w:p>
        </w:tc>
        <w:tc>
          <w:tcPr>
            <w:tcW w:w="394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0"/>
                <w:sz w:val="20"/>
                <w:szCs w:val="20"/>
                <w:lang w:val="en-US" w:eastAsia="zh-CN" w:bidi="ar"/>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20"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社会</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效益</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（5分）</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4</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部门履行职责对社会发展所带来的直接或间接影响。</w:t>
            </w:r>
          </w:p>
        </w:tc>
        <w:tc>
          <w:tcPr>
            <w:tcW w:w="394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生态</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效益</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（5分）</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4</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部门履行职责对生态环境所带来的直接或间接影响。</w:t>
            </w:r>
          </w:p>
        </w:tc>
        <w:tc>
          <w:tcPr>
            <w:tcW w:w="394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65" w:hRule="atLeast"/>
          <w:jc w:val="center"/>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社会</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公众</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或服务对象</w:t>
            </w:r>
          </w:p>
          <w:p>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满意度（5分）</w:t>
            </w:r>
          </w:p>
        </w:tc>
        <w:tc>
          <w:tcPr>
            <w:tcW w:w="44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0" w:right="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4</w:t>
            </w:r>
          </w:p>
        </w:tc>
        <w:tc>
          <w:tcPr>
            <w:tcW w:w="260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tabs>
                <w:tab w:val="left" w:pos="2604"/>
              </w:tabs>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kern w:val="2"/>
                <w:sz w:val="20"/>
                <w:szCs w:val="20"/>
                <w:lang w:val="en-US" w:eastAsia="zh-CN" w:bidi="ar"/>
              </w:rPr>
              <w:t>社会公众或部门的服务对象对部门履职效果的满意程度。</w:t>
            </w:r>
          </w:p>
        </w:tc>
        <w:tc>
          <w:tcPr>
            <w:tcW w:w="39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val="0"/>
              <w:suppressLineNumbers w:val="0"/>
              <w:spacing w:before="0" w:beforeAutospacing="0" w:after="0" w:afterAutospacing="0" w:line="280" w:lineRule="exact"/>
              <w:ind w:left="42" w:leftChars="20" w:right="42" w:rightChars="2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spacing w:val="-6"/>
                <w:kern w:val="0"/>
                <w:sz w:val="20"/>
                <w:szCs w:val="20"/>
                <w:lang w:val="en-US" w:eastAsia="zh-CN" w:bidi="ar"/>
              </w:rPr>
              <w:t>按收集到的服务对象的满意率计算得分（5分）</w:t>
            </w:r>
          </w:p>
        </w:tc>
      </w:tr>
    </w:tbl>
    <w:p>
      <w:pPr>
        <w:keepNext w:val="0"/>
        <w:keepLines w:val="0"/>
        <w:widowControl w:val="0"/>
        <w:suppressLineNumbers w:val="0"/>
        <w:spacing w:before="0" w:beforeAutospacing="0" w:after="0" w:afterAutospacing="0" w:line="300" w:lineRule="exact"/>
        <w:ind w:left="0" w:right="0"/>
        <w:jc w:val="both"/>
        <w:rPr>
          <w:rFonts w:hint="eastAsia" w:ascii="黑体" w:hAnsi="Times New Roman" w:eastAsia="黑体" w:cs="黑体"/>
          <w:szCs w:val="32"/>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13"/>
        <w:spacing w:line="600" w:lineRule="exact"/>
        <w:ind w:firstLine="640" w:firstLineChars="200"/>
        <w:rPr>
          <w:rFonts w:ascii="Times New Roman" w:hAnsi="Times New Roman" w:eastAsia="仿宋_GB2312"/>
          <w:sz w:val="32"/>
          <w:szCs w:val="32"/>
        </w:rPr>
      </w:pPr>
    </w:p>
    <w:p>
      <w:pPr>
        <w:pStyle w:val="13"/>
        <w:jc w:val="center"/>
        <w:rPr>
          <w:sz w:val="72"/>
          <w:szCs w:val="72"/>
        </w:rPr>
      </w:pPr>
    </w:p>
    <w:p>
      <w:pPr>
        <w:pStyle w:val="13"/>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FB663D-8E8A-47BF-B216-14381CA061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0C4309-F42E-4105-BCDE-E264CFE1782D}"/>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05FA99D6-0F73-4D23-8BF0-1E16635E689E}"/>
  </w:font>
  <w:font w:name="仿宋_GB2312">
    <w:panose1 w:val="02010609030101010101"/>
    <w:charset w:val="86"/>
    <w:family w:val="modern"/>
    <w:pitch w:val="default"/>
    <w:sig w:usb0="00000001" w:usb1="080E0000" w:usb2="00000000" w:usb3="00000000" w:csb0="00040000" w:csb1="00000000"/>
    <w:embedRegular r:id="rId4" w:fontKey="{BDD733FF-B793-4ADD-B2FF-D4DD60384454}"/>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CF5AC926-2E5C-40D2-BACA-DF36A2DE7B70}"/>
  </w:font>
  <w:font w:name="仿宋">
    <w:panose1 w:val="02010609060101010101"/>
    <w:charset w:val="86"/>
    <w:family w:val="auto"/>
    <w:pitch w:val="default"/>
    <w:sig w:usb0="800002BF" w:usb1="38CF7CFA" w:usb2="00000016" w:usb3="00000000" w:csb0="00040001" w:csb1="00000000"/>
    <w:embedRegular r:id="rId6" w:fontKey="{B6AC8E3E-9CD0-4744-B090-3BE858F503C0}"/>
  </w:font>
  <w:font w:name="方正小标宋简体">
    <w:panose1 w:val="02000000000000000000"/>
    <w:charset w:val="86"/>
    <w:family w:val="auto"/>
    <w:pitch w:val="default"/>
    <w:sig w:usb0="00000001" w:usb1="080E0000" w:usb2="00000000" w:usb3="00000000" w:csb0="00040000" w:csb1="00000000"/>
    <w:embedRegular r:id="rId7" w:fontKey="{AE364852-E30B-4438-BA01-981915C0E0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NmMyYWZkNmExMWI2ZDU4ZTFlYzYzNjI5OGRiMzg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3F682E"/>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56FBD"/>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2A6FE0"/>
    <w:rsid w:val="03A565A9"/>
    <w:rsid w:val="03D441BA"/>
    <w:rsid w:val="0D304769"/>
    <w:rsid w:val="0DBF7951"/>
    <w:rsid w:val="112B352A"/>
    <w:rsid w:val="127A7296"/>
    <w:rsid w:val="181A12FF"/>
    <w:rsid w:val="19CB65AC"/>
    <w:rsid w:val="1CF35986"/>
    <w:rsid w:val="1D97DEFF"/>
    <w:rsid w:val="1DFF72E5"/>
    <w:rsid w:val="1EFC6F07"/>
    <w:rsid w:val="23B00D6A"/>
    <w:rsid w:val="23CE6362"/>
    <w:rsid w:val="23E05E45"/>
    <w:rsid w:val="266D1A00"/>
    <w:rsid w:val="27B36B9A"/>
    <w:rsid w:val="2A720E15"/>
    <w:rsid w:val="2AA25B2A"/>
    <w:rsid w:val="2C4E2622"/>
    <w:rsid w:val="2ECC5677"/>
    <w:rsid w:val="2F7215C9"/>
    <w:rsid w:val="2FDF85B8"/>
    <w:rsid w:val="2FFFEE04"/>
    <w:rsid w:val="301C551E"/>
    <w:rsid w:val="33E02FA5"/>
    <w:rsid w:val="345007D3"/>
    <w:rsid w:val="34DF85B0"/>
    <w:rsid w:val="355A28E3"/>
    <w:rsid w:val="36577606"/>
    <w:rsid w:val="39C12F31"/>
    <w:rsid w:val="3B4C0F84"/>
    <w:rsid w:val="3B8F36BC"/>
    <w:rsid w:val="3EF43DA9"/>
    <w:rsid w:val="41744D2D"/>
    <w:rsid w:val="41D931EF"/>
    <w:rsid w:val="476F7D2E"/>
    <w:rsid w:val="48F9111D"/>
    <w:rsid w:val="491FF225"/>
    <w:rsid w:val="4F413560"/>
    <w:rsid w:val="4FFD214C"/>
    <w:rsid w:val="50692D93"/>
    <w:rsid w:val="513E3C53"/>
    <w:rsid w:val="5777D4F5"/>
    <w:rsid w:val="59DD8326"/>
    <w:rsid w:val="5B3640E7"/>
    <w:rsid w:val="5B4812AC"/>
    <w:rsid w:val="5DD80245"/>
    <w:rsid w:val="5DEF592A"/>
    <w:rsid w:val="5E2B7BC6"/>
    <w:rsid w:val="5EA40105"/>
    <w:rsid w:val="5F187F3B"/>
    <w:rsid w:val="5FC6BB1E"/>
    <w:rsid w:val="5FF720F1"/>
    <w:rsid w:val="60B86F6A"/>
    <w:rsid w:val="60CA073A"/>
    <w:rsid w:val="61AD103F"/>
    <w:rsid w:val="630C72F6"/>
    <w:rsid w:val="64C51278"/>
    <w:rsid w:val="67FF5C0B"/>
    <w:rsid w:val="6A4B66C3"/>
    <w:rsid w:val="6D9D5488"/>
    <w:rsid w:val="6DC17B34"/>
    <w:rsid w:val="6E9D34F9"/>
    <w:rsid w:val="6EFC0924"/>
    <w:rsid w:val="6FB74722"/>
    <w:rsid w:val="6FEF8B7E"/>
    <w:rsid w:val="71A6591B"/>
    <w:rsid w:val="737D59BA"/>
    <w:rsid w:val="747405C4"/>
    <w:rsid w:val="77C37683"/>
    <w:rsid w:val="78AF5372"/>
    <w:rsid w:val="79FF515B"/>
    <w:rsid w:val="7E582308"/>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18171</Words>
  <Characters>20803</Characters>
  <Lines>62</Lines>
  <Paragraphs>17</Paragraphs>
  <TotalTime>8</TotalTime>
  <ScaleCrop>false</ScaleCrop>
  <LinksUpToDate>false</LinksUpToDate>
  <CharactersWithSpaces>21455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丫丫</cp:lastModifiedBy>
  <cp:lastPrinted>2024-08-08T10:20:00Z</cp:lastPrinted>
  <dcterms:modified xsi:type="dcterms:W3CDTF">2024-09-05T01:23:43Z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53469A5F4504451FA60639877570636D</vt:lpwstr>
  </property>
</Properties>
</file>