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600" w:lineRule="exact"/>
        <w:jc w:val="center"/>
        <w:rPr>
          <w:rFonts w:hint="default"/>
          <w:color w:val="333333"/>
          <w:sz w:val="40"/>
          <w:szCs w:val="40"/>
        </w:rPr>
      </w:pPr>
      <w:bookmarkStart w:id="0" w:name="_GoBack"/>
      <w:r>
        <w:rPr>
          <w:color w:val="333333"/>
          <w:sz w:val="40"/>
          <w:szCs w:val="40"/>
        </w:rPr>
        <w:t>益阳市赫山区委组织部2023年部门整体支出绩效评价报告</w:t>
      </w:r>
    </w:p>
    <w:bookmarkEnd w:id="0"/>
    <w:p/>
    <w:p>
      <w:pPr>
        <w:pStyle w:val="12"/>
        <w:widowControl/>
        <w:spacing w:line="560" w:lineRule="exact"/>
        <w:ind w:left="640"/>
        <w:rPr>
          <w:sz w:val="32"/>
          <w:szCs w:val="32"/>
        </w:rPr>
      </w:pPr>
      <w:r>
        <w:rPr>
          <w:rFonts w:ascii="黑体" w:hAnsi="宋体" w:eastAsia="黑体" w:cs="黑体"/>
          <w:color w:val="333333"/>
          <w:sz w:val="32"/>
          <w:szCs w:val="32"/>
        </w:rPr>
        <w:t>一、</w:t>
      </w:r>
      <w:r>
        <w:rPr>
          <w:rFonts w:hint="eastAsia" w:ascii="黑体" w:hAnsi="宋体" w:eastAsia="黑体" w:cs="黑体"/>
          <w:color w:val="333333"/>
          <w:sz w:val="32"/>
          <w:szCs w:val="32"/>
        </w:rPr>
        <w:t>益阳市赫山区委组织部基本情况</w:t>
      </w:r>
    </w:p>
    <w:p>
      <w:pPr>
        <w:pStyle w:val="12"/>
        <w:widowControl/>
        <w:spacing w:line="560" w:lineRule="exact"/>
        <w:ind w:firstLine="640" w:firstLineChars="200"/>
        <w:rPr>
          <w:rFonts w:hint="eastAsia" w:ascii="仿宋_GB2312" w:hAnsi="微软雅黑" w:eastAsia="仿宋_GB2312" w:cs="仿宋_GB2312"/>
          <w:color w:val="000000"/>
          <w:kern w:val="0"/>
          <w:sz w:val="32"/>
          <w:szCs w:val="32"/>
          <w:lang w:val="en-US" w:eastAsia="zh-CN" w:bidi="ar-SA"/>
        </w:rPr>
      </w:pPr>
      <w:r>
        <w:rPr>
          <w:rFonts w:hint="eastAsia" w:ascii="仿宋_GB2312" w:hAnsi="微软雅黑" w:eastAsia="仿宋_GB2312" w:cs="仿宋_GB2312"/>
          <w:color w:val="000000"/>
          <w:kern w:val="0"/>
          <w:sz w:val="32"/>
          <w:szCs w:val="32"/>
          <w:lang w:val="en-US" w:eastAsia="zh-CN" w:bidi="ar-SA"/>
        </w:rPr>
        <w:t>中共益阳市赫山区委组织部（以下简称区委组织部）是区委主管组织、干部和老干部工作的工作机关，为正科级，加挂中共益阳市赫山区直属机关委员会、中共益阳市赫山区委非公有制经济组织和社会组织工作委员会、益阳市赫山区公务员局、中共益阳市赫山区委老干部局牌子。内设科室有办公室、调研室、干部科（青干科）、人才科、绩效科、公务员管理科、工资福利科、干部监督科（干部教育科、举报中心）、干部信息科、基层办（党代表联络办）、组织指导科、党管科（党员教育中心）、区直机关工委办、区委两新工委办、区驻村工作队管理中心、区委离退休工委办公室、区关工委办公室、区老干部服务中心、区绩效评估事务中心等19个科室。区委组织部机关行政编制32名，全额拨款事业编制8名，2023年末实际在编在岗34人，退休人员20人。</w:t>
      </w:r>
    </w:p>
    <w:p>
      <w:pPr>
        <w:pStyle w:val="12"/>
        <w:widowControl/>
        <w:spacing w:line="560" w:lineRule="exact"/>
        <w:ind w:left="640"/>
        <w:rPr>
          <w:sz w:val="32"/>
          <w:szCs w:val="32"/>
        </w:rPr>
      </w:pPr>
      <w:r>
        <w:rPr>
          <w:rFonts w:hint="eastAsia" w:ascii="黑体" w:hAnsi="宋体" w:eastAsia="黑体" w:cs="黑体"/>
          <w:sz w:val="32"/>
          <w:szCs w:val="32"/>
        </w:rPr>
        <w:t>二、一般公共预算支出情况</w:t>
      </w:r>
    </w:p>
    <w:p>
      <w:pPr>
        <w:pStyle w:val="12"/>
        <w:widowControl/>
        <w:spacing w:line="560" w:lineRule="exact"/>
        <w:ind w:firstLine="640" w:firstLineChars="200"/>
        <w:rPr>
          <w:rFonts w:hint="eastAsia" w:ascii="仿宋_GB2312" w:hAnsi="微软雅黑" w:eastAsia="仿宋_GB2312" w:cs="仿宋_GB2312"/>
          <w:color w:val="000000"/>
          <w:kern w:val="0"/>
          <w:sz w:val="32"/>
          <w:szCs w:val="32"/>
          <w:lang w:val="en-US" w:eastAsia="zh-CN" w:bidi="ar-SA"/>
        </w:rPr>
      </w:pPr>
      <w:r>
        <w:rPr>
          <w:rFonts w:hint="eastAsia" w:ascii="仿宋_GB2312" w:hAnsi="微软雅黑" w:eastAsia="仿宋_GB2312" w:cs="仿宋_GB2312"/>
          <w:color w:val="000000"/>
          <w:kern w:val="0"/>
          <w:sz w:val="32"/>
          <w:szCs w:val="32"/>
          <w:lang w:val="en-US" w:eastAsia="zh-CN" w:bidi="ar-SA"/>
        </w:rPr>
        <w:t>2023年我单位总收入1210.45万元，均为一般公共预算财政拨款。2023年我单位总支出1210.45万元，其中：基本支出856.44万元，项目支出354.01万元。</w:t>
      </w:r>
    </w:p>
    <w:p>
      <w:pPr>
        <w:pStyle w:val="12"/>
        <w:widowControl/>
        <w:spacing w:line="500" w:lineRule="atLeast"/>
        <w:ind w:left="640"/>
      </w:pPr>
      <w:r>
        <w:rPr>
          <w:rFonts w:hint="eastAsia" w:ascii="黑体" w:hAnsi="宋体" w:eastAsia="黑体" w:cs="黑体"/>
          <w:color w:val="333333"/>
          <w:sz w:val="32"/>
          <w:szCs w:val="32"/>
        </w:rPr>
        <w:t>（一）基本支出情况</w:t>
      </w:r>
    </w:p>
    <w:p>
      <w:pPr>
        <w:pStyle w:val="12"/>
        <w:widowControl/>
        <w:spacing w:line="560" w:lineRule="exact"/>
        <w:ind w:firstLine="640" w:firstLineChars="200"/>
        <w:rPr>
          <w:rFonts w:hint="eastAsia" w:ascii="仿宋_GB2312" w:hAnsi="微软雅黑" w:eastAsia="仿宋_GB2312" w:cs="仿宋_GB2312"/>
          <w:color w:val="000000"/>
          <w:kern w:val="0"/>
          <w:sz w:val="32"/>
          <w:szCs w:val="32"/>
          <w:lang w:val="en-US" w:eastAsia="zh-CN" w:bidi="ar-SA"/>
        </w:rPr>
      </w:pPr>
      <w:r>
        <w:rPr>
          <w:rFonts w:hint="eastAsia" w:ascii="仿宋_GB2312" w:hAnsi="微软雅黑" w:eastAsia="仿宋_GB2312" w:cs="仿宋_GB2312"/>
          <w:color w:val="000000"/>
          <w:kern w:val="0"/>
          <w:sz w:val="32"/>
          <w:szCs w:val="32"/>
          <w:lang w:val="en-US" w:eastAsia="zh-CN" w:bidi="ar-SA"/>
        </w:rPr>
        <w:t>本单位2023年基本支出856.44万元，其中工资福利支出490.95万元，商品服务支出328.97万元，对个人和家庭的补助36.52元。</w:t>
      </w:r>
    </w:p>
    <w:p>
      <w:pPr>
        <w:pStyle w:val="12"/>
        <w:widowControl/>
        <w:spacing w:line="500" w:lineRule="atLeast"/>
        <w:ind w:left="640"/>
        <w:rPr>
          <w:sz w:val="32"/>
          <w:szCs w:val="32"/>
        </w:rPr>
      </w:pPr>
      <w:r>
        <w:rPr>
          <w:rFonts w:hint="eastAsia" w:ascii="黑体" w:hAnsi="宋体" w:eastAsia="黑体" w:cs="黑体"/>
          <w:color w:val="333333"/>
          <w:sz w:val="32"/>
          <w:szCs w:val="32"/>
        </w:rPr>
        <w:t>（二）项目支出情况</w:t>
      </w:r>
    </w:p>
    <w:p>
      <w:pPr>
        <w:pStyle w:val="12"/>
        <w:widowControl/>
        <w:spacing w:line="560" w:lineRule="exact"/>
        <w:ind w:firstLine="640" w:firstLineChars="200"/>
        <w:rPr>
          <w:rFonts w:hint="eastAsia" w:ascii="仿宋_GB2312" w:hAnsi="微软雅黑" w:eastAsia="仿宋_GB2312" w:cs="仿宋_GB2312"/>
          <w:color w:val="000000"/>
          <w:kern w:val="0"/>
          <w:sz w:val="32"/>
          <w:szCs w:val="32"/>
          <w:lang w:val="en-US" w:eastAsia="zh-CN" w:bidi="ar-SA"/>
        </w:rPr>
      </w:pPr>
      <w:r>
        <w:rPr>
          <w:rFonts w:hint="eastAsia" w:ascii="仿宋_GB2312" w:hAnsi="微软雅黑" w:eastAsia="仿宋_GB2312" w:cs="仿宋_GB2312"/>
          <w:color w:val="000000"/>
          <w:kern w:val="0"/>
          <w:sz w:val="32"/>
          <w:szCs w:val="32"/>
          <w:lang w:val="en-US" w:eastAsia="zh-CN" w:bidi="ar-SA"/>
        </w:rPr>
        <w:t>本单位2023年项目支出354.01万元，其中任命10万元、档案5万元、区直机关工委10万、党代表活动经费11.7万元、党建8万元、大学生村官理费2万元、两新党建10万元、党建经费2万元、村社区班子成员培训8万元、基层党建迎检2万元、大组工网维护1万元、干部监督信息库2万元、公务员管理驻村帮扶党建指导14万元、人才工作5万元、慰问信0.5万元、关协7万元、特殊困难离退休干部帮扶10万元、离退休干部党工委经费5万元、县级实职退休离休干部活动经费12.2万元、老干所水电及业务补助2.1万元、离休干部县级退休特需费12.2万元、副科以上特殊费1.97万元、临时工3.6万元、老干活动中心15万元、建国初期参加革命工作人员生活及医疗补贴29.92、老年大学经费12万元、离休护理及配偶、遗孀补贴151.82万元。</w:t>
      </w:r>
    </w:p>
    <w:p>
      <w:pPr>
        <w:pStyle w:val="12"/>
        <w:widowControl/>
        <w:spacing w:line="560" w:lineRule="exact"/>
        <w:ind w:left="640"/>
        <w:rPr>
          <w:rFonts w:ascii="黑体" w:hAnsi="宋体" w:eastAsia="黑体" w:cs="黑体"/>
          <w:color w:val="333333"/>
          <w:sz w:val="32"/>
          <w:szCs w:val="32"/>
        </w:rPr>
      </w:pPr>
      <w:r>
        <w:rPr>
          <w:rFonts w:hint="eastAsia" w:ascii="黑体" w:hAnsi="宋体" w:eastAsia="黑体" w:cs="黑体"/>
          <w:color w:val="333333"/>
          <w:sz w:val="32"/>
          <w:szCs w:val="32"/>
        </w:rPr>
        <w:t>三、政府性基金预算支出情况</w:t>
      </w:r>
    </w:p>
    <w:p>
      <w:pPr>
        <w:pStyle w:val="12"/>
        <w:widowControl/>
        <w:spacing w:line="560" w:lineRule="exact"/>
        <w:ind w:firstLine="640" w:firstLineChars="200"/>
        <w:rPr>
          <w:rFonts w:hint="eastAsia" w:ascii="仿宋_GB2312" w:hAnsi="微软雅黑" w:eastAsia="仿宋_GB2312" w:cs="仿宋_GB2312"/>
          <w:color w:val="000000"/>
          <w:kern w:val="0"/>
          <w:sz w:val="32"/>
          <w:szCs w:val="32"/>
          <w:lang w:val="en-US" w:eastAsia="zh-CN" w:bidi="ar-SA"/>
        </w:rPr>
      </w:pPr>
      <w:r>
        <w:rPr>
          <w:rFonts w:hint="eastAsia" w:ascii="仿宋_GB2312" w:hAnsi="微软雅黑" w:eastAsia="仿宋_GB2312" w:cs="仿宋_GB2312"/>
          <w:color w:val="000000"/>
          <w:kern w:val="0"/>
          <w:sz w:val="32"/>
          <w:szCs w:val="32"/>
          <w:lang w:val="en-US" w:eastAsia="zh-CN" w:bidi="ar-SA"/>
        </w:rPr>
        <w:t>本年度无政府性基金预算支出。</w:t>
      </w:r>
    </w:p>
    <w:p>
      <w:pPr>
        <w:pStyle w:val="12"/>
        <w:widowControl/>
        <w:spacing w:line="560" w:lineRule="exact"/>
        <w:ind w:left="640"/>
        <w:rPr>
          <w:rFonts w:ascii="黑体" w:hAnsi="宋体" w:eastAsia="黑体" w:cs="黑体"/>
          <w:color w:val="333333"/>
          <w:sz w:val="32"/>
          <w:szCs w:val="32"/>
        </w:rPr>
      </w:pPr>
      <w:r>
        <w:rPr>
          <w:rFonts w:hint="eastAsia" w:ascii="黑体" w:hAnsi="宋体" w:eastAsia="黑体" w:cs="黑体"/>
          <w:color w:val="333333"/>
          <w:sz w:val="32"/>
          <w:szCs w:val="32"/>
        </w:rPr>
        <w:t>四、国有资本经营预算支出情况</w:t>
      </w:r>
    </w:p>
    <w:p>
      <w:pPr>
        <w:pStyle w:val="12"/>
        <w:widowControl/>
        <w:spacing w:line="560" w:lineRule="exact"/>
        <w:ind w:firstLine="640" w:firstLineChars="200"/>
        <w:rPr>
          <w:rFonts w:hint="eastAsia" w:ascii="仿宋_GB2312" w:hAnsi="微软雅黑" w:eastAsia="仿宋_GB2312" w:cs="仿宋_GB2312"/>
          <w:color w:val="000000"/>
          <w:kern w:val="0"/>
          <w:sz w:val="32"/>
          <w:szCs w:val="32"/>
          <w:lang w:val="en-US" w:eastAsia="zh-CN" w:bidi="ar-SA"/>
        </w:rPr>
      </w:pPr>
      <w:r>
        <w:rPr>
          <w:rFonts w:hint="eastAsia" w:ascii="仿宋_GB2312" w:hAnsi="微软雅黑" w:eastAsia="仿宋_GB2312" w:cs="仿宋_GB2312"/>
          <w:color w:val="000000"/>
          <w:kern w:val="0"/>
          <w:sz w:val="32"/>
          <w:szCs w:val="32"/>
          <w:lang w:val="en-US" w:eastAsia="zh-CN" w:bidi="ar-SA"/>
        </w:rPr>
        <w:t>本年度无国有资本经营预算支出。</w:t>
      </w:r>
    </w:p>
    <w:p>
      <w:pPr>
        <w:pStyle w:val="12"/>
        <w:widowControl/>
        <w:spacing w:line="560" w:lineRule="exact"/>
        <w:ind w:left="640"/>
        <w:rPr>
          <w:rFonts w:ascii="黑体" w:hAnsi="宋体" w:eastAsia="黑体" w:cs="黑体"/>
          <w:color w:val="333333"/>
          <w:sz w:val="32"/>
          <w:szCs w:val="32"/>
        </w:rPr>
      </w:pPr>
      <w:r>
        <w:rPr>
          <w:rFonts w:hint="eastAsia" w:ascii="黑体" w:hAnsi="宋体" w:eastAsia="黑体" w:cs="黑体"/>
          <w:color w:val="333333"/>
          <w:sz w:val="32"/>
          <w:szCs w:val="32"/>
        </w:rPr>
        <w:t>五、社会保险基金预算支出情况</w:t>
      </w:r>
    </w:p>
    <w:p>
      <w:pPr>
        <w:pStyle w:val="12"/>
        <w:widowControl/>
        <w:spacing w:line="560" w:lineRule="exact"/>
        <w:ind w:firstLine="640" w:firstLineChars="200"/>
        <w:rPr>
          <w:rFonts w:hint="eastAsia" w:ascii="仿宋_GB2312" w:hAnsi="微软雅黑" w:eastAsia="仿宋_GB2312" w:cs="仿宋_GB2312"/>
          <w:color w:val="000000"/>
          <w:kern w:val="0"/>
          <w:sz w:val="32"/>
          <w:szCs w:val="32"/>
          <w:lang w:val="en-US" w:eastAsia="zh-CN" w:bidi="ar-SA"/>
        </w:rPr>
      </w:pPr>
      <w:r>
        <w:rPr>
          <w:rFonts w:hint="eastAsia" w:ascii="仿宋_GB2312" w:hAnsi="微软雅黑" w:eastAsia="仿宋_GB2312" w:cs="仿宋_GB2312"/>
          <w:color w:val="000000"/>
          <w:kern w:val="0"/>
          <w:sz w:val="32"/>
          <w:szCs w:val="32"/>
          <w:lang w:val="en-US" w:eastAsia="zh-CN" w:bidi="ar-SA"/>
        </w:rPr>
        <w:t>本年度无社会保险基金预算支出。</w:t>
      </w:r>
    </w:p>
    <w:p>
      <w:pPr>
        <w:pStyle w:val="12"/>
        <w:widowControl/>
        <w:spacing w:line="560" w:lineRule="exact"/>
        <w:ind w:left="640"/>
        <w:rPr>
          <w:rFonts w:ascii="黑体" w:hAnsi="宋体" w:eastAsia="黑体" w:cs="黑体"/>
          <w:color w:val="333333"/>
          <w:sz w:val="32"/>
          <w:szCs w:val="32"/>
        </w:rPr>
      </w:pPr>
      <w:r>
        <w:rPr>
          <w:rFonts w:hint="eastAsia" w:ascii="黑体" w:hAnsi="宋体" w:eastAsia="黑体" w:cs="黑体"/>
          <w:color w:val="333333"/>
          <w:sz w:val="32"/>
          <w:szCs w:val="32"/>
        </w:rPr>
        <w:t>六、部门整体支出绩效情况</w:t>
      </w:r>
    </w:p>
    <w:p>
      <w:pPr>
        <w:pStyle w:val="12"/>
        <w:widowControl/>
        <w:spacing w:line="560" w:lineRule="exact"/>
        <w:ind w:firstLine="640" w:firstLineChars="200"/>
        <w:rPr>
          <w:rFonts w:hint="eastAsia" w:ascii="仿宋_GB2312" w:hAnsi="微软雅黑" w:eastAsia="仿宋_GB2312" w:cs="仿宋_GB2312"/>
          <w:color w:val="000000"/>
          <w:kern w:val="0"/>
          <w:sz w:val="32"/>
          <w:szCs w:val="32"/>
          <w:lang w:val="en-US" w:eastAsia="zh-CN" w:bidi="ar-SA"/>
        </w:rPr>
      </w:pPr>
      <w:r>
        <w:rPr>
          <w:rFonts w:hint="eastAsia" w:ascii="仿宋_GB2312" w:hAnsi="微软雅黑" w:eastAsia="仿宋_GB2312" w:cs="仿宋_GB2312"/>
          <w:color w:val="000000"/>
          <w:kern w:val="0"/>
          <w:sz w:val="32"/>
          <w:szCs w:val="32"/>
          <w:lang w:val="en-US" w:eastAsia="zh-CN" w:bidi="ar-SA"/>
        </w:rPr>
        <w:t>通过加强预算收支管理，不断建立健全内部资金管理制度，做到全年收支平衡的同时，完成了各类组织、干部工作，加强了领导班子的组织、思想、作风建设和干部队伍的建设。</w:t>
      </w:r>
    </w:p>
    <w:p>
      <w:pPr>
        <w:pStyle w:val="12"/>
        <w:widowControl/>
        <w:spacing w:line="560" w:lineRule="exact"/>
        <w:ind w:firstLine="640" w:firstLineChars="200"/>
        <w:rPr>
          <w:rFonts w:hint="eastAsia" w:ascii="仿宋_GB2312" w:hAnsi="微软雅黑" w:eastAsia="仿宋_GB2312" w:cs="仿宋_GB2312"/>
          <w:color w:val="000000"/>
          <w:kern w:val="0"/>
          <w:sz w:val="32"/>
          <w:szCs w:val="32"/>
          <w:lang w:val="en-US" w:eastAsia="zh-CN" w:bidi="ar-SA"/>
        </w:rPr>
      </w:pPr>
      <w:r>
        <w:rPr>
          <w:rFonts w:hint="eastAsia" w:ascii="仿宋_GB2312" w:hAnsi="微软雅黑" w:eastAsia="仿宋_GB2312" w:cs="仿宋_GB2312"/>
          <w:color w:val="000000"/>
          <w:kern w:val="0"/>
          <w:sz w:val="32"/>
          <w:szCs w:val="32"/>
          <w:lang w:val="en-US" w:eastAsia="zh-CN" w:bidi="ar-SA"/>
        </w:rPr>
        <w:t>1、产出指标。（1）数量指标。组织工作实际完成率10分；（2）质量指标。组织工作质量达标率10分；（3）时效指标。组织工作完成及时率10分。</w:t>
      </w:r>
    </w:p>
    <w:p>
      <w:pPr>
        <w:pStyle w:val="12"/>
        <w:widowControl/>
        <w:spacing w:line="560" w:lineRule="exact"/>
        <w:ind w:firstLine="640" w:firstLineChars="200"/>
        <w:rPr>
          <w:rFonts w:hint="eastAsia" w:ascii="仿宋_GB2312" w:hAnsi="微软雅黑" w:eastAsia="仿宋_GB2312" w:cs="仿宋_GB2312"/>
          <w:color w:val="000000"/>
          <w:kern w:val="0"/>
          <w:sz w:val="32"/>
          <w:szCs w:val="32"/>
          <w:lang w:val="en-US" w:eastAsia="zh-CN" w:bidi="ar-SA"/>
        </w:rPr>
      </w:pPr>
      <w:r>
        <w:rPr>
          <w:rFonts w:hint="eastAsia" w:ascii="仿宋_GB2312" w:hAnsi="微软雅黑" w:eastAsia="仿宋_GB2312" w:cs="仿宋_GB2312"/>
          <w:color w:val="000000"/>
          <w:kern w:val="0"/>
          <w:sz w:val="32"/>
          <w:szCs w:val="32"/>
          <w:lang w:val="en-US" w:eastAsia="zh-CN" w:bidi="ar-SA"/>
        </w:rPr>
        <w:t>2、效益指标（1）经济效益指标。组织部门履行职责对经济发展所带来的影响10分。（2）社会效益指标。组织部门履行职责对社会的影响10分。（3）生态效益指标。组织部门履行职责对生态环境所带来的影响10分。</w:t>
      </w:r>
    </w:p>
    <w:p>
      <w:pPr>
        <w:pStyle w:val="12"/>
        <w:widowControl/>
        <w:spacing w:line="560" w:lineRule="exact"/>
        <w:ind w:firstLine="640" w:firstLineChars="200"/>
        <w:rPr>
          <w:rFonts w:hint="eastAsia" w:ascii="仿宋_GB2312" w:hAnsi="微软雅黑" w:eastAsia="仿宋_GB2312" w:cs="仿宋_GB2312"/>
          <w:color w:val="000000"/>
          <w:kern w:val="0"/>
          <w:sz w:val="32"/>
          <w:szCs w:val="32"/>
          <w:lang w:val="en-US" w:eastAsia="zh-CN" w:bidi="ar-SA"/>
        </w:rPr>
      </w:pPr>
      <w:r>
        <w:rPr>
          <w:rFonts w:hint="eastAsia" w:ascii="仿宋_GB2312" w:hAnsi="微软雅黑" w:eastAsia="仿宋_GB2312" w:cs="仿宋_GB2312"/>
          <w:color w:val="000000"/>
          <w:kern w:val="0"/>
          <w:sz w:val="32"/>
          <w:szCs w:val="32"/>
          <w:lang w:val="en-US" w:eastAsia="zh-CN" w:bidi="ar-SA"/>
        </w:rPr>
        <w:t>3、满意度指标。通过电话回访等形式了解到我们的各项工作均受到干部、群众一致好评，群众满意度均达90%以上,10分。</w:t>
      </w:r>
    </w:p>
    <w:p>
      <w:pPr>
        <w:pStyle w:val="12"/>
        <w:widowControl/>
        <w:spacing w:line="560" w:lineRule="exact"/>
        <w:ind w:firstLine="640" w:firstLineChars="200"/>
        <w:rPr>
          <w:rFonts w:hint="eastAsia" w:ascii="仿宋_GB2312" w:hAnsi="微软雅黑" w:eastAsia="仿宋_GB2312" w:cs="仿宋_GB2312"/>
          <w:color w:val="000000"/>
          <w:kern w:val="0"/>
          <w:sz w:val="32"/>
          <w:szCs w:val="32"/>
          <w:lang w:val="en-US" w:eastAsia="zh-CN" w:bidi="ar-SA"/>
        </w:rPr>
      </w:pPr>
      <w:r>
        <w:rPr>
          <w:rFonts w:hint="eastAsia" w:ascii="仿宋_GB2312" w:hAnsi="微软雅黑" w:eastAsia="仿宋_GB2312" w:cs="仿宋_GB2312"/>
          <w:color w:val="000000"/>
          <w:kern w:val="0"/>
          <w:sz w:val="32"/>
          <w:szCs w:val="32"/>
          <w:lang w:val="en-US" w:eastAsia="zh-CN" w:bidi="ar-SA"/>
        </w:rPr>
        <w:t>4、成本指标。（1）社会成本指标10分。（2）生态环境成本指标10分。</w:t>
      </w:r>
    </w:p>
    <w:p>
      <w:pPr>
        <w:pStyle w:val="12"/>
        <w:widowControl/>
        <w:spacing w:line="560" w:lineRule="exact"/>
        <w:ind w:firstLine="640" w:firstLineChars="200"/>
        <w:rPr>
          <w:rFonts w:ascii="黑体" w:hAnsi="宋体" w:eastAsia="黑体" w:cs="黑体"/>
          <w:color w:val="333333"/>
          <w:sz w:val="32"/>
          <w:szCs w:val="32"/>
        </w:rPr>
      </w:pPr>
      <w:r>
        <w:rPr>
          <w:rFonts w:hint="eastAsia" w:ascii="黑体" w:hAnsi="宋体" w:eastAsia="黑体" w:cs="黑体"/>
          <w:color w:val="333333"/>
          <w:sz w:val="32"/>
          <w:szCs w:val="32"/>
        </w:rPr>
        <w:t>七、存在的问题及原因分析</w:t>
      </w:r>
    </w:p>
    <w:p>
      <w:pPr>
        <w:widowControl/>
        <w:spacing w:line="600" w:lineRule="atLeast"/>
        <w:ind w:firstLine="640"/>
        <w:jc w:val="left"/>
        <w:rPr>
          <w:rFonts w:hint="eastAsia"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因部分工作是年中或年末根据省市相关要求开展，未纳入年初预算，另外还有部分不可预见经费的追加，无法纳入预算，导致预算执行存在偏差，预算编制有待提高。</w:t>
      </w:r>
    </w:p>
    <w:p>
      <w:pPr>
        <w:pStyle w:val="12"/>
        <w:widowControl/>
        <w:spacing w:line="560" w:lineRule="exact"/>
        <w:ind w:left="640"/>
        <w:rPr>
          <w:rFonts w:ascii="黑体" w:hAnsi="宋体" w:eastAsia="黑体" w:cs="黑体"/>
          <w:color w:val="333333"/>
          <w:sz w:val="32"/>
          <w:szCs w:val="32"/>
        </w:rPr>
      </w:pPr>
      <w:r>
        <w:rPr>
          <w:rFonts w:hint="eastAsia" w:ascii="黑体" w:hAnsi="宋体" w:eastAsia="黑体" w:cs="黑体"/>
          <w:color w:val="333333"/>
          <w:sz w:val="32"/>
          <w:szCs w:val="32"/>
        </w:rPr>
        <w:t>八、下一步改进措施</w:t>
      </w:r>
    </w:p>
    <w:p>
      <w:pPr>
        <w:numPr>
          <w:ilvl w:val="0"/>
          <w:numId w:val="1"/>
        </w:numPr>
        <w:spacing w:line="550" w:lineRule="exact"/>
        <w:ind w:firstLine="48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提高认识，突出重点</w:t>
      </w:r>
    </w:p>
    <w:p>
      <w:pPr>
        <w:widowControl/>
        <w:spacing w:line="600" w:lineRule="atLeast"/>
        <w:ind w:firstLine="640"/>
        <w:jc w:val="left"/>
        <w:rPr>
          <w:rFonts w:hint="eastAsia"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1．提高对预算绩效管理的认识，充分理解财政绩效评价指标体系，注重绩效目标、评价指标的关联性，依据部门职责和年度工作重点，更加科学合理地确定部门绩效目标和评价目标。</w:t>
      </w:r>
    </w:p>
    <w:p>
      <w:pPr>
        <w:widowControl/>
        <w:spacing w:line="600" w:lineRule="atLeast"/>
        <w:ind w:firstLine="640"/>
        <w:jc w:val="left"/>
        <w:rPr>
          <w:rFonts w:hint="eastAsia"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强化全过程预算绩效管理理念，强化部门项目选择与部门职责的相关性。按财政管理要求进一步建立完善项目库和内部项目选择机制，完善项目管理制度，实施项目事加强领导重视，合理设定绩效目标，强化管理措施，科学编制预算,认真组织绩效考评。</w:t>
      </w:r>
    </w:p>
    <w:p>
      <w:pPr>
        <w:spacing w:line="550" w:lineRule="exact"/>
        <w:ind w:left="63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（二）强化管理，规范行为</w:t>
      </w:r>
    </w:p>
    <w:p>
      <w:pPr>
        <w:widowControl/>
        <w:spacing w:line="600" w:lineRule="atLeast"/>
        <w:ind w:firstLine="640"/>
        <w:jc w:val="left"/>
        <w:rPr>
          <w:rFonts w:hint="eastAsia"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1．强化部门预算约束，细化预算编制，严格预算执行，合理制定项目方案和计划，减少预算执行中的项目预算调整和结余，平衡好预算执行进度，提高财政资金使用效率和效益。</w:t>
      </w:r>
    </w:p>
    <w:p>
      <w:pPr>
        <w:widowControl/>
        <w:spacing w:line="600" w:lineRule="atLeast"/>
        <w:ind w:firstLine="640"/>
        <w:jc w:val="left"/>
        <w:rPr>
          <w:rFonts w:hint="eastAsia"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2．加强预算项目事前、事中、事后管控，做到事前有评估、事中有监控、事后有评价，并且按预期绩效目标完成程度考核项目实施效果。</w:t>
      </w:r>
    </w:p>
    <w:p>
      <w:pPr>
        <w:spacing w:line="550" w:lineRule="exact"/>
        <w:ind w:left="63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（三）科学考核，注重实效</w:t>
      </w:r>
    </w:p>
    <w:p>
      <w:pPr>
        <w:widowControl/>
        <w:spacing w:line="600" w:lineRule="atLeast"/>
        <w:ind w:firstLine="640"/>
        <w:jc w:val="left"/>
        <w:rPr>
          <w:rFonts w:hint="eastAsia"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1．建立科学合理的项目预算效果考核机制，依据预设的绩效数量、质量指标全面衡量预算实施效果，既重“绩”，更重“效”。</w:t>
      </w:r>
    </w:p>
    <w:p>
      <w:pPr>
        <w:widowControl/>
        <w:spacing w:line="600" w:lineRule="atLeast"/>
        <w:ind w:firstLine="640"/>
        <w:jc w:val="left"/>
        <w:rPr>
          <w:rFonts w:hint="eastAsia"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2．注重考核的全面性和客观性，对预设指标之外的项目效果同样纳入考核评价报告。</w:t>
      </w:r>
    </w:p>
    <w:p>
      <w:pPr>
        <w:spacing w:line="360" w:lineRule="auto"/>
        <w:ind w:firstLine="640" w:firstLineChars="200"/>
        <w:jc w:val="left"/>
        <w:rPr>
          <w:rFonts w:ascii="黑体" w:hAnsi="黑体" w:eastAsia="黑体"/>
          <w:sz w:val="32"/>
          <w:szCs w:val="32"/>
        </w:rPr>
      </w:pPr>
      <w:r>
        <w:rPr>
          <w:rFonts w:ascii="黑体" w:hAnsi="黑体" w:eastAsia="黑体"/>
          <w:sz w:val="32"/>
          <w:szCs w:val="32"/>
        </w:rPr>
        <w:t>九、部门整体支出绩效自评结果拟应用和公开情况</w:t>
      </w:r>
    </w:p>
    <w:p>
      <w:pPr>
        <w:widowControl/>
        <w:spacing w:line="600" w:lineRule="atLeast"/>
        <w:ind w:firstLine="640"/>
        <w:jc w:val="left"/>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 xml:space="preserve"> 总体看，我单位支出管理较为规范，财务管理制度较完善，部门整体绩效较好。部门整体支出绩效评价结果将作为今后本单位进行资金安排的重要依据，会按照相关要求及时将整体支出绩效自评报告和项目支出绩效自评表在财政预决算公开专栏公开，接受社会监督。</w:t>
      </w:r>
    </w:p>
    <w:p>
      <w:pPr>
        <w:adjustRightInd w:val="0"/>
        <w:snapToGrid w:val="0"/>
        <w:spacing w:line="600" w:lineRule="exact"/>
        <w:ind w:firstLine="640" w:firstLineChars="200"/>
        <w:jc w:val="left"/>
        <w:rPr>
          <w:rFonts w:ascii="仿宋_GB2312" w:hAnsi="微软雅黑" w:eastAsia="仿宋_GB2312" w:cs="仿宋_GB2312"/>
          <w:color w:val="000000"/>
          <w:kern w:val="0"/>
          <w:sz w:val="32"/>
          <w:szCs w:val="32"/>
        </w:rPr>
      </w:pPr>
      <w:r>
        <w:rPr>
          <w:rFonts w:hint="eastAsia" w:ascii="黑体" w:hAnsi="黑体" w:eastAsia="黑体"/>
          <w:sz w:val="32"/>
          <w:szCs w:val="32"/>
        </w:rPr>
        <w:t>十、</w:t>
      </w:r>
      <w:r>
        <w:rPr>
          <w:rFonts w:ascii="黑体" w:hAnsi="黑体" w:eastAsia="黑体"/>
          <w:sz w:val="32"/>
          <w:szCs w:val="32"/>
        </w:rPr>
        <w:t>其他需要说明的情况</w:t>
      </w:r>
      <w:r>
        <w:rPr>
          <w:rFonts w:hint="eastAsia" w:ascii="黑体" w:hAnsi="黑体" w:eastAsia="黑体"/>
          <w:sz w:val="32"/>
          <w:szCs w:val="32"/>
        </w:rPr>
        <w:t>：</w:t>
      </w:r>
      <w:r>
        <w:rPr>
          <w:rFonts w:hint="eastAsia" w:ascii="仿宋_GB2312" w:hAnsi="微软雅黑" w:eastAsia="仿宋_GB2312" w:cs="仿宋_GB2312"/>
          <w:color w:val="000000"/>
          <w:kern w:val="0"/>
          <w:sz w:val="32"/>
          <w:szCs w:val="32"/>
        </w:rPr>
        <w:t>无</w:t>
      </w:r>
    </w:p>
    <w:p>
      <w:pPr>
        <w:pStyle w:val="17"/>
        <w:spacing w:line="600" w:lineRule="exact"/>
        <w:ind w:firstLine="640" w:firstLineChars="200"/>
        <w:rPr>
          <w:rFonts w:ascii="Times New Roman" w:hAnsi="Times New Roman" w:eastAsia="仿宋_GB2312"/>
          <w:sz w:val="32"/>
          <w:szCs w:val="32"/>
        </w:rPr>
      </w:pPr>
    </w:p>
    <w:p>
      <w:pPr>
        <w:pStyle w:val="17"/>
        <w:jc w:val="center"/>
        <w:rPr>
          <w:sz w:val="72"/>
          <w:szCs w:val="72"/>
        </w:rPr>
      </w:pPr>
    </w:p>
    <w:p>
      <w:pPr>
        <w:pStyle w:val="17"/>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BEE90"/>
    <w:multiLevelType w:val="singleLevel"/>
    <w:tmpl w:val="62EBEE90"/>
    <w:lvl w:ilvl="0" w:tentative="0">
      <w:start w:val="1"/>
      <w:numFmt w:val="chineseCounting"/>
      <w:suff w:val="nothing"/>
      <w:lvlText w:val="（%1）"/>
      <w:lvlJc w:val="left"/>
      <w:pPr>
        <w:ind w:left="1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gwNmUzZjRmMDdlMDg3ZGJiMmZhOGFmMWZiM2EifQ=="/>
  </w:docVars>
  <w:rsids>
    <w:rsidRoot w:val="004506F9"/>
    <w:rsid w:val="0002229B"/>
    <w:rsid w:val="000273BD"/>
    <w:rsid w:val="00040CBC"/>
    <w:rsid w:val="000415B7"/>
    <w:rsid w:val="00041E3F"/>
    <w:rsid w:val="0004453E"/>
    <w:rsid w:val="00055DAA"/>
    <w:rsid w:val="00061F7B"/>
    <w:rsid w:val="000658A3"/>
    <w:rsid w:val="00073D69"/>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3F682E"/>
    <w:rsid w:val="00416E61"/>
    <w:rsid w:val="0042790C"/>
    <w:rsid w:val="004376D6"/>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53D2D"/>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B6C"/>
    <w:rsid w:val="00710FE7"/>
    <w:rsid w:val="00717621"/>
    <w:rsid w:val="00720FF1"/>
    <w:rsid w:val="00727A53"/>
    <w:rsid w:val="00736300"/>
    <w:rsid w:val="00787B42"/>
    <w:rsid w:val="007C4539"/>
    <w:rsid w:val="007F3657"/>
    <w:rsid w:val="00812ED5"/>
    <w:rsid w:val="008277D9"/>
    <w:rsid w:val="0084478C"/>
    <w:rsid w:val="0086638C"/>
    <w:rsid w:val="008A3E8D"/>
    <w:rsid w:val="008B1F26"/>
    <w:rsid w:val="008F7D56"/>
    <w:rsid w:val="009237C4"/>
    <w:rsid w:val="00944C48"/>
    <w:rsid w:val="00950252"/>
    <w:rsid w:val="00956FBD"/>
    <w:rsid w:val="00967F5D"/>
    <w:rsid w:val="009A0F95"/>
    <w:rsid w:val="009B3ADF"/>
    <w:rsid w:val="009C2022"/>
    <w:rsid w:val="009C3B52"/>
    <w:rsid w:val="009E6817"/>
    <w:rsid w:val="009E6E9A"/>
    <w:rsid w:val="00A01D2B"/>
    <w:rsid w:val="00A42218"/>
    <w:rsid w:val="00A70249"/>
    <w:rsid w:val="00A70B02"/>
    <w:rsid w:val="00A71D9F"/>
    <w:rsid w:val="00A92E9F"/>
    <w:rsid w:val="00AB18FF"/>
    <w:rsid w:val="00B33BEA"/>
    <w:rsid w:val="00B57C9F"/>
    <w:rsid w:val="00B63572"/>
    <w:rsid w:val="00B82625"/>
    <w:rsid w:val="00B845B3"/>
    <w:rsid w:val="00B85D8B"/>
    <w:rsid w:val="00BB4A40"/>
    <w:rsid w:val="00BD6C3E"/>
    <w:rsid w:val="00BE3674"/>
    <w:rsid w:val="00C10681"/>
    <w:rsid w:val="00C3049A"/>
    <w:rsid w:val="00C31B1E"/>
    <w:rsid w:val="00C41BC3"/>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C4E0E"/>
    <w:rsid w:val="00FE16FA"/>
    <w:rsid w:val="00FE328A"/>
    <w:rsid w:val="00FE6269"/>
    <w:rsid w:val="00FF5CD6"/>
    <w:rsid w:val="012C2953"/>
    <w:rsid w:val="01697D64"/>
    <w:rsid w:val="01C87349"/>
    <w:rsid w:val="063522A9"/>
    <w:rsid w:val="06A15AF6"/>
    <w:rsid w:val="075E313A"/>
    <w:rsid w:val="0898427F"/>
    <w:rsid w:val="09075A53"/>
    <w:rsid w:val="092979F5"/>
    <w:rsid w:val="09720BA8"/>
    <w:rsid w:val="098F597B"/>
    <w:rsid w:val="0D500B2D"/>
    <w:rsid w:val="0E763A4A"/>
    <w:rsid w:val="101E5795"/>
    <w:rsid w:val="1156640E"/>
    <w:rsid w:val="11E479B2"/>
    <w:rsid w:val="13E80751"/>
    <w:rsid w:val="15A07014"/>
    <w:rsid w:val="17467C1C"/>
    <w:rsid w:val="1763654B"/>
    <w:rsid w:val="17E0430D"/>
    <w:rsid w:val="189C688A"/>
    <w:rsid w:val="19235F91"/>
    <w:rsid w:val="19E662C9"/>
    <w:rsid w:val="1A0D2738"/>
    <w:rsid w:val="1A786B5F"/>
    <w:rsid w:val="1ACB7EC9"/>
    <w:rsid w:val="1B5F5433"/>
    <w:rsid w:val="1B8A679C"/>
    <w:rsid w:val="1D97DEFF"/>
    <w:rsid w:val="1DFF72E5"/>
    <w:rsid w:val="1EFC6F07"/>
    <w:rsid w:val="211E264E"/>
    <w:rsid w:val="213830CA"/>
    <w:rsid w:val="237167B6"/>
    <w:rsid w:val="23902210"/>
    <w:rsid w:val="23C44815"/>
    <w:rsid w:val="25634134"/>
    <w:rsid w:val="27AC7A9A"/>
    <w:rsid w:val="27BC5F2F"/>
    <w:rsid w:val="29B13146"/>
    <w:rsid w:val="29F21236"/>
    <w:rsid w:val="2BEE0681"/>
    <w:rsid w:val="2CFF7BBC"/>
    <w:rsid w:val="2DFA0C10"/>
    <w:rsid w:val="2F837332"/>
    <w:rsid w:val="2FDF85B8"/>
    <w:rsid w:val="2FFFEE04"/>
    <w:rsid w:val="30004E27"/>
    <w:rsid w:val="33694B23"/>
    <w:rsid w:val="34C60CFA"/>
    <w:rsid w:val="34DF85B0"/>
    <w:rsid w:val="36A858D0"/>
    <w:rsid w:val="3780216D"/>
    <w:rsid w:val="378B147A"/>
    <w:rsid w:val="387A4C95"/>
    <w:rsid w:val="3AB424E8"/>
    <w:rsid w:val="3B5A10F2"/>
    <w:rsid w:val="3B8F36BC"/>
    <w:rsid w:val="3BE96E33"/>
    <w:rsid w:val="3C1E28BD"/>
    <w:rsid w:val="3F601FBF"/>
    <w:rsid w:val="40A93B94"/>
    <w:rsid w:val="40D61F18"/>
    <w:rsid w:val="451D704F"/>
    <w:rsid w:val="464B45D7"/>
    <w:rsid w:val="46D67F43"/>
    <w:rsid w:val="491FF225"/>
    <w:rsid w:val="4F0A1BC7"/>
    <w:rsid w:val="4FFD214C"/>
    <w:rsid w:val="51DA038A"/>
    <w:rsid w:val="574D6CA1"/>
    <w:rsid w:val="5777D4F5"/>
    <w:rsid w:val="58975A79"/>
    <w:rsid w:val="59C73A3F"/>
    <w:rsid w:val="59DD8326"/>
    <w:rsid w:val="5DEF592A"/>
    <w:rsid w:val="5FC6BB1E"/>
    <w:rsid w:val="5FF720F1"/>
    <w:rsid w:val="62FE5F36"/>
    <w:rsid w:val="670D1D04"/>
    <w:rsid w:val="67FF5C0B"/>
    <w:rsid w:val="699B4C9D"/>
    <w:rsid w:val="69E5416A"/>
    <w:rsid w:val="6D347CB2"/>
    <w:rsid w:val="6D7E4524"/>
    <w:rsid w:val="6DFB0400"/>
    <w:rsid w:val="6EFC0924"/>
    <w:rsid w:val="6FB74722"/>
    <w:rsid w:val="6FEF8B7E"/>
    <w:rsid w:val="71A6591B"/>
    <w:rsid w:val="724957B7"/>
    <w:rsid w:val="737D59BA"/>
    <w:rsid w:val="743441C2"/>
    <w:rsid w:val="74C8040B"/>
    <w:rsid w:val="74DF0134"/>
    <w:rsid w:val="77B613C1"/>
    <w:rsid w:val="77C37683"/>
    <w:rsid w:val="77DF2C05"/>
    <w:rsid w:val="78AB286E"/>
    <w:rsid w:val="78DA3834"/>
    <w:rsid w:val="79FF515B"/>
    <w:rsid w:val="7A0B3D52"/>
    <w:rsid w:val="7A8760AF"/>
    <w:rsid w:val="7B34376B"/>
    <w:rsid w:val="7C372603"/>
    <w:rsid w:val="7E6808A2"/>
    <w:rsid w:val="7E9E1962"/>
    <w:rsid w:val="7E9F11B4"/>
    <w:rsid w:val="7EEA4E1C"/>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endnote text"/>
    <w:basedOn w:val="1"/>
    <w:next w:val="3"/>
    <w:qFormat/>
    <w:uiPriority w:val="0"/>
    <w:rPr>
      <w:rFonts w:ascii="Times New Roman" w:hAnsi="Times New Roman" w:eastAsia="宋体" w:cs="Times New Roman"/>
    </w:rPr>
  </w:style>
  <w:style w:type="paragraph" w:styleId="3">
    <w:name w:val="Body Text"/>
    <w:basedOn w:val="1"/>
    <w:next w:val="4"/>
    <w:qFormat/>
    <w:uiPriority w:val="0"/>
    <w:rPr>
      <w:sz w:val="31"/>
      <w:szCs w:val="22"/>
    </w:rPr>
  </w:style>
  <w:style w:type="paragraph" w:styleId="4">
    <w:name w:val="footer"/>
    <w:basedOn w:val="1"/>
    <w:next w:val="5"/>
    <w:link w:val="16"/>
    <w:unhideWhenUsed/>
    <w:qFormat/>
    <w:uiPriority w:val="99"/>
    <w:pPr>
      <w:tabs>
        <w:tab w:val="center" w:pos="4153"/>
        <w:tab w:val="right" w:pos="8306"/>
      </w:tabs>
      <w:snapToGrid w:val="0"/>
      <w:jc w:val="left"/>
    </w:pPr>
    <w:rPr>
      <w:sz w:val="18"/>
      <w:szCs w:val="18"/>
    </w:rPr>
  </w:style>
  <w:style w:type="paragraph" w:styleId="5">
    <w:name w:val="index 5"/>
    <w:basedOn w:val="1"/>
    <w:next w:val="1"/>
    <w:qFormat/>
    <w:uiPriority w:val="0"/>
    <w:pPr>
      <w:ind w:left="1680"/>
    </w:pPr>
    <w:rPr>
      <w:rFonts w:ascii="Times New Roman" w:hAnsi="Times New Roman" w:eastAsia="宋体"/>
    </w:rPr>
  </w:style>
  <w:style w:type="paragraph" w:styleId="7">
    <w:name w:val="Body Text Indent"/>
    <w:basedOn w:val="1"/>
    <w:next w:val="8"/>
    <w:unhideWhenUsed/>
    <w:qFormat/>
    <w:uiPriority w:val="99"/>
    <w:pPr>
      <w:widowControl/>
      <w:spacing w:after="120"/>
      <w:ind w:left="420" w:leftChars="200"/>
      <w:jc w:val="left"/>
    </w:pPr>
    <w:rPr>
      <w:rFonts w:ascii="宋体" w:hAnsi="宋体" w:eastAsia="宋体" w:cs="宋体"/>
      <w:kern w:val="0"/>
      <w:sz w:val="24"/>
    </w:rPr>
  </w:style>
  <w:style w:type="paragraph" w:styleId="8">
    <w:name w:val="Body Text First Indent 2"/>
    <w:basedOn w:val="7"/>
    <w:next w:val="1"/>
    <w:unhideWhenUsed/>
    <w:qFormat/>
    <w:uiPriority w:val="99"/>
    <w:pPr>
      <w:ind w:firstLine="420" w:firstLineChars="200"/>
    </w:pPr>
  </w:style>
  <w:style w:type="paragraph" w:styleId="9">
    <w:name w:val="Balloon Text"/>
    <w:basedOn w:val="1"/>
    <w:link w:val="19"/>
    <w:semiHidden/>
    <w:unhideWhenUsed/>
    <w:qFormat/>
    <w:uiPriority w:val="99"/>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8"/>
    <w:semiHidden/>
    <w:qFormat/>
    <w:uiPriority w:val="0"/>
    <w:pPr>
      <w:snapToGrid w:val="0"/>
      <w:jc w:val="left"/>
    </w:pPr>
    <w:rPr>
      <w:sz w:val="18"/>
      <w:szCs w:val="18"/>
    </w:rPr>
  </w:style>
  <w:style w:type="paragraph" w:styleId="12">
    <w:name w:val="Normal (Web)"/>
    <w:basedOn w:val="1"/>
    <w:qFormat/>
    <w:uiPriority w:val="0"/>
    <w:rPr>
      <w:sz w:val="24"/>
    </w:rPr>
  </w:style>
  <w:style w:type="character" w:customStyle="1" w:styleId="15">
    <w:name w:val="页眉 Char"/>
    <w:basedOn w:val="14"/>
    <w:link w:val="10"/>
    <w:qFormat/>
    <w:uiPriority w:val="99"/>
    <w:rPr>
      <w:sz w:val="18"/>
      <w:szCs w:val="18"/>
    </w:rPr>
  </w:style>
  <w:style w:type="character" w:customStyle="1" w:styleId="16">
    <w:name w:val="页脚 Char"/>
    <w:basedOn w:val="14"/>
    <w:link w:val="4"/>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9"/>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8576</Words>
  <Characters>10762</Characters>
  <Lines>87</Lines>
  <Paragraphs>24</Paragraphs>
  <TotalTime>4</TotalTime>
  <ScaleCrop>false</ScaleCrop>
  <LinksUpToDate>false</LinksUpToDate>
  <CharactersWithSpaces>11331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丫丫</cp:lastModifiedBy>
  <cp:lastPrinted>2024-08-08T10:20:00Z</cp:lastPrinted>
  <dcterms:modified xsi:type="dcterms:W3CDTF">2024-09-06T02:25:21Z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58CE031BB35E4149AF155D590BD86801</vt:lpwstr>
  </property>
</Properties>
</file>