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jc w:val="center"/>
        <w:rPr>
          <w:rFonts w:hint="default"/>
          <w:color w:val="333333"/>
          <w:sz w:val="45"/>
          <w:szCs w:val="45"/>
        </w:rPr>
      </w:pPr>
      <w:bookmarkStart w:id="0" w:name="_GoBack"/>
      <w:r>
        <w:rPr>
          <w:color w:val="333333"/>
          <w:sz w:val="45"/>
          <w:szCs w:val="45"/>
        </w:rPr>
        <w:t>赫山区工商联2023年度部门整体支出</w:t>
      </w:r>
    </w:p>
    <w:p>
      <w:pPr>
        <w:pStyle w:val="2"/>
        <w:widowControl/>
        <w:spacing w:beforeAutospacing="0" w:afterAutospacing="0"/>
        <w:jc w:val="center"/>
        <w:rPr>
          <w:rFonts w:hint="default"/>
          <w:color w:val="333333"/>
          <w:sz w:val="45"/>
          <w:szCs w:val="45"/>
        </w:rPr>
      </w:pPr>
      <w:r>
        <w:rPr>
          <w:color w:val="333333"/>
          <w:sz w:val="45"/>
          <w:szCs w:val="45"/>
        </w:rPr>
        <w:t>绩效评价报告</w:t>
      </w:r>
    </w:p>
    <w:bookmarkEnd w:id="0"/>
    <w:p/>
    <w:p>
      <w:pPr>
        <w:pStyle w:val="14"/>
        <w:numPr>
          <w:ilvl w:val="0"/>
          <w:numId w:val="1"/>
        </w:numPr>
        <w:spacing w:line="560" w:lineRule="exact"/>
        <w:ind w:firstLineChars="0"/>
        <w:jc w:val="left"/>
        <w:rPr>
          <w:rFonts w:ascii="仿宋" w:hAnsi="仿宋" w:eastAsia="仿宋" w:cs="华文仿宋"/>
          <w:sz w:val="32"/>
          <w:szCs w:val="32"/>
        </w:rPr>
      </w:pPr>
      <w:r>
        <w:rPr>
          <w:rFonts w:hint="eastAsia" w:ascii="仿宋" w:hAnsi="仿宋" w:eastAsia="仿宋" w:cs="华文仿宋"/>
          <w:sz w:val="32"/>
          <w:szCs w:val="32"/>
        </w:rPr>
        <w:t>为切实做好2023年度预算绩效自评工作，提高财政资金使用效益，根据《益阳市赫山区财政局关于开展2023年度区级预算部门绩效自评和部门评价工作的通知》（益赫财绩〔2024〕2号）文件精神，并结合实际，现将我单位整体支出绩效自评结果报告如下：</w:t>
      </w:r>
    </w:p>
    <w:p>
      <w:pPr>
        <w:pStyle w:val="8"/>
        <w:widowControl/>
        <w:numPr>
          <w:ilvl w:val="0"/>
          <w:numId w:val="1"/>
        </w:numPr>
        <w:shd w:val="clear" w:color="auto" w:fill="FFFFFF"/>
        <w:spacing w:beforeAutospacing="0" w:afterAutospacing="0" w:line="540" w:lineRule="atLeast"/>
        <w:ind w:firstLine="640" w:firstLineChars="200"/>
        <w:jc w:val="both"/>
        <w:rPr>
          <w:rFonts w:ascii="仿宋" w:hAnsi="仿宋" w:eastAsia="仿宋" w:cs="华文仿宋"/>
          <w:bCs/>
          <w:sz w:val="32"/>
          <w:szCs w:val="32"/>
        </w:rPr>
      </w:pPr>
      <w:r>
        <w:rPr>
          <w:rFonts w:hint="eastAsia" w:ascii="仿宋" w:hAnsi="仿宋" w:eastAsia="仿宋" w:cs="华文仿宋"/>
          <w:bCs/>
          <w:sz w:val="32"/>
          <w:szCs w:val="32"/>
        </w:rPr>
        <w:t>部门基本情况</w:t>
      </w:r>
    </w:p>
    <w:p>
      <w:pPr>
        <w:pStyle w:val="8"/>
        <w:widowControl/>
        <w:shd w:val="clear" w:color="auto" w:fill="FFFFFF"/>
        <w:spacing w:beforeAutospacing="0" w:afterAutospacing="0" w:line="540" w:lineRule="atLeast"/>
        <w:ind w:firstLine="640" w:firstLineChars="200"/>
        <w:jc w:val="both"/>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1.内设机构</w:t>
      </w:r>
    </w:p>
    <w:p>
      <w:pPr>
        <w:pStyle w:val="8"/>
        <w:widowControl/>
        <w:shd w:val="clear" w:color="auto" w:fill="FFFFFF"/>
        <w:spacing w:beforeAutospacing="0" w:afterAutospacing="0" w:line="540" w:lineRule="atLeast"/>
        <w:ind w:firstLine="640" w:firstLineChars="200"/>
        <w:jc w:val="both"/>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赫山区工商联为机关行政单位，核定全额拨款</w:t>
      </w:r>
      <w:r>
        <w:rPr>
          <w:rFonts w:hint="eastAsia" w:ascii="仿宋" w:hAnsi="仿宋" w:eastAsia="仿宋" w:cs="仿宋"/>
          <w:color w:val="000000"/>
          <w:sz w:val="32"/>
          <w:szCs w:val="32"/>
          <w:shd w:val="clear" w:color="auto" w:fill="FFFFFF"/>
          <w:lang w:val="en-US" w:eastAsia="zh-CN"/>
        </w:rPr>
        <w:t>7</w:t>
      </w:r>
      <w:r>
        <w:rPr>
          <w:rFonts w:hint="eastAsia" w:ascii="仿宋" w:hAnsi="仿宋" w:eastAsia="仿宋" w:cs="仿宋"/>
          <w:color w:val="000000"/>
          <w:sz w:val="32"/>
          <w:szCs w:val="32"/>
          <w:shd w:val="clear" w:color="auto" w:fill="FFFFFF"/>
        </w:rPr>
        <w:t>名,其中行政编制5名、事业编制</w:t>
      </w:r>
      <w:r>
        <w:rPr>
          <w:rFonts w:hint="eastAsia" w:ascii="仿宋" w:hAnsi="仿宋" w:eastAsia="仿宋" w:cs="仿宋"/>
          <w:color w:val="000000"/>
          <w:sz w:val="32"/>
          <w:szCs w:val="32"/>
          <w:shd w:val="clear" w:color="auto" w:fill="FFFFFF"/>
          <w:lang w:val="en-US" w:eastAsia="zh-CN"/>
        </w:rPr>
        <w:t>2</w:t>
      </w:r>
      <w:r>
        <w:rPr>
          <w:rFonts w:hint="eastAsia" w:ascii="仿宋" w:hAnsi="仿宋" w:eastAsia="仿宋" w:cs="仿宋"/>
          <w:color w:val="000000"/>
          <w:sz w:val="32"/>
          <w:szCs w:val="32"/>
          <w:shd w:val="clear" w:color="auto" w:fill="FFFFFF"/>
        </w:rPr>
        <w:t>名，设主席1名、副主席2名、主任科员1名；内设办公室、非公企业服务中心（股级二级机构）。</w:t>
      </w:r>
    </w:p>
    <w:p>
      <w:pPr>
        <w:pStyle w:val="8"/>
        <w:widowControl/>
        <w:shd w:val="clear" w:color="auto" w:fill="FFFFFF"/>
        <w:spacing w:beforeAutospacing="0" w:afterAutospacing="0" w:line="540" w:lineRule="atLeast"/>
        <w:ind w:firstLine="640" w:firstLineChars="200"/>
        <w:jc w:val="both"/>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2.主要职责</w:t>
      </w:r>
    </w:p>
    <w:p>
      <w:pPr>
        <w:pStyle w:val="8"/>
        <w:widowControl/>
        <w:shd w:val="clear" w:color="auto" w:fill="FFFFFF"/>
        <w:spacing w:beforeAutospacing="0" w:afterAutospacing="0" w:line="540" w:lineRule="atLeast"/>
        <w:ind w:firstLine="480"/>
        <w:jc w:val="both"/>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（一）做工商界代表人士政治安排的推荐工作。</w:t>
      </w:r>
    </w:p>
    <w:p>
      <w:pPr>
        <w:pStyle w:val="8"/>
        <w:widowControl/>
        <w:shd w:val="clear" w:color="auto" w:fill="FFFFFF"/>
        <w:spacing w:beforeAutospacing="0" w:afterAutospacing="0" w:line="540" w:lineRule="atLeast"/>
        <w:ind w:firstLine="480"/>
        <w:jc w:val="both"/>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（二）提倡爱国、敬业、诚信、守法，提高会员素质，培养积极分子队伍。</w:t>
      </w:r>
    </w:p>
    <w:p>
      <w:pPr>
        <w:pStyle w:val="8"/>
        <w:widowControl/>
        <w:shd w:val="clear" w:color="auto" w:fill="FFFFFF"/>
        <w:spacing w:beforeAutospacing="0" w:afterAutospacing="0" w:line="540" w:lineRule="atLeast"/>
        <w:ind w:firstLine="624"/>
        <w:rPr>
          <w:rFonts w:ascii="仿宋" w:hAnsi="仿宋" w:eastAsia="仿宋" w:cs="仿宋"/>
          <w:color w:val="333333"/>
          <w:sz w:val="32"/>
          <w:szCs w:val="32"/>
        </w:rPr>
      </w:pPr>
      <w:r>
        <w:rPr>
          <w:rFonts w:hint="eastAsia" w:ascii="仿宋" w:hAnsi="仿宋" w:eastAsia="仿宋" w:cs="仿宋"/>
          <w:color w:val="333333"/>
          <w:spacing w:val="-4"/>
          <w:sz w:val="32"/>
          <w:szCs w:val="32"/>
          <w:shd w:val="clear" w:color="auto" w:fill="FFFFFF"/>
        </w:rPr>
        <w:t>（三）代表并维护会员的合法权益，反映会员的意见、要求和建议。</w:t>
      </w:r>
    </w:p>
    <w:p>
      <w:pPr>
        <w:pStyle w:val="8"/>
        <w:widowControl/>
        <w:shd w:val="clear" w:color="auto" w:fill="FFFFFF"/>
        <w:spacing w:beforeAutospacing="0" w:afterAutospacing="0" w:line="540" w:lineRule="atLeast"/>
        <w:ind w:firstLine="624"/>
        <w:rPr>
          <w:rFonts w:ascii="仿宋" w:hAnsi="仿宋" w:eastAsia="仿宋" w:cs="仿宋"/>
          <w:color w:val="333333"/>
          <w:sz w:val="32"/>
          <w:szCs w:val="32"/>
        </w:rPr>
      </w:pPr>
      <w:r>
        <w:rPr>
          <w:rFonts w:hint="eastAsia" w:ascii="仿宋" w:hAnsi="仿宋" w:eastAsia="仿宋" w:cs="仿宋"/>
          <w:color w:val="333333"/>
          <w:spacing w:val="-4"/>
          <w:sz w:val="32"/>
          <w:szCs w:val="32"/>
          <w:shd w:val="clear" w:color="auto" w:fill="FFFFFF"/>
        </w:rPr>
        <w:t>（四）引导会员弘扬中华民族传统美德，先富帮后富，走共同富裕的道路，热心社会公益事业。</w:t>
      </w:r>
    </w:p>
    <w:p>
      <w:pPr>
        <w:pStyle w:val="8"/>
        <w:widowControl/>
        <w:shd w:val="clear" w:color="auto" w:fill="FFFFFF"/>
        <w:spacing w:beforeAutospacing="0" w:afterAutospacing="0" w:line="540" w:lineRule="atLeast"/>
        <w:ind w:firstLine="624"/>
        <w:rPr>
          <w:rFonts w:ascii="仿宋" w:hAnsi="仿宋" w:eastAsia="仿宋" w:cs="仿宋"/>
          <w:color w:val="333333"/>
          <w:sz w:val="32"/>
          <w:szCs w:val="32"/>
        </w:rPr>
      </w:pPr>
      <w:r>
        <w:rPr>
          <w:rFonts w:hint="eastAsia" w:ascii="仿宋" w:hAnsi="仿宋" w:eastAsia="仿宋" w:cs="仿宋"/>
          <w:color w:val="333333"/>
          <w:spacing w:val="-4"/>
          <w:sz w:val="32"/>
          <w:szCs w:val="32"/>
          <w:shd w:val="clear" w:color="auto" w:fill="FFFFFF"/>
        </w:rPr>
        <w:t> (五）为会员提供信息和科技、管理、法律、会计、审计、融资、咨询等服务。</w:t>
      </w:r>
    </w:p>
    <w:p>
      <w:pPr>
        <w:pStyle w:val="8"/>
        <w:widowControl/>
        <w:shd w:val="clear" w:color="auto" w:fill="FFFFFF"/>
        <w:spacing w:beforeAutospacing="0" w:afterAutospacing="0" w:line="540" w:lineRule="atLeast"/>
        <w:ind w:firstLine="624"/>
        <w:rPr>
          <w:rFonts w:ascii="仿宋" w:hAnsi="仿宋" w:eastAsia="仿宋" w:cs="仿宋"/>
          <w:color w:val="333333"/>
          <w:sz w:val="32"/>
          <w:szCs w:val="32"/>
        </w:rPr>
      </w:pPr>
      <w:r>
        <w:rPr>
          <w:rFonts w:hint="eastAsia" w:ascii="仿宋" w:hAnsi="仿宋" w:eastAsia="仿宋" w:cs="仿宋"/>
          <w:color w:val="333333"/>
          <w:spacing w:val="-4"/>
          <w:sz w:val="32"/>
          <w:szCs w:val="32"/>
          <w:shd w:val="clear" w:color="auto" w:fill="FFFFFF"/>
        </w:rPr>
        <w:t>（六）开展专业培训，帮助会员改进经营、完善管理、照章纳税，提高生产技术和产品质量。</w:t>
      </w:r>
    </w:p>
    <w:p>
      <w:pPr>
        <w:pStyle w:val="8"/>
        <w:widowControl/>
        <w:shd w:val="clear" w:color="auto" w:fill="FFFFFF"/>
        <w:spacing w:beforeAutospacing="0" w:afterAutospacing="0" w:line="540" w:lineRule="atLeast"/>
        <w:ind w:firstLine="624"/>
        <w:rPr>
          <w:rFonts w:ascii="仿宋" w:hAnsi="仿宋" w:eastAsia="仿宋" w:cs="仿宋"/>
          <w:color w:val="333333"/>
          <w:sz w:val="32"/>
          <w:szCs w:val="32"/>
        </w:rPr>
      </w:pPr>
      <w:r>
        <w:rPr>
          <w:rFonts w:hint="eastAsia" w:ascii="仿宋" w:hAnsi="仿宋" w:eastAsia="仿宋" w:cs="仿宋"/>
          <w:color w:val="333333"/>
          <w:spacing w:val="-4"/>
          <w:sz w:val="32"/>
          <w:szCs w:val="32"/>
          <w:shd w:val="clear" w:color="auto" w:fill="FFFFFF"/>
        </w:rPr>
        <w:t>（七）组织会员举办和参加展销会、交易会，组织会员出国、出境考察访问。</w:t>
      </w:r>
    </w:p>
    <w:p>
      <w:pPr>
        <w:pStyle w:val="8"/>
        <w:widowControl/>
        <w:shd w:val="clear" w:color="auto" w:fill="FFFFFF"/>
        <w:spacing w:beforeAutospacing="0" w:afterAutospacing="0" w:line="540" w:lineRule="atLeast"/>
        <w:ind w:firstLine="624"/>
        <w:rPr>
          <w:rFonts w:ascii="仿宋" w:hAnsi="仿宋" w:eastAsia="仿宋" w:cs="仿宋"/>
          <w:color w:val="333333"/>
          <w:sz w:val="32"/>
          <w:szCs w:val="32"/>
        </w:rPr>
      </w:pPr>
      <w:r>
        <w:rPr>
          <w:rFonts w:hint="eastAsia" w:ascii="仿宋" w:hAnsi="仿宋" w:eastAsia="仿宋" w:cs="仿宋"/>
          <w:color w:val="333333"/>
          <w:spacing w:val="-4"/>
          <w:sz w:val="32"/>
          <w:szCs w:val="32"/>
          <w:shd w:val="clear" w:color="auto" w:fill="FFFFFF"/>
        </w:rPr>
        <w:t>（八）增进与各工商社团及工商经济界人士的联系和友谊，促进经济、技术和贸易合作，协助引进资金、技术、人才。</w:t>
      </w:r>
    </w:p>
    <w:p>
      <w:pPr>
        <w:pStyle w:val="8"/>
        <w:widowControl/>
        <w:shd w:val="clear" w:color="auto" w:fill="FFFFFF"/>
        <w:spacing w:beforeAutospacing="0" w:afterAutospacing="0" w:line="540" w:lineRule="atLeast"/>
        <w:ind w:firstLine="624"/>
        <w:rPr>
          <w:rFonts w:ascii="仿宋" w:hAnsi="仿宋" w:eastAsia="仿宋" w:cs="仿宋"/>
          <w:color w:val="333333"/>
          <w:sz w:val="32"/>
          <w:szCs w:val="32"/>
        </w:rPr>
      </w:pPr>
      <w:r>
        <w:rPr>
          <w:rFonts w:hint="eastAsia" w:ascii="仿宋" w:hAnsi="仿宋" w:eastAsia="仿宋" w:cs="仿宋"/>
          <w:color w:val="333333"/>
          <w:spacing w:val="-4"/>
          <w:sz w:val="32"/>
          <w:szCs w:val="32"/>
          <w:shd w:val="clear" w:color="auto" w:fill="FFFFFF"/>
        </w:rPr>
        <w:t>（九）为会员提供有关证明，协调关系，调整经济纠纷。</w:t>
      </w:r>
    </w:p>
    <w:p>
      <w:pPr>
        <w:pStyle w:val="8"/>
        <w:widowControl/>
        <w:shd w:val="clear" w:color="auto" w:fill="FFFFFF"/>
        <w:spacing w:beforeAutospacing="0" w:afterAutospacing="0" w:line="540" w:lineRule="atLeast"/>
        <w:ind w:firstLine="624"/>
        <w:rPr>
          <w:rFonts w:ascii="仿宋" w:hAnsi="仿宋" w:eastAsia="仿宋" w:cs="仿宋"/>
          <w:color w:val="333333"/>
          <w:sz w:val="32"/>
          <w:szCs w:val="32"/>
        </w:rPr>
      </w:pPr>
      <w:r>
        <w:rPr>
          <w:rFonts w:hint="eastAsia" w:ascii="仿宋" w:hAnsi="仿宋" w:eastAsia="仿宋" w:cs="仿宋"/>
          <w:color w:val="333333"/>
          <w:spacing w:val="-4"/>
          <w:sz w:val="32"/>
          <w:szCs w:val="32"/>
          <w:shd w:val="clear" w:color="auto" w:fill="FFFFFF"/>
        </w:rPr>
        <w:t>（十）办好会办企业、事业。</w:t>
      </w:r>
    </w:p>
    <w:p>
      <w:pPr>
        <w:pStyle w:val="8"/>
        <w:widowControl/>
        <w:shd w:val="clear" w:color="auto" w:fill="FFFFFF"/>
        <w:spacing w:beforeAutospacing="0" w:afterAutospacing="0" w:line="540" w:lineRule="atLeast"/>
        <w:ind w:firstLine="624"/>
        <w:rPr>
          <w:rFonts w:ascii="仿宋" w:hAnsi="仿宋" w:eastAsia="仿宋" w:cs="仿宋"/>
          <w:color w:val="333333"/>
          <w:spacing w:val="-4"/>
          <w:sz w:val="32"/>
          <w:szCs w:val="32"/>
          <w:shd w:val="clear" w:color="auto" w:fill="FFFFFF"/>
        </w:rPr>
      </w:pPr>
      <w:r>
        <w:rPr>
          <w:rFonts w:hint="eastAsia" w:ascii="仿宋" w:hAnsi="仿宋" w:eastAsia="仿宋" w:cs="仿宋"/>
          <w:color w:val="333333"/>
          <w:spacing w:val="-4"/>
          <w:sz w:val="32"/>
          <w:szCs w:val="32"/>
          <w:shd w:val="clear" w:color="auto" w:fill="FFFFFF"/>
        </w:rPr>
        <w:t>（十一）承办区委、区政府及有关部门委托事项。</w:t>
      </w:r>
    </w:p>
    <w:p>
      <w:pPr>
        <w:ind w:firstLine="640" w:firstLineChars="200"/>
        <w:rPr>
          <w:rFonts w:ascii="仿宋" w:hAnsi="仿宋" w:eastAsia="仿宋" w:cs="仿宋"/>
          <w:bCs/>
          <w:sz w:val="32"/>
          <w:szCs w:val="32"/>
        </w:rPr>
      </w:pPr>
      <w:r>
        <w:rPr>
          <w:rFonts w:hint="eastAsia" w:ascii="仿宋" w:hAnsi="仿宋" w:eastAsia="仿宋" w:cs="仿宋"/>
          <w:bCs/>
          <w:sz w:val="32"/>
          <w:szCs w:val="32"/>
        </w:rPr>
        <w:t>二、一般公共预算支出情况</w:t>
      </w:r>
    </w:p>
    <w:p>
      <w:pPr>
        <w:ind w:firstLine="624" w:firstLineChars="200"/>
        <w:rPr>
          <w:rFonts w:hint="eastAsia" w:ascii="仿宋" w:hAnsi="仿宋" w:eastAsia="仿宋" w:cs="华文仿宋"/>
          <w:sz w:val="32"/>
          <w:szCs w:val="32"/>
        </w:rPr>
      </w:pPr>
      <w:r>
        <w:rPr>
          <w:rFonts w:hint="eastAsia" w:ascii="仿宋" w:hAnsi="仿宋" w:eastAsia="仿宋" w:cs="仿宋"/>
          <w:color w:val="333333"/>
          <w:spacing w:val="-4"/>
          <w:kern w:val="0"/>
          <w:sz w:val="32"/>
          <w:szCs w:val="32"/>
          <w:shd w:val="clear" w:color="auto" w:fill="FFFFFF"/>
        </w:rPr>
        <w:t>（一）部门整体收支情况。</w:t>
      </w:r>
      <w:r>
        <w:rPr>
          <w:rFonts w:hint="eastAsia" w:ascii="仿宋" w:hAnsi="仿宋" w:eastAsia="仿宋" w:cs="华文仿宋"/>
          <w:sz w:val="32"/>
          <w:szCs w:val="32"/>
        </w:rPr>
        <w:t>2023年度收入合计138.85万元，其中：财政拨款收入133.34万元,其他收入5.51万元，上年无结转。 总支出138.85万元。</w:t>
      </w:r>
    </w:p>
    <w:p>
      <w:pPr>
        <w:ind w:firstLine="640" w:firstLineChars="200"/>
        <w:rPr>
          <w:rFonts w:ascii="仿宋" w:hAnsi="仿宋" w:eastAsia="仿宋" w:cs="仿宋"/>
          <w:sz w:val="32"/>
          <w:szCs w:val="32"/>
        </w:rPr>
      </w:pPr>
      <w:r>
        <w:rPr>
          <w:rFonts w:hint="eastAsia" w:ascii="仿宋" w:hAnsi="仿宋" w:eastAsia="仿宋" w:cs="仿宋"/>
          <w:sz w:val="32"/>
          <w:szCs w:val="32"/>
        </w:rPr>
        <w:t>（二）部门整体支出资金使用情况</w:t>
      </w:r>
    </w:p>
    <w:p>
      <w:pPr>
        <w:ind w:firstLine="624" w:firstLineChars="200"/>
        <w:rPr>
          <w:rFonts w:ascii="仿宋" w:hAnsi="仿宋" w:eastAsia="仿宋" w:cs="仿宋"/>
          <w:color w:val="333333"/>
          <w:spacing w:val="-4"/>
          <w:kern w:val="0"/>
          <w:sz w:val="32"/>
          <w:szCs w:val="32"/>
          <w:shd w:val="clear" w:color="auto" w:fill="FFFFFF"/>
        </w:rPr>
      </w:pPr>
      <w:r>
        <w:rPr>
          <w:rFonts w:hint="eastAsia" w:ascii="仿宋" w:hAnsi="仿宋" w:eastAsia="仿宋" w:cs="仿宋"/>
          <w:color w:val="333333"/>
          <w:spacing w:val="-4"/>
          <w:kern w:val="0"/>
          <w:sz w:val="32"/>
          <w:szCs w:val="32"/>
          <w:shd w:val="clear" w:color="auto" w:fill="FFFFFF"/>
        </w:rPr>
        <w:t>2023年我单位实际完成支出138.85万元，其中，工资福利支出96.66万元，商品和服务支出35.76万元，对个人和家庭的补助支出3.02万元。2023年“三公经费”公共预算财政拨款支出2.2万元，实际支出0元。</w:t>
      </w:r>
    </w:p>
    <w:p>
      <w:pPr>
        <w:pStyle w:val="14"/>
        <w:numPr>
          <w:ilvl w:val="0"/>
          <w:numId w:val="2"/>
        </w:numPr>
        <w:ind w:firstLineChars="0"/>
        <w:rPr>
          <w:rFonts w:ascii="仿宋" w:hAnsi="仿宋" w:eastAsia="仿宋" w:cs="仿宋"/>
          <w:sz w:val="32"/>
          <w:szCs w:val="32"/>
        </w:rPr>
      </w:pPr>
      <w:r>
        <w:rPr>
          <w:rFonts w:hint="eastAsia" w:ascii="仿宋" w:hAnsi="仿宋" w:eastAsia="仿宋" w:cs="仿宋"/>
          <w:sz w:val="32"/>
          <w:szCs w:val="32"/>
        </w:rPr>
        <w:t>政府性基金预算支出情况</w:t>
      </w:r>
    </w:p>
    <w:p>
      <w:pPr>
        <w:pStyle w:val="14"/>
        <w:ind w:left="720" w:firstLine="0" w:firstLineChars="0"/>
        <w:rPr>
          <w:rFonts w:ascii="仿宋" w:hAnsi="仿宋" w:eastAsia="仿宋" w:cs="仿宋"/>
          <w:sz w:val="32"/>
          <w:szCs w:val="32"/>
        </w:rPr>
      </w:pPr>
      <w:r>
        <w:rPr>
          <w:rFonts w:hint="eastAsia" w:ascii="仿宋" w:hAnsi="仿宋" w:eastAsia="仿宋" w:cs="仿宋"/>
          <w:sz w:val="32"/>
          <w:szCs w:val="32"/>
        </w:rPr>
        <w:t>无</w:t>
      </w:r>
    </w:p>
    <w:p>
      <w:pPr>
        <w:pStyle w:val="14"/>
        <w:numPr>
          <w:ilvl w:val="0"/>
          <w:numId w:val="2"/>
        </w:numPr>
        <w:ind w:firstLineChars="0"/>
        <w:rPr>
          <w:rFonts w:ascii="仿宋" w:hAnsi="仿宋" w:eastAsia="仿宋" w:cs="仿宋"/>
          <w:sz w:val="32"/>
          <w:szCs w:val="32"/>
        </w:rPr>
      </w:pPr>
      <w:r>
        <w:rPr>
          <w:rFonts w:hint="eastAsia" w:ascii="仿宋" w:hAnsi="仿宋" w:eastAsia="仿宋" w:cs="仿宋"/>
          <w:sz w:val="32"/>
          <w:szCs w:val="32"/>
        </w:rPr>
        <w:t>国有资本经营预算支出情况</w:t>
      </w:r>
    </w:p>
    <w:p>
      <w:pPr>
        <w:pStyle w:val="14"/>
        <w:ind w:left="720" w:firstLine="0" w:firstLineChars="0"/>
        <w:rPr>
          <w:rFonts w:ascii="仿宋" w:hAnsi="仿宋" w:eastAsia="仿宋" w:cs="仿宋"/>
          <w:sz w:val="32"/>
          <w:szCs w:val="32"/>
        </w:rPr>
      </w:pPr>
      <w:r>
        <w:rPr>
          <w:rFonts w:hint="eastAsia" w:ascii="仿宋" w:hAnsi="仿宋" w:eastAsia="仿宋" w:cs="仿宋"/>
          <w:sz w:val="32"/>
          <w:szCs w:val="32"/>
        </w:rPr>
        <w:t>无</w:t>
      </w:r>
    </w:p>
    <w:p>
      <w:pPr>
        <w:pStyle w:val="14"/>
        <w:ind w:left="720" w:firstLine="0" w:firstLineChars="0"/>
        <w:rPr>
          <w:rFonts w:ascii="仿宋" w:hAnsi="仿宋" w:eastAsia="仿宋" w:cs="仿宋"/>
          <w:sz w:val="32"/>
          <w:szCs w:val="32"/>
        </w:rPr>
      </w:pPr>
      <w:r>
        <w:rPr>
          <w:rFonts w:hint="eastAsia" w:ascii="仿宋" w:hAnsi="仿宋" w:eastAsia="仿宋" w:cs="仿宋"/>
          <w:sz w:val="32"/>
          <w:szCs w:val="32"/>
        </w:rPr>
        <w:t>五、社会保险基金预算支出情况</w:t>
      </w:r>
    </w:p>
    <w:p>
      <w:pPr>
        <w:pStyle w:val="14"/>
        <w:ind w:left="720" w:firstLine="0" w:firstLineChars="0"/>
        <w:rPr>
          <w:rFonts w:ascii="仿宋" w:hAnsi="仿宋" w:eastAsia="仿宋" w:cs="仿宋"/>
          <w:sz w:val="32"/>
          <w:szCs w:val="32"/>
        </w:rPr>
      </w:pPr>
      <w:r>
        <w:rPr>
          <w:rFonts w:hint="eastAsia" w:ascii="仿宋" w:hAnsi="仿宋" w:eastAsia="仿宋" w:cs="仿宋"/>
          <w:sz w:val="32"/>
          <w:szCs w:val="32"/>
        </w:rPr>
        <w:t>无</w:t>
      </w:r>
    </w:p>
    <w:p>
      <w:pPr>
        <w:ind w:firstLine="640" w:firstLineChars="200"/>
        <w:rPr>
          <w:rFonts w:ascii="仿宋" w:hAnsi="仿宋" w:eastAsia="仿宋" w:cs="仿宋"/>
          <w:bCs/>
          <w:sz w:val="32"/>
          <w:szCs w:val="32"/>
        </w:rPr>
      </w:pPr>
      <w:r>
        <w:rPr>
          <w:rFonts w:hint="eastAsia" w:ascii="仿宋" w:hAnsi="仿宋" w:eastAsia="仿宋" w:cs="仿宋"/>
          <w:bCs/>
          <w:sz w:val="32"/>
          <w:szCs w:val="32"/>
        </w:rPr>
        <w:t>六、部门整体支出绩效评价情况</w:t>
      </w:r>
    </w:p>
    <w:p>
      <w:pPr>
        <w:pStyle w:val="8"/>
        <w:widowControl/>
        <w:shd w:val="clear" w:color="auto" w:fill="FFFFFF"/>
        <w:spacing w:beforeAutospacing="0" w:afterAutospacing="0" w:line="540" w:lineRule="atLeast"/>
        <w:ind w:firstLine="624" w:firstLineChars="200"/>
        <w:rPr>
          <w:rFonts w:ascii="仿宋" w:hAnsi="仿宋" w:eastAsia="仿宋" w:cs="仿宋"/>
          <w:color w:val="333333"/>
          <w:spacing w:val="-4"/>
          <w:sz w:val="32"/>
          <w:szCs w:val="32"/>
          <w:shd w:val="clear" w:color="auto" w:fill="FFFFFF"/>
        </w:rPr>
      </w:pPr>
      <w:r>
        <w:rPr>
          <w:rFonts w:hint="eastAsia" w:ascii="仿宋" w:hAnsi="仿宋" w:eastAsia="仿宋" w:cs="仿宋"/>
          <w:color w:val="333333"/>
          <w:spacing w:val="-4"/>
          <w:sz w:val="32"/>
          <w:szCs w:val="32"/>
          <w:shd w:val="clear" w:color="auto" w:fill="FFFFFF"/>
        </w:rPr>
        <w:t>通过加强预算收支的管理，不断建立健全内部管理制度，理顺内部管理流程，部门整体支出管理情况得到了提升。部门整体支出绩效情况如下：</w:t>
      </w:r>
    </w:p>
    <w:p>
      <w:pPr>
        <w:pStyle w:val="8"/>
        <w:widowControl/>
        <w:shd w:val="clear" w:color="auto" w:fill="FFFFFF"/>
        <w:spacing w:beforeAutospacing="0" w:afterAutospacing="0" w:line="540" w:lineRule="atLeast"/>
        <w:ind w:firstLine="624" w:firstLineChars="200"/>
        <w:rPr>
          <w:rFonts w:ascii="仿宋" w:hAnsi="仿宋" w:eastAsia="仿宋" w:cs="仿宋"/>
          <w:color w:val="333333"/>
          <w:spacing w:val="-4"/>
          <w:sz w:val="32"/>
          <w:szCs w:val="32"/>
          <w:shd w:val="clear" w:color="auto" w:fill="FFFFFF"/>
        </w:rPr>
      </w:pPr>
      <w:r>
        <w:rPr>
          <w:rFonts w:hint="eastAsia" w:ascii="仿宋" w:hAnsi="仿宋" w:eastAsia="仿宋" w:cs="仿宋"/>
          <w:color w:val="333333"/>
          <w:spacing w:val="-4"/>
          <w:sz w:val="32"/>
          <w:szCs w:val="32"/>
          <w:shd w:val="clear" w:color="auto" w:fill="FFFFFF"/>
        </w:rPr>
        <w:t>（一）经济性评价</w:t>
      </w:r>
    </w:p>
    <w:p>
      <w:pPr>
        <w:pStyle w:val="8"/>
        <w:widowControl/>
        <w:shd w:val="clear" w:color="auto" w:fill="FFFFFF"/>
        <w:spacing w:beforeAutospacing="0" w:afterAutospacing="0" w:line="540" w:lineRule="atLeast"/>
        <w:ind w:firstLine="624" w:firstLineChars="200"/>
        <w:rPr>
          <w:rFonts w:ascii="仿宋" w:hAnsi="仿宋" w:eastAsia="仿宋" w:cs="仿宋"/>
          <w:color w:val="333333"/>
          <w:spacing w:val="-4"/>
          <w:sz w:val="32"/>
          <w:szCs w:val="32"/>
          <w:shd w:val="clear" w:color="auto" w:fill="FFFFFF"/>
        </w:rPr>
      </w:pPr>
      <w:r>
        <w:rPr>
          <w:rFonts w:hint="eastAsia" w:ascii="仿宋" w:hAnsi="仿宋" w:eastAsia="仿宋" w:cs="仿宋"/>
          <w:color w:val="333333"/>
          <w:spacing w:val="-4"/>
          <w:sz w:val="32"/>
          <w:szCs w:val="32"/>
          <w:shd w:val="clear" w:color="auto" w:fill="FFFFFF"/>
        </w:rPr>
        <w:t> 1、本年预算安排控制较好，财政供养人员控制率100%，编制内在职人员控制率100%，控制在预算编制以内；“三公”经费预算总额未突破上年。</w:t>
      </w:r>
    </w:p>
    <w:p>
      <w:pPr>
        <w:pStyle w:val="8"/>
        <w:widowControl/>
        <w:shd w:val="clear" w:color="auto" w:fill="FFFFFF"/>
        <w:spacing w:beforeAutospacing="0" w:afterAutospacing="0" w:line="540" w:lineRule="atLeast"/>
        <w:ind w:firstLine="624" w:firstLineChars="200"/>
        <w:rPr>
          <w:rFonts w:ascii="仿宋" w:hAnsi="仿宋" w:eastAsia="仿宋" w:cs="仿宋"/>
          <w:color w:val="333333"/>
          <w:spacing w:val="-4"/>
          <w:sz w:val="32"/>
          <w:szCs w:val="32"/>
          <w:shd w:val="clear" w:color="auto" w:fill="FFFFFF"/>
        </w:rPr>
      </w:pPr>
      <w:r>
        <w:rPr>
          <w:rFonts w:hint="eastAsia" w:ascii="仿宋" w:hAnsi="仿宋" w:eastAsia="仿宋" w:cs="仿宋"/>
          <w:color w:val="333333"/>
          <w:spacing w:val="-4"/>
          <w:sz w:val="32"/>
          <w:szCs w:val="32"/>
          <w:shd w:val="clear" w:color="auto" w:fill="FFFFFF"/>
        </w:rPr>
        <w:t>2、预算执行方面，支出总额控制在预算总额以内；本年无转移资金支付，不存在截留或滞留专项资金情况。</w:t>
      </w:r>
    </w:p>
    <w:p>
      <w:pPr>
        <w:pStyle w:val="8"/>
        <w:widowControl/>
        <w:shd w:val="clear" w:color="auto" w:fill="FFFFFF"/>
        <w:spacing w:beforeAutospacing="0" w:afterAutospacing="0" w:line="540" w:lineRule="atLeast"/>
        <w:ind w:firstLine="624" w:firstLineChars="200"/>
        <w:rPr>
          <w:rFonts w:ascii="仿宋" w:hAnsi="仿宋" w:eastAsia="仿宋" w:cs="仿宋"/>
          <w:color w:val="333333"/>
          <w:spacing w:val="-4"/>
          <w:sz w:val="32"/>
          <w:szCs w:val="32"/>
          <w:shd w:val="clear" w:color="auto" w:fill="FFFFFF"/>
        </w:rPr>
      </w:pPr>
      <w:r>
        <w:rPr>
          <w:rFonts w:hint="eastAsia" w:ascii="仿宋" w:hAnsi="仿宋" w:eastAsia="仿宋" w:cs="仿宋"/>
          <w:color w:val="333333"/>
          <w:spacing w:val="-4"/>
          <w:sz w:val="32"/>
          <w:szCs w:val="32"/>
          <w:shd w:val="clear" w:color="auto" w:fill="FFFFFF"/>
        </w:rPr>
        <w:t>（二）行政效能评价</w:t>
      </w:r>
    </w:p>
    <w:p>
      <w:pPr>
        <w:pStyle w:val="8"/>
        <w:widowControl/>
        <w:shd w:val="clear" w:color="auto" w:fill="FFFFFF"/>
        <w:spacing w:beforeAutospacing="0" w:afterAutospacing="0" w:line="540" w:lineRule="atLeast"/>
        <w:ind w:firstLine="624" w:firstLineChars="200"/>
        <w:rPr>
          <w:rFonts w:ascii="仿宋" w:hAnsi="仿宋" w:eastAsia="仿宋" w:cs="仿宋"/>
          <w:color w:val="333333"/>
          <w:spacing w:val="-4"/>
          <w:sz w:val="32"/>
          <w:szCs w:val="32"/>
          <w:shd w:val="clear" w:color="auto" w:fill="FFFFFF"/>
        </w:rPr>
      </w:pPr>
      <w:r>
        <w:rPr>
          <w:rFonts w:hint="eastAsia" w:ascii="仿宋" w:hAnsi="仿宋" w:eastAsia="仿宋" w:cs="仿宋"/>
          <w:color w:val="333333"/>
          <w:spacing w:val="-4"/>
          <w:sz w:val="32"/>
          <w:szCs w:val="32"/>
          <w:shd w:val="clear" w:color="auto" w:fill="FFFFFF"/>
        </w:rPr>
        <w:t>为强化部门整体支出，加强国有资产管理，提高资金使用效益，提升财务管理，建立节约型机关，2023年我单位在强化业务管理、财务管理和厉行节约方面开展了大量工作，行政效能显著。</w:t>
      </w:r>
    </w:p>
    <w:p>
      <w:pPr>
        <w:pStyle w:val="8"/>
        <w:widowControl/>
        <w:shd w:val="clear" w:color="auto" w:fill="FFFFFF"/>
        <w:spacing w:beforeAutospacing="0" w:afterAutospacing="0" w:line="540" w:lineRule="atLeast"/>
        <w:ind w:firstLine="624" w:firstLineChars="200"/>
        <w:rPr>
          <w:rFonts w:ascii="仿宋" w:hAnsi="仿宋" w:eastAsia="仿宋" w:cs="仿宋"/>
          <w:color w:val="333333"/>
          <w:spacing w:val="-4"/>
          <w:sz w:val="32"/>
          <w:szCs w:val="32"/>
          <w:shd w:val="clear" w:color="auto" w:fill="FFFFFF"/>
        </w:rPr>
      </w:pPr>
      <w:r>
        <w:rPr>
          <w:rFonts w:hint="eastAsia" w:ascii="仿宋" w:hAnsi="仿宋" w:eastAsia="仿宋" w:cs="仿宋"/>
          <w:color w:val="333333"/>
          <w:spacing w:val="-4"/>
          <w:sz w:val="32"/>
          <w:szCs w:val="32"/>
          <w:shd w:val="clear" w:color="auto" w:fill="FFFFFF"/>
        </w:rPr>
        <w:t>1、在原有相对健全的财务管理制度基础上，适时地、针对性地进行了相关制度的增补，制度的建立更为完善。</w:t>
      </w:r>
    </w:p>
    <w:p>
      <w:pPr>
        <w:pStyle w:val="8"/>
        <w:widowControl/>
        <w:shd w:val="clear" w:color="auto" w:fill="FFFFFF"/>
        <w:spacing w:beforeAutospacing="0" w:afterAutospacing="0" w:line="540" w:lineRule="atLeast"/>
        <w:ind w:firstLine="624" w:firstLineChars="200"/>
        <w:rPr>
          <w:rFonts w:ascii="仿宋" w:hAnsi="仿宋" w:eastAsia="仿宋" w:cs="仿宋"/>
          <w:color w:val="333333"/>
          <w:spacing w:val="-4"/>
          <w:sz w:val="32"/>
          <w:szCs w:val="32"/>
          <w:shd w:val="clear" w:color="auto" w:fill="FFFFFF"/>
        </w:rPr>
      </w:pPr>
      <w:r>
        <w:rPr>
          <w:rFonts w:hint="eastAsia" w:ascii="仿宋" w:hAnsi="仿宋" w:eastAsia="仿宋" w:cs="仿宋"/>
          <w:color w:val="333333"/>
          <w:spacing w:val="-4"/>
          <w:sz w:val="32"/>
          <w:szCs w:val="32"/>
          <w:shd w:val="clear" w:color="auto" w:fill="FFFFFF"/>
        </w:rPr>
        <w:t>2、重视制度的学习和宣讲工作，并已逐步形成了崇尚厉行节约反对浪费的机关文化。</w:t>
      </w:r>
    </w:p>
    <w:p>
      <w:pPr>
        <w:pStyle w:val="8"/>
        <w:widowControl/>
        <w:shd w:val="clear" w:color="auto" w:fill="FFFFFF"/>
        <w:spacing w:beforeAutospacing="0" w:afterAutospacing="0" w:line="540" w:lineRule="atLeast"/>
        <w:ind w:firstLine="624" w:firstLineChars="200"/>
        <w:rPr>
          <w:rFonts w:ascii="仿宋" w:hAnsi="仿宋" w:eastAsia="仿宋" w:cs="仿宋"/>
          <w:color w:val="333333"/>
          <w:spacing w:val="-4"/>
          <w:sz w:val="32"/>
          <w:szCs w:val="32"/>
          <w:shd w:val="clear" w:color="auto" w:fill="FFFFFF"/>
        </w:rPr>
      </w:pPr>
      <w:r>
        <w:rPr>
          <w:rFonts w:hint="eastAsia" w:ascii="仿宋" w:hAnsi="仿宋" w:eastAsia="仿宋" w:cs="仿宋"/>
          <w:color w:val="333333"/>
          <w:spacing w:val="-4"/>
          <w:sz w:val="32"/>
          <w:szCs w:val="32"/>
          <w:shd w:val="clear" w:color="auto" w:fill="FFFFFF"/>
        </w:rPr>
        <w:t>根据中央、湖南省人民政府下发的《党政机关厉行节约反对浪费条例》《湖南省党政机关国内公务接待管理办法》《关于厉行节约反对浪费的实施意见》《关于党政机关停止新建楼堂馆所和清理办公用房的实施意见》等一系列文件精神，及时组织机关人员学习，将厉行节约反对浪费教育作为机关作风建设的重要内容，极大强化了机关厉行节约管理意识。</w:t>
      </w:r>
    </w:p>
    <w:p>
      <w:pPr>
        <w:pStyle w:val="8"/>
        <w:widowControl/>
        <w:shd w:val="clear" w:color="auto" w:fill="FFFFFF"/>
        <w:spacing w:beforeAutospacing="0" w:afterAutospacing="0" w:line="540" w:lineRule="atLeast"/>
        <w:ind w:firstLine="624" w:firstLineChars="200"/>
        <w:rPr>
          <w:rFonts w:ascii="仿宋" w:hAnsi="仿宋" w:eastAsia="仿宋" w:cs="仿宋"/>
          <w:color w:val="333333"/>
          <w:spacing w:val="-4"/>
          <w:sz w:val="32"/>
          <w:szCs w:val="32"/>
          <w:shd w:val="clear" w:color="auto" w:fill="FFFFFF"/>
        </w:rPr>
      </w:pPr>
      <w:r>
        <w:rPr>
          <w:rFonts w:hint="eastAsia" w:ascii="仿宋" w:hAnsi="仿宋" w:eastAsia="仿宋" w:cs="仿宋"/>
          <w:color w:val="333333"/>
          <w:spacing w:val="-4"/>
          <w:sz w:val="32"/>
          <w:szCs w:val="32"/>
          <w:shd w:val="clear" w:color="auto" w:fill="FFFFFF"/>
        </w:rPr>
        <w:t>3、建立了经费支出定期汇报和公示机制，经费支出的公开透明性得到提高。</w:t>
      </w:r>
    </w:p>
    <w:p>
      <w:pPr>
        <w:pStyle w:val="8"/>
        <w:widowControl/>
        <w:shd w:val="clear" w:color="auto" w:fill="FFFFFF"/>
        <w:spacing w:beforeAutospacing="0" w:afterAutospacing="0" w:line="540" w:lineRule="atLeast"/>
        <w:ind w:firstLine="624" w:firstLineChars="200"/>
        <w:rPr>
          <w:rFonts w:ascii="仿宋" w:hAnsi="仿宋" w:eastAsia="仿宋" w:cs="仿宋"/>
          <w:color w:val="333333"/>
          <w:spacing w:val="-4"/>
          <w:sz w:val="32"/>
          <w:szCs w:val="32"/>
          <w:shd w:val="clear" w:color="auto" w:fill="FFFFFF"/>
        </w:rPr>
      </w:pPr>
      <w:r>
        <w:rPr>
          <w:rFonts w:hint="eastAsia" w:ascii="仿宋" w:hAnsi="仿宋" w:eastAsia="仿宋" w:cs="仿宋"/>
          <w:color w:val="333333"/>
          <w:spacing w:val="-4"/>
          <w:sz w:val="32"/>
          <w:szCs w:val="32"/>
          <w:shd w:val="clear" w:color="auto" w:fill="FFFFFF"/>
        </w:rPr>
        <w:t>除按照财政要求对部门预算、“三公”经费进行例行公示外，根据经费支出情况，定期进行经费支出财务统计和分析，并及时向分管领导和绩效评价领导小组进行汇报，对经费支出的管理状况提出建设性的意见；使各项经费管理和监督发挥了较好的作用。</w:t>
      </w:r>
    </w:p>
    <w:p>
      <w:pPr>
        <w:pStyle w:val="8"/>
        <w:widowControl/>
        <w:shd w:val="clear" w:color="auto" w:fill="FFFFFF"/>
        <w:spacing w:beforeAutospacing="0" w:afterAutospacing="0" w:line="540" w:lineRule="atLeast"/>
        <w:ind w:firstLine="624" w:firstLineChars="200"/>
        <w:rPr>
          <w:rFonts w:ascii="仿宋" w:hAnsi="仿宋" w:eastAsia="仿宋" w:cs="仿宋"/>
          <w:color w:val="333333"/>
          <w:spacing w:val="-4"/>
          <w:sz w:val="32"/>
          <w:szCs w:val="32"/>
          <w:shd w:val="clear" w:color="auto" w:fill="FFFFFF"/>
        </w:rPr>
      </w:pPr>
      <w:r>
        <w:rPr>
          <w:rFonts w:hint="eastAsia" w:ascii="仿宋" w:hAnsi="仿宋" w:eastAsia="仿宋" w:cs="仿宋"/>
          <w:color w:val="333333"/>
          <w:spacing w:val="-4"/>
          <w:sz w:val="32"/>
          <w:szCs w:val="32"/>
          <w:shd w:val="clear" w:color="auto" w:fill="FFFFFF"/>
        </w:rPr>
        <w:t>4、严格执行了国库集中支付、公务卡结算制度、政府采购等有关规定，政府采购目录内的货物与服务全部按要求实施了政府采购，确保了支出管理流程、审批手续的完整。</w:t>
      </w:r>
    </w:p>
    <w:p>
      <w:pPr>
        <w:pStyle w:val="8"/>
        <w:widowControl/>
        <w:shd w:val="clear" w:color="auto" w:fill="FFFFFF"/>
        <w:spacing w:beforeAutospacing="0" w:afterAutospacing="0" w:line="540" w:lineRule="atLeast"/>
        <w:ind w:firstLine="624" w:firstLineChars="200"/>
        <w:rPr>
          <w:rFonts w:ascii="仿宋" w:hAnsi="仿宋" w:eastAsia="仿宋" w:cs="仿宋"/>
          <w:color w:val="333333"/>
          <w:spacing w:val="-4"/>
          <w:sz w:val="32"/>
          <w:szCs w:val="32"/>
          <w:shd w:val="clear" w:color="auto" w:fill="FFFFFF"/>
        </w:rPr>
      </w:pPr>
      <w:r>
        <w:rPr>
          <w:rFonts w:hint="eastAsia" w:ascii="仿宋" w:hAnsi="仿宋" w:eastAsia="仿宋" w:cs="仿宋"/>
          <w:color w:val="333333"/>
          <w:spacing w:val="-4"/>
          <w:sz w:val="32"/>
          <w:szCs w:val="32"/>
          <w:shd w:val="clear" w:color="auto" w:fill="FFFFFF"/>
        </w:rPr>
        <w:t>5、加强了会计核算工作。根据印发的《行政单位会计制度》，进行了全面系统的学习，按照新制度的要求，对财务管理软件进行优化升级，对相关科目的设置进行了补充和调整，提高了财务核算质量。</w:t>
      </w:r>
    </w:p>
    <w:p>
      <w:pPr>
        <w:pStyle w:val="8"/>
        <w:shd w:val="clear" w:color="auto" w:fill="FFFFFF"/>
        <w:spacing w:beforeAutospacing="0" w:afterAutospacing="0" w:line="480" w:lineRule="auto"/>
        <w:ind w:firstLine="640" w:firstLineChars="200"/>
        <w:jc w:val="both"/>
        <w:rPr>
          <w:rFonts w:ascii="仿宋" w:hAnsi="仿宋" w:eastAsia="仿宋" w:cs="仿宋"/>
          <w:bCs/>
          <w:sz w:val="32"/>
          <w:szCs w:val="32"/>
        </w:rPr>
      </w:pPr>
      <w:r>
        <w:rPr>
          <w:rFonts w:hint="eastAsia" w:ascii="仿宋" w:hAnsi="仿宋" w:eastAsia="仿宋" w:cs="仿宋"/>
          <w:color w:val="333333"/>
          <w:sz w:val="32"/>
          <w:szCs w:val="32"/>
        </w:rPr>
        <w:t>七、</w:t>
      </w:r>
      <w:r>
        <w:rPr>
          <w:rFonts w:hint="eastAsia" w:ascii="仿宋" w:hAnsi="仿宋" w:eastAsia="仿宋" w:cs="仿宋"/>
          <w:bCs/>
          <w:sz w:val="32"/>
          <w:szCs w:val="32"/>
        </w:rPr>
        <w:t>存在的问题及原因分析</w:t>
      </w:r>
    </w:p>
    <w:p>
      <w:pPr>
        <w:pStyle w:val="8"/>
        <w:widowControl/>
        <w:shd w:val="clear" w:color="auto" w:fill="FFFFFF"/>
        <w:spacing w:beforeAutospacing="0" w:afterAutospacing="0" w:line="540" w:lineRule="atLeast"/>
        <w:ind w:firstLine="624" w:firstLineChars="200"/>
        <w:rPr>
          <w:rFonts w:ascii="仿宋" w:hAnsi="仿宋" w:eastAsia="仿宋" w:cs="仿宋"/>
          <w:color w:val="333333"/>
          <w:spacing w:val="-4"/>
          <w:sz w:val="32"/>
          <w:szCs w:val="32"/>
          <w:shd w:val="clear" w:color="auto" w:fill="FFFFFF"/>
        </w:rPr>
      </w:pPr>
      <w:r>
        <w:rPr>
          <w:rFonts w:hint="eastAsia" w:ascii="仿宋" w:hAnsi="仿宋" w:eastAsia="仿宋" w:cs="仿宋"/>
          <w:color w:val="333333"/>
          <w:spacing w:val="-4"/>
          <w:sz w:val="32"/>
          <w:szCs w:val="32"/>
          <w:shd w:val="clear" w:color="auto" w:fill="FFFFFF"/>
        </w:rPr>
        <w:t>1、财务工作人员专业化程度不高。因现行会计制度的改革，财务系统进行更新，会计出纳均不是专业的财务人员，对新业务不熟悉，加上其他工作的冲突，各项财务工作还有待进一步规范。</w:t>
      </w:r>
    </w:p>
    <w:p>
      <w:pPr>
        <w:pStyle w:val="8"/>
        <w:widowControl/>
        <w:shd w:val="clear" w:color="auto" w:fill="FFFFFF"/>
        <w:spacing w:beforeAutospacing="0" w:afterAutospacing="0" w:line="540" w:lineRule="atLeast"/>
        <w:ind w:firstLine="624" w:firstLineChars="200"/>
        <w:rPr>
          <w:rFonts w:ascii="仿宋" w:hAnsi="仿宋" w:eastAsia="仿宋" w:cs="仿宋"/>
          <w:color w:val="333333"/>
          <w:spacing w:val="-4"/>
          <w:sz w:val="32"/>
          <w:szCs w:val="32"/>
          <w:shd w:val="clear" w:color="auto" w:fill="FFFFFF"/>
        </w:rPr>
      </w:pPr>
      <w:r>
        <w:rPr>
          <w:rFonts w:hint="eastAsia" w:ascii="仿宋" w:hAnsi="仿宋" w:eastAsia="仿宋" w:cs="仿宋"/>
          <w:color w:val="333333"/>
          <w:spacing w:val="-4"/>
          <w:sz w:val="32"/>
          <w:szCs w:val="32"/>
          <w:shd w:val="clear" w:color="auto" w:fill="FFFFFF"/>
        </w:rPr>
        <w:t>2、资产管理方面存在不完善的方面。由于时间久远等原因，接手人员对之前的情况不了解，其固定资产台账未及时更新、修改、登记，导致我单位2023年末资产台账与账面资产金额存在差异，固定资产管理有待加强。</w:t>
      </w:r>
    </w:p>
    <w:p>
      <w:pPr>
        <w:pStyle w:val="14"/>
        <w:ind w:left="720" w:firstLine="0" w:firstLineChars="0"/>
        <w:rPr>
          <w:rFonts w:ascii="仿宋" w:hAnsi="仿宋" w:eastAsia="仿宋" w:cs="仿宋"/>
          <w:bCs/>
          <w:sz w:val="32"/>
          <w:szCs w:val="32"/>
        </w:rPr>
      </w:pPr>
      <w:r>
        <w:rPr>
          <w:rFonts w:hint="eastAsia" w:ascii="仿宋" w:hAnsi="仿宋" w:eastAsia="仿宋" w:cs="仿宋"/>
          <w:bCs/>
          <w:sz w:val="32"/>
          <w:szCs w:val="32"/>
        </w:rPr>
        <w:t>八、下一步改进措施</w:t>
      </w:r>
    </w:p>
    <w:p>
      <w:pPr>
        <w:pStyle w:val="8"/>
        <w:widowControl/>
        <w:shd w:val="clear" w:color="auto" w:fill="FFFFFF"/>
        <w:spacing w:beforeAutospacing="0" w:afterAutospacing="0" w:line="540" w:lineRule="atLeast"/>
        <w:ind w:firstLine="640"/>
        <w:rPr>
          <w:rFonts w:ascii="仿宋" w:hAnsi="仿宋" w:eastAsia="仿宋" w:cs="仿宋"/>
          <w:color w:val="333333"/>
          <w:sz w:val="32"/>
          <w:szCs w:val="32"/>
        </w:rPr>
      </w:pPr>
      <w:r>
        <w:rPr>
          <w:rFonts w:hint="eastAsia" w:ascii="仿宋" w:hAnsi="仿宋" w:eastAsia="仿宋" w:cs="仿宋"/>
          <w:color w:val="010101"/>
          <w:sz w:val="32"/>
          <w:szCs w:val="32"/>
          <w:shd w:val="clear" w:color="auto" w:fill="FFFFFF"/>
        </w:rPr>
        <w:t>1、加强财务人员的培养培训力度，特别是对新的财务制度以及系统加强学习。</w:t>
      </w:r>
    </w:p>
    <w:p>
      <w:pPr>
        <w:pStyle w:val="8"/>
        <w:widowControl/>
        <w:shd w:val="clear" w:color="auto" w:fill="FFFFFF"/>
        <w:spacing w:beforeAutospacing="0" w:afterAutospacing="0" w:line="540" w:lineRule="atLeast"/>
        <w:ind w:firstLine="640"/>
        <w:rPr>
          <w:rFonts w:ascii="仿宋" w:hAnsi="仿宋" w:eastAsia="仿宋" w:cs="仿宋"/>
          <w:color w:val="333333"/>
          <w:sz w:val="32"/>
          <w:szCs w:val="32"/>
        </w:rPr>
      </w:pPr>
      <w:r>
        <w:rPr>
          <w:rFonts w:hint="eastAsia" w:ascii="仿宋" w:hAnsi="仿宋" w:eastAsia="仿宋" w:cs="仿宋"/>
          <w:color w:val="010101"/>
          <w:sz w:val="32"/>
          <w:szCs w:val="32"/>
          <w:shd w:val="clear" w:color="auto" w:fill="FFFFFF"/>
        </w:rPr>
        <w:t>2、细化预算编制工作，认真做好预算的编制。进一步加强内部机构的预算管理意识，严格按照预算编制的相关制度和要求，本着“勤俭节约、保障运转”的原则进行预算的编制；编制范围尽可能地全面、不漏项，进一步提高预算编制的科学性、合理性、严谨性和可控性。</w:t>
      </w:r>
    </w:p>
    <w:p>
      <w:pPr>
        <w:pStyle w:val="8"/>
        <w:widowControl/>
        <w:shd w:val="clear" w:color="auto" w:fill="FFFFFF"/>
        <w:spacing w:beforeAutospacing="0" w:afterAutospacing="0" w:line="540" w:lineRule="atLeast"/>
        <w:rPr>
          <w:rFonts w:ascii="仿宋" w:hAnsi="仿宋" w:eastAsia="仿宋" w:cs="仿宋"/>
          <w:color w:val="333333"/>
          <w:sz w:val="32"/>
          <w:szCs w:val="32"/>
        </w:rPr>
      </w:pPr>
      <w:r>
        <w:rPr>
          <w:rFonts w:hint="eastAsia" w:ascii="仿宋" w:hAnsi="仿宋" w:eastAsia="仿宋" w:cs="仿宋"/>
          <w:color w:val="010101"/>
          <w:sz w:val="32"/>
          <w:szCs w:val="32"/>
          <w:shd w:val="clear" w:color="auto" w:fill="FFFFFF"/>
        </w:rPr>
        <w:t>　　 3、在日常预算管理过程中，进一步加强预算支出的审核、跟踪及预算执行情况分析。</w:t>
      </w:r>
    </w:p>
    <w:p>
      <w:pPr>
        <w:pStyle w:val="8"/>
        <w:widowControl/>
        <w:shd w:val="clear" w:color="auto" w:fill="FFFFFF"/>
        <w:spacing w:beforeAutospacing="0" w:afterAutospacing="0" w:line="540" w:lineRule="atLeast"/>
        <w:rPr>
          <w:rFonts w:ascii="仿宋" w:hAnsi="仿宋" w:eastAsia="仿宋" w:cs="仿宋"/>
          <w:color w:val="333333"/>
          <w:sz w:val="32"/>
          <w:szCs w:val="32"/>
        </w:rPr>
      </w:pPr>
      <w:r>
        <w:rPr>
          <w:rFonts w:hint="eastAsia" w:ascii="仿宋" w:hAnsi="仿宋" w:eastAsia="仿宋" w:cs="仿宋"/>
          <w:color w:val="010101"/>
          <w:sz w:val="32"/>
          <w:szCs w:val="32"/>
          <w:shd w:val="clear" w:color="auto" w:fill="FFFFFF"/>
        </w:rPr>
        <w:t>     4、完善管理制度，进一步加强资产管理 。进一步贯彻落实中央“八项规定”和湖南省委“九条规定”，建立本部门“三公经费”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账、账实相符。</w:t>
      </w:r>
    </w:p>
    <w:p>
      <w:pPr>
        <w:rPr>
          <w:rFonts w:ascii="仿宋" w:hAnsi="仿宋" w:eastAsia="仿宋" w:cs="仿宋"/>
          <w:color w:val="333333"/>
          <w:spacing w:val="-4"/>
          <w:sz w:val="32"/>
          <w:szCs w:val="32"/>
          <w:shd w:val="clear" w:color="auto" w:fill="FFFFFF"/>
        </w:rPr>
      </w:pPr>
      <w:r>
        <w:rPr>
          <w:rFonts w:hint="eastAsia" w:ascii="仿宋" w:hAnsi="仿宋" w:eastAsia="仿宋" w:cs="仿宋"/>
          <w:color w:val="333333"/>
          <w:spacing w:val="-4"/>
          <w:sz w:val="32"/>
          <w:szCs w:val="32"/>
          <w:shd w:val="clear" w:color="auto" w:fill="FFFFFF"/>
        </w:rPr>
        <w:br w:type="page"/>
      </w:r>
    </w:p>
    <w:p>
      <w:pPr>
        <w:spacing w:beforeLines="50" w:afterLines="50"/>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2023年度部门整体支出绩效自评指标计分表</w:t>
      </w:r>
    </w:p>
    <w:tbl>
      <w:tblPr>
        <w:tblStyle w:val="9"/>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1"/>
        <w:gridCol w:w="710"/>
        <w:gridCol w:w="946"/>
        <w:gridCol w:w="710"/>
        <w:gridCol w:w="2983"/>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Mar>
              <w:top w:w="10" w:type="dxa"/>
              <w:left w:w="10" w:type="dxa"/>
              <w:bottom w:w="0" w:type="dxa"/>
              <w:right w:w="10" w:type="dxa"/>
            </w:tcMar>
            <w:vAlign w:val="center"/>
          </w:tcPr>
          <w:p>
            <w:pPr>
              <w:spacing w:line="240" w:lineRule="exact"/>
              <w:jc w:val="center"/>
              <w:rPr>
                <w:rFonts w:ascii="宋体" w:hAnsi="宋体" w:cs="宋体"/>
                <w:b/>
                <w:bCs/>
              </w:rPr>
            </w:pPr>
            <w:r>
              <w:rPr>
                <w:rFonts w:hint="eastAsia" w:ascii="宋体" w:hAnsi="宋体" w:cs="宋体"/>
                <w:b/>
                <w:bCs/>
              </w:rPr>
              <w:t>一级</w:t>
            </w:r>
          </w:p>
          <w:p>
            <w:pPr>
              <w:spacing w:line="240" w:lineRule="exact"/>
              <w:jc w:val="center"/>
              <w:rPr>
                <w:rFonts w:ascii="宋体" w:cs="宋体"/>
                <w:b/>
                <w:bCs/>
              </w:rPr>
            </w:pPr>
            <w:r>
              <w:rPr>
                <w:rFonts w:hint="eastAsia" w:ascii="宋体" w:hAnsi="宋体" w:cs="宋体"/>
                <w:b/>
                <w:bCs/>
              </w:rPr>
              <w:t>指标</w:t>
            </w:r>
          </w:p>
        </w:tc>
        <w:tc>
          <w:tcPr>
            <w:tcW w:w="375" w:type="pct"/>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投入（</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目标</w:t>
            </w:r>
          </w:p>
          <w:p>
            <w:pPr>
              <w:spacing w:line="240" w:lineRule="exact"/>
              <w:jc w:val="center"/>
              <w:rPr>
                <w:rFonts w:ascii="宋体" w:cs="宋体"/>
              </w:rPr>
            </w:pPr>
            <w:r>
              <w:rPr>
                <w:rFonts w:hint="eastAsia" w:ascii="宋体" w:hAnsi="宋体" w:cs="宋体"/>
              </w:rPr>
              <w:t>设定（</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jc w:val="center"/>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①是否符合国家法律法规、国民经济和社会发展总体规划；</w:t>
            </w:r>
          </w:p>
          <w:p>
            <w:pPr>
              <w:spacing w:line="240" w:lineRule="exact"/>
              <w:ind w:left="105" w:leftChars="50" w:right="105" w:rightChars="50"/>
              <w:rPr>
                <w:rFonts w:ascii="宋体" w:hAnsi="宋体" w:cs="宋体"/>
              </w:rPr>
            </w:pPr>
            <w:r>
              <w:rPr>
                <w:rFonts w:hint="eastAsia" w:ascii="宋体" w:hAnsi="宋体" w:cs="宋体"/>
              </w:rPr>
              <w:t>②是否符合部门“三定”方案确定的职责；</w:t>
            </w:r>
          </w:p>
          <w:p>
            <w:pPr>
              <w:spacing w:line="240" w:lineRule="exact"/>
              <w:ind w:left="105" w:leftChars="50" w:right="105" w:rightChars="50"/>
              <w:rPr>
                <w:rFonts w:ascii="宋体" w:cs="宋体"/>
              </w:rPr>
            </w:pP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①是否将部门整体的绩效目标细化分解为具体的工作任务；</w:t>
            </w:r>
          </w:p>
          <w:p>
            <w:pPr>
              <w:spacing w:line="240" w:lineRule="exact"/>
              <w:ind w:left="105" w:leftChars="50" w:right="105" w:rightChars="50"/>
              <w:rPr>
                <w:rFonts w:ascii="宋体" w:hAnsi="宋体" w:cs="宋体"/>
              </w:rPr>
            </w:pPr>
            <w:r>
              <w:rPr>
                <w:rFonts w:hint="eastAsia" w:ascii="宋体" w:hAnsi="宋体" w:cs="宋体"/>
              </w:rPr>
              <w:t>②是否通过清晰、可衡量的指标值予以体现。③是否与部门年度的任务数或计划数相对应；</w:t>
            </w:r>
          </w:p>
          <w:p>
            <w:pPr>
              <w:spacing w:line="240" w:lineRule="exact"/>
              <w:ind w:left="105" w:leftChars="50" w:right="105" w:rightChars="50"/>
              <w:rPr>
                <w:rFonts w:ascii="宋体" w:cs="宋体"/>
              </w:rPr>
            </w:pP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vAlign w:val="center"/>
          </w:tcPr>
          <w:p>
            <w:pPr>
              <w:spacing w:line="240" w:lineRule="exact"/>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配置（</w:t>
            </w:r>
            <w:r>
              <w:rPr>
                <w:rFonts w:ascii="宋体" w:hAnsi="宋体" w:cs="宋体"/>
              </w:rPr>
              <w:t>15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在职人员数：部门实际在职人数，以财政部确定的部门决算编制口径为准。</w:t>
            </w:r>
          </w:p>
          <w:p>
            <w:pPr>
              <w:spacing w:line="240" w:lineRule="exact"/>
              <w:ind w:left="105" w:leftChars="50" w:right="105" w:rightChars="50"/>
              <w:rPr>
                <w:rFonts w:ascii="宋体" w:cs="宋体"/>
              </w:rPr>
            </w:pP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重点预算支出：部门年度预算安排的，与本部门履职和发展密切相关、具有明显社会和经济影响、党委政府关心或社会比较关注的预算支出支出总额。</w:t>
            </w:r>
          </w:p>
          <w:p>
            <w:pPr>
              <w:spacing w:line="240" w:lineRule="exact"/>
              <w:ind w:left="105" w:leftChars="50" w:right="105" w:rightChars="50"/>
              <w:rPr>
                <w:rFonts w:ascii="宋体" w:cs="宋体"/>
              </w:rPr>
            </w:pP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预算执行数：部门本年度实际完成的预算数。</w:t>
            </w:r>
          </w:p>
          <w:p>
            <w:pPr>
              <w:spacing w:line="240" w:lineRule="exact"/>
              <w:ind w:left="105" w:leftChars="50" w:right="105" w:rightChars="50"/>
              <w:rPr>
                <w:rFonts w:ascii="宋体" w:cs="宋体"/>
              </w:rPr>
            </w:pP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right="105" w:rightChars="50" w:firstLine="210" w:firstLineChars="100"/>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实际支付进度：部门在某一时点的支出预算执行总数与年度支出预算数的比率。</w:t>
            </w:r>
          </w:p>
          <w:p>
            <w:pPr>
              <w:spacing w:line="240" w:lineRule="exact"/>
              <w:ind w:left="105" w:leftChars="50" w:right="105" w:rightChars="50"/>
              <w:rPr>
                <w:rFonts w:ascii="宋体" w:cs="宋体"/>
              </w:rPr>
            </w:pP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tcMar>
              <w:top w:w="10" w:type="dxa"/>
              <w:left w:w="10" w:type="dxa"/>
              <w:bottom w:w="0" w:type="dxa"/>
              <w:right w:w="10" w:type="dxa"/>
            </w:tcMar>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政府采购预算：采购机关根据事业发展计划和行政任务编制的、并经过规定程序批准的年度政府采购计划。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①是否已制定或具有预算资金管理办法、内部财务管理制度、会计核算制度等管理制度；</w:t>
            </w:r>
          </w:p>
          <w:p>
            <w:pPr>
              <w:spacing w:line="240" w:lineRule="exact"/>
              <w:ind w:left="105" w:leftChars="50" w:right="105" w:rightChars="50"/>
              <w:rPr>
                <w:rFonts w:ascii="宋体" w:hAnsi="宋体" w:cs="宋体"/>
              </w:rPr>
            </w:pPr>
            <w:r>
              <w:rPr>
                <w:rFonts w:hint="eastAsia" w:ascii="宋体" w:hAnsi="宋体" w:cs="宋体"/>
              </w:rPr>
              <w:t>②相关管理制度是否合法、合规、完整；</w:t>
            </w:r>
          </w:p>
          <w:p>
            <w:pPr>
              <w:spacing w:line="240" w:lineRule="exact"/>
              <w:ind w:left="105" w:leftChars="50" w:right="105" w:rightChars="50"/>
              <w:rPr>
                <w:rFonts w:ascii="宋体" w:cs="宋体"/>
              </w:rPr>
            </w:pP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①是否符合国家财经法规和财务管理制度规定以及有关预算支出管理办法的规定；</w:t>
            </w:r>
          </w:p>
          <w:p>
            <w:pPr>
              <w:spacing w:line="240" w:lineRule="exact"/>
              <w:ind w:left="105" w:leftChars="50" w:right="105" w:rightChars="50"/>
              <w:rPr>
                <w:rFonts w:ascii="宋体" w:hAnsi="宋体" w:cs="宋体"/>
              </w:rPr>
            </w:pPr>
            <w:r>
              <w:rPr>
                <w:rFonts w:hint="eastAsia" w:ascii="宋体" w:hAnsi="宋体" w:cs="宋体"/>
              </w:rPr>
              <w:t>②资金的拨付是否有完整的审批程序和手续；</w:t>
            </w:r>
          </w:p>
          <w:p>
            <w:pPr>
              <w:spacing w:line="240" w:lineRule="exact"/>
              <w:ind w:left="105" w:leftChars="50" w:right="105" w:rightChars="50"/>
              <w:rPr>
                <w:rFonts w:ascii="宋体" w:hAnsi="宋体" w:cs="宋体"/>
              </w:rPr>
            </w:pPr>
            <w:r>
              <w:rPr>
                <w:rFonts w:hint="eastAsia" w:ascii="宋体" w:hAnsi="宋体" w:cs="宋体"/>
              </w:rPr>
              <w:t>③预算支出的重大开支是否经过评估论证；</w:t>
            </w:r>
          </w:p>
          <w:p>
            <w:pPr>
              <w:spacing w:line="240" w:lineRule="exact"/>
              <w:ind w:left="105" w:leftChars="50" w:right="105" w:rightChars="50"/>
              <w:rPr>
                <w:rFonts w:ascii="宋体" w:hAnsi="宋体" w:cs="宋体"/>
              </w:rPr>
            </w:pPr>
            <w:r>
              <w:rPr>
                <w:rFonts w:hint="eastAsia" w:ascii="宋体" w:hAnsi="宋体" w:cs="宋体"/>
              </w:rPr>
              <w:t>④是否符合部门预算批复的用途；</w:t>
            </w:r>
          </w:p>
          <w:p>
            <w:pPr>
              <w:spacing w:line="240" w:lineRule="exact"/>
              <w:ind w:left="105" w:leftChars="50" w:right="105" w:rightChars="50"/>
              <w:rPr>
                <w:rFonts w:ascii="宋体" w:cs="宋体"/>
              </w:rPr>
            </w:pP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①是否按规定内容公开预决算信息；</w:t>
            </w:r>
          </w:p>
          <w:p>
            <w:pPr>
              <w:spacing w:line="240" w:lineRule="exact"/>
              <w:ind w:left="105" w:leftChars="50" w:right="105" w:rightChars="50"/>
              <w:rPr>
                <w:rFonts w:ascii="宋体" w:hAnsi="宋体" w:cs="宋体"/>
              </w:rPr>
            </w:pPr>
            <w:r>
              <w:rPr>
                <w:rFonts w:hint="eastAsia" w:ascii="宋体" w:hAnsi="宋体" w:cs="宋体"/>
              </w:rPr>
              <w:t>②是否按规定时限公开预决算信息。</w:t>
            </w:r>
          </w:p>
          <w:p>
            <w:pPr>
              <w:spacing w:line="240" w:lineRule="exact"/>
              <w:ind w:left="105" w:leftChars="50" w:right="105" w:rightChars="50"/>
              <w:rPr>
                <w:rFonts w:ascii="宋体" w:cs="宋体"/>
              </w:rPr>
            </w:pP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right="105" w:rightChars="50"/>
              <w:rPr>
                <w:rFonts w:ascii="宋体" w:cs="宋体"/>
              </w:rPr>
            </w:pPr>
          </w:p>
          <w:p>
            <w:pPr>
              <w:tabs>
                <w:tab w:val="left" w:pos="2604"/>
              </w:tabs>
              <w:spacing w:line="240" w:lineRule="exact"/>
              <w:ind w:right="105" w:rightChars="50"/>
              <w:rPr>
                <w:rFonts w:ascii="宋体" w:cs="宋体"/>
              </w:rPr>
            </w:pPr>
          </w:p>
          <w:p>
            <w:pPr>
              <w:tabs>
                <w:tab w:val="left" w:pos="2604"/>
              </w:tabs>
              <w:spacing w:line="240" w:lineRule="exact"/>
              <w:ind w:right="105" w:rightChars="50"/>
              <w:jc w:val="center"/>
              <w:rPr>
                <w:rFonts w:ascii="宋体" w:cs="宋体"/>
              </w:rPr>
            </w:pPr>
          </w:p>
          <w:p>
            <w:pPr>
              <w:tabs>
                <w:tab w:val="left" w:pos="2604"/>
              </w:tabs>
              <w:spacing w:line="240" w:lineRule="exact"/>
              <w:ind w:right="105" w:rightChars="50"/>
              <w:jc w:val="center"/>
              <w:rPr>
                <w:rFonts w:ascii="宋体" w:cs="宋体"/>
              </w:rPr>
            </w:pPr>
            <w:r>
              <w:rPr>
                <w:rFonts w:hint="eastAsia" w:ascii="宋体" w:cs="宋体"/>
              </w:rPr>
              <w:t>1</w:t>
            </w:r>
          </w:p>
          <w:p>
            <w:pPr>
              <w:tabs>
                <w:tab w:val="left" w:pos="2604"/>
              </w:tabs>
              <w:spacing w:line="240" w:lineRule="exact"/>
              <w:ind w:right="105" w:rightChars="50"/>
              <w:rPr>
                <w:rFonts w:ascii="宋体" w:cs="宋体"/>
              </w:rPr>
            </w:pP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①基础数据信息和会计信息资料是否真实；</w:t>
            </w:r>
          </w:p>
          <w:p>
            <w:pPr>
              <w:spacing w:line="240" w:lineRule="exact"/>
              <w:ind w:left="105" w:leftChars="50" w:right="105" w:rightChars="50"/>
              <w:rPr>
                <w:rFonts w:ascii="宋体" w:hAnsi="宋体" w:cs="宋体"/>
              </w:rPr>
            </w:pPr>
            <w:r>
              <w:rPr>
                <w:rFonts w:hint="eastAsia" w:ascii="宋体" w:hAnsi="宋体" w:cs="宋体"/>
              </w:rPr>
              <w:t>②基础数据信息和会计信息资料是否完整；</w:t>
            </w:r>
          </w:p>
          <w:p>
            <w:pPr>
              <w:spacing w:line="240" w:lineRule="exact"/>
              <w:ind w:left="105" w:leftChars="50" w:right="105" w:rightChars="50"/>
              <w:rPr>
                <w:rFonts w:ascii="宋体" w:cs="宋体"/>
              </w:rPr>
            </w:pP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资产</w:t>
            </w:r>
          </w:p>
          <w:p>
            <w:pPr>
              <w:spacing w:line="240" w:lineRule="exact"/>
              <w:jc w:val="center"/>
              <w:rPr>
                <w:rFonts w:ascii="宋体" w:cs="宋体"/>
              </w:rPr>
            </w:pPr>
            <w:r>
              <w:rPr>
                <w:rFonts w:hint="eastAsia" w:ascii="宋体" w:hAnsi="宋体" w:cs="宋体"/>
              </w:rPr>
              <w:t>管理（</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①是否已制定或具有资产管理制度；②相关资金管理制度是否合法、合规、完整；</w:t>
            </w:r>
          </w:p>
          <w:p>
            <w:pPr>
              <w:spacing w:line="240" w:lineRule="exact"/>
              <w:ind w:left="105" w:leftChars="50" w:right="105" w:rightChars="50"/>
              <w:rPr>
                <w:rFonts w:ascii="宋体" w:cs="宋体"/>
              </w:rPr>
            </w:pP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pPr>
              <w:tabs>
                <w:tab w:val="left" w:pos="761"/>
                <w:tab w:val="left" w:pos="2604"/>
              </w:tabs>
              <w:spacing w:line="240" w:lineRule="exact"/>
              <w:ind w:left="105" w:leftChars="50" w:right="105" w:rightChars="50" w:firstLine="96" w:firstLineChars="46"/>
              <w:rPr>
                <w:rFonts w:ascii="宋体" w:cs="宋体"/>
              </w:rPr>
            </w:pPr>
          </w:p>
          <w:p>
            <w:pPr>
              <w:tabs>
                <w:tab w:val="left" w:pos="761"/>
                <w:tab w:val="left" w:pos="2604"/>
              </w:tabs>
              <w:spacing w:line="240" w:lineRule="exact"/>
              <w:ind w:left="105" w:leftChars="50" w:right="105" w:rightChars="50" w:firstLine="96" w:firstLineChars="46"/>
              <w:rPr>
                <w:rFonts w:ascii="宋体" w:cs="宋体"/>
              </w:rPr>
            </w:pPr>
          </w:p>
          <w:p>
            <w:pPr>
              <w:tabs>
                <w:tab w:val="left" w:pos="761"/>
                <w:tab w:val="left" w:pos="2604"/>
              </w:tabs>
              <w:spacing w:line="240" w:lineRule="exact"/>
              <w:ind w:left="105" w:leftChars="50" w:right="105" w:rightChars="50" w:firstLine="96" w:firstLineChars="46"/>
              <w:rPr>
                <w:rFonts w:ascii="宋体" w:cs="宋体"/>
              </w:rPr>
            </w:pPr>
          </w:p>
          <w:p>
            <w:pPr>
              <w:tabs>
                <w:tab w:val="left" w:pos="761"/>
                <w:tab w:val="left" w:pos="2604"/>
              </w:tabs>
              <w:spacing w:line="240" w:lineRule="exact"/>
              <w:ind w:right="105" w:rightChars="50"/>
              <w:jc w:val="center"/>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①资产保存是否完整；</w:t>
            </w:r>
          </w:p>
          <w:p>
            <w:pPr>
              <w:spacing w:line="240" w:lineRule="exact"/>
              <w:ind w:left="105" w:leftChars="50" w:right="105" w:rightChars="50"/>
              <w:rPr>
                <w:rFonts w:ascii="宋体" w:hAnsi="宋体" w:cs="宋体"/>
              </w:rPr>
            </w:pPr>
            <w:r>
              <w:rPr>
                <w:rFonts w:hint="eastAsia" w:ascii="宋体" w:hAnsi="宋体" w:cs="宋体"/>
              </w:rPr>
              <w:t>②资产配置是否合理；</w:t>
            </w:r>
          </w:p>
          <w:p>
            <w:pPr>
              <w:spacing w:line="240" w:lineRule="exact"/>
              <w:ind w:left="105" w:leftChars="50" w:right="105" w:rightChars="50"/>
              <w:rPr>
                <w:rFonts w:ascii="宋体" w:hAnsi="宋体" w:cs="宋体"/>
              </w:rPr>
            </w:pPr>
            <w:r>
              <w:rPr>
                <w:rFonts w:hint="eastAsia" w:ascii="宋体" w:hAnsi="宋体" w:cs="宋体"/>
              </w:rPr>
              <w:t>③资产处置是否规范；</w:t>
            </w:r>
          </w:p>
          <w:p>
            <w:pPr>
              <w:spacing w:line="240" w:lineRule="exact"/>
              <w:ind w:left="105" w:leftChars="50" w:right="105" w:rightChars="50"/>
              <w:rPr>
                <w:rFonts w:ascii="宋体" w:hAnsi="宋体" w:cs="宋体"/>
              </w:rPr>
            </w:pPr>
            <w:r>
              <w:rPr>
                <w:rFonts w:hint="eastAsia" w:ascii="宋体" w:hAnsi="宋体" w:cs="宋体"/>
              </w:rPr>
              <w:t>④资产账务管理是否合规，是否帐实相符；</w:t>
            </w:r>
          </w:p>
          <w:p>
            <w:pPr>
              <w:spacing w:line="240" w:lineRule="exact"/>
              <w:ind w:left="105" w:leftChars="50" w:right="105" w:rightChars="50"/>
              <w:rPr>
                <w:rFonts w:ascii="宋体" w:cs="宋体"/>
              </w:rPr>
            </w:pP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产出（</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职责</w:t>
            </w:r>
          </w:p>
          <w:p>
            <w:pPr>
              <w:spacing w:line="240" w:lineRule="exact"/>
              <w:jc w:val="center"/>
              <w:rPr>
                <w:rFonts w:ascii="宋体" w:cs="宋体"/>
              </w:rPr>
            </w:pPr>
            <w:r>
              <w:rPr>
                <w:rFonts w:hint="eastAsia" w:ascii="宋体" w:hAnsi="宋体" w:cs="宋体"/>
              </w:rPr>
              <w:t>履行（</w:t>
            </w:r>
            <w:r>
              <w:rPr>
                <w:rFonts w:ascii="宋体" w:hAnsi="宋体" w:cs="宋体"/>
              </w:rPr>
              <w:t>30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hAnsi="宋体" w:cs="宋体"/>
              </w:rPr>
            </w:pPr>
            <w:r>
              <w:rPr>
                <w:rFonts w:hint="eastAsia" w:ascii="宋体" w:hAnsi="宋体" w:cs="宋体"/>
              </w:rPr>
              <w:t>完成率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7</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实际完成工作数：一定时期（年度或规划期）内部门实际完成工作任务的数量。</w:t>
            </w:r>
          </w:p>
          <w:p>
            <w:pPr>
              <w:spacing w:line="240" w:lineRule="exact"/>
              <w:ind w:left="105" w:leftChars="50" w:right="105" w:rightChars="50"/>
              <w:rPr>
                <w:rFonts w:ascii="宋体" w:cs="宋体"/>
              </w:rPr>
            </w:pP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textDirection w:val="tbRlV"/>
            <w:vAlign w:val="center"/>
          </w:tcPr>
          <w:p>
            <w:pPr>
              <w:spacing w:line="240" w:lineRule="exact"/>
              <w:ind w:left="113"/>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hAnsi="宋体" w:cs="宋体"/>
              </w:rPr>
            </w:pPr>
            <w:r>
              <w:rPr>
                <w:rFonts w:hint="eastAsia" w:ascii="宋体" w:hAnsi="宋体" w:cs="宋体"/>
              </w:rPr>
              <w:t>及时率</w:t>
            </w:r>
          </w:p>
          <w:p>
            <w:pPr>
              <w:spacing w:line="240" w:lineRule="exact"/>
              <w:jc w:val="center"/>
              <w:rPr>
                <w:rFonts w:ascii="宋体" w:cs="宋体"/>
              </w:rPr>
            </w:pPr>
            <w:r>
              <w:rPr>
                <w:rFonts w:hint="eastAsia" w:ascii="宋体" w:hAnsi="宋体" w:cs="宋体"/>
              </w:rPr>
              <w:t>（</w:t>
            </w:r>
            <w:r>
              <w:rPr>
                <w:rFonts w:ascii="宋体" w:hAnsi="宋体" w:cs="宋体"/>
              </w:rPr>
              <w:t>4</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hAnsi="宋体" w:cs="宋体"/>
              </w:rPr>
            </w:pPr>
            <w:r>
              <w:rPr>
                <w:rFonts w:hint="eastAsia" w:ascii="宋体" w:hAnsi="宋体" w:cs="宋体"/>
              </w:rPr>
              <w:t>达标率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7</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10</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效果（</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履职</w:t>
            </w:r>
          </w:p>
          <w:p>
            <w:pPr>
              <w:spacing w:line="240" w:lineRule="exact"/>
              <w:jc w:val="center"/>
              <w:rPr>
                <w:rFonts w:ascii="宋体" w:cs="宋体"/>
              </w:rPr>
            </w:pPr>
            <w:r>
              <w:rPr>
                <w:rFonts w:hint="eastAsia" w:ascii="宋体" w:hAnsi="宋体" w:cs="宋体"/>
              </w:rPr>
              <w:t>效益（</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vAlign w:val="center"/>
          </w:tcPr>
          <w:p>
            <w:pPr>
              <w:spacing w:line="240" w:lineRule="exact"/>
              <w:rPr>
                <w:rFonts w:ascii="宋体" w:cs="宋体"/>
              </w:rPr>
            </w:pPr>
            <w:r>
              <w:rPr>
                <w:rFonts w:hint="eastAsia" w:ascii="宋体" w:hAnsi="宋体" w:cs="宋体"/>
              </w:rPr>
              <w:t>总分</w:t>
            </w:r>
          </w:p>
        </w:tc>
        <w:tc>
          <w:tcPr>
            <w:tcW w:w="375" w:type="pct"/>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p>
        </w:tc>
        <w:tc>
          <w:tcPr>
            <w:tcW w:w="375" w:type="pct"/>
            <w:tcMar>
              <w:top w:w="10" w:type="dxa"/>
              <w:left w:w="10" w:type="dxa"/>
              <w:bottom w:w="0" w:type="dxa"/>
              <w:right w:w="10" w:type="dxa"/>
            </w:tcMar>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hint="eastAsia" w:ascii="宋体" w:cs="宋体"/>
              </w:rPr>
              <w:t>97</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Pr>
        <w:pStyle w:val="8"/>
        <w:widowControl/>
        <w:shd w:val="clear" w:color="auto" w:fill="FFFFFF"/>
        <w:spacing w:beforeAutospacing="0" w:afterAutospacing="0" w:line="540" w:lineRule="atLeast"/>
        <w:rPr>
          <w:rFonts w:ascii="仿宋" w:hAnsi="仿宋" w:eastAsia="仿宋" w:cs="仿宋"/>
          <w:color w:val="333333"/>
          <w:spacing w:val="-4"/>
          <w:sz w:val="32"/>
          <w:szCs w:val="32"/>
          <w:shd w:val="clear" w:color="auto" w:fill="FFFFFF"/>
        </w:rPr>
      </w:pPr>
    </w:p>
    <w:p>
      <w:pPr>
        <w:pageBreakBefore w:val="0"/>
        <w:kinsoku/>
        <w:wordWrap/>
        <w:overflowPunct/>
        <w:topLinePunct w:val="0"/>
        <w:bidi w:val="0"/>
        <w:snapToGrid/>
        <w:spacing w:line="600" w:lineRule="exact"/>
        <w:ind w:firstLine="600" w:firstLineChars="200"/>
        <w:jc w:val="center"/>
        <w:textAlignment w:val="auto"/>
        <w:rPr>
          <w:rFonts w:hint="default" w:ascii="仿宋" w:hAnsi="仿宋" w:eastAsia="仿宋" w:cs="仿宋"/>
          <w:sz w:val="30"/>
          <w:szCs w:val="30"/>
          <w:lang w:val="en-US"/>
        </w:rPr>
      </w:pPr>
    </w:p>
    <w:sectPr>
      <w:pgSz w:w="11906" w:h="16838"/>
      <w:pgMar w:top="1134" w:right="1531" w:bottom="113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2E533732-C139-42AD-AD7A-160765D3D313}"/>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2" w:fontKey="{AAB8A1C5-2C09-4EE5-A9EE-018D611545C3}"/>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E0000" w:usb2="00000000" w:usb3="00000000" w:csb0="00040000" w:csb1="00000000"/>
    <w:embedRegular r:id="rId3" w:fontKey="{6295729F-7CA5-4D91-9844-1712E46F0C2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84E7F"/>
    <w:multiLevelType w:val="multilevel"/>
    <w:tmpl w:val="05E84E7F"/>
    <w:lvl w:ilvl="0" w:tentative="0">
      <w:start w:val="3"/>
      <w:numFmt w:val="japaneseCounting"/>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
    <w:nsid w:val="5C9A9A78"/>
    <w:multiLevelType w:val="singleLevel"/>
    <w:tmpl w:val="5C9A9A7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2NTA2MDNmMTRmNzRiMDA4NWY3OWNjZjBlYzQ2ZTQ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43BF5"/>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A3FDF"/>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2270821"/>
    <w:rsid w:val="04553F6E"/>
    <w:rsid w:val="071916D6"/>
    <w:rsid w:val="0B697AD8"/>
    <w:rsid w:val="0B967106"/>
    <w:rsid w:val="0BF527AB"/>
    <w:rsid w:val="0C194A5A"/>
    <w:rsid w:val="0F277BF2"/>
    <w:rsid w:val="104C2951"/>
    <w:rsid w:val="11CB1D14"/>
    <w:rsid w:val="12107727"/>
    <w:rsid w:val="133D0DDE"/>
    <w:rsid w:val="153425B3"/>
    <w:rsid w:val="15C30CA1"/>
    <w:rsid w:val="189A525C"/>
    <w:rsid w:val="1A656DD1"/>
    <w:rsid w:val="1AD56DC2"/>
    <w:rsid w:val="1B6B20DE"/>
    <w:rsid w:val="1E155965"/>
    <w:rsid w:val="1F417171"/>
    <w:rsid w:val="2154235D"/>
    <w:rsid w:val="21630AD9"/>
    <w:rsid w:val="224408B1"/>
    <w:rsid w:val="26963F14"/>
    <w:rsid w:val="28921A39"/>
    <w:rsid w:val="292B2153"/>
    <w:rsid w:val="2ABC1A57"/>
    <w:rsid w:val="2FC8743B"/>
    <w:rsid w:val="31201A1E"/>
    <w:rsid w:val="312508F6"/>
    <w:rsid w:val="32224348"/>
    <w:rsid w:val="32A60720"/>
    <w:rsid w:val="35E0707D"/>
    <w:rsid w:val="35E509EC"/>
    <w:rsid w:val="36D13A8F"/>
    <w:rsid w:val="387B2ECD"/>
    <w:rsid w:val="39F727BE"/>
    <w:rsid w:val="3C243C4B"/>
    <w:rsid w:val="3E5C21B7"/>
    <w:rsid w:val="3E7D521D"/>
    <w:rsid w:val="3FFF47B3"/>
    <w:rsid w:val="42215AD8"/>
    <w:rsid w:val="451D596C"/>
    <w:rsid w:val="477901EF"/>
    <w:rsid w:val="4A08126B"/>
    <w:rsid w:val="4AA037A5"/>
    <w:rsid w:val="4D634893"/>
    <w:rsid w:val="4DB827C0"/>
    <w:rsid w:val="4DD16FFA"/>
    <w:rsid w:val="4ED24C6B"/>
    <w:rsid w:val="4F755E28"/>
    <w:rsid w:val="50886614"/>
    <w:rsid w:val="51107F72"/>
    <w:rsid w:val="53560584"/>
    <w:rsid w:val="540F68E3"/>
    <w:rsid w:val="55792CAD"/>
    <w:rsid w:val="59B83147"/>
    <w:rsid w:val="5A85738C"/>
    <w:rsid w:val="5C285C28"/>
    <w:rsid w:val="5CB77B83"/>
    <w:rsid w:val="5FA16C8F"/>
    <w:rsid w:val="5FC50C55"/>
    <w:rsid w:val="604817EF"/>
    <w:rsid w:val="635A4F4C"/>
    <w:rsid w:val="66A64423"/>
    <w:rsid w:val="68F361EA"/>
    <w:rsid w:val="69D4612E"/>
    <w:rsid w:val="6BBE3D22"/>
    <w:rsid w:val="6D7422CC"/>
    <w:rsid w:val="6F677E76"/>
    <w:rsid w:val="724B66A3"/>
    <w:rsid w:val="73BE3A62"/>
    <w:rsid w:val="742E22AA"/>
    <w:rsid w:val="77AC6F6D"/>
    <w:rsid w:val="78634363"/>
    <w:rsid w:val="7A8A5C1C"/>
    <w:rsid w:val="7BFF12C3"/>
    <w:rsid w:val="7CA97E50"/>
    <w:rsid w:val="7D513695"/>
    <w:rsid w:val="7FCD3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topLinePunct/>
    </w:pPr>
    <w:rPr>
      <w:rFonts w:hint="eastAsia"/>
      <w:szCs w:val="24"/>
    </w:rPr>
  </w:style>
  <w:style w:type="paragraph" w:styleId="8">
    <w:name w:val="Normal (Web)"/>
    <w:basedOn w:val="1"/>
    <w:unhideWhenUsed/>
    <w:qFormat/>
    <w:uiPriority w:val="99"/>
    <w:pPr>
      <w:spacing w:before="100" w:beforeAutospacing="1" w:after="100" w:afterAutospacing="1"/>
      <w:jc w:val="left"/>
    </w:pPr>
    <w:rPr>
      <w:rFonts w:hint="default"/>
      <w:kern w:val="0"/>
      <w:sz w:val="24"/>
      <w:szCs w:val="24"/>
      <w:lang w:val="en-US" w:eastAsia="zh-CN"/>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13356</Words>
  <Characters>15611</Characters>
  <Lines>69</Lines>
  <Paragraphs>19</Paragraphs>
  <TotalTime>15</TotalTime>
  <ScaleCrop>false</ScaleCrop>
  <LinksUpToDate>false</LinksUpToDate>
  <CharactersWithSpaces>16132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丫丫</cp:lastModifiedBy>
  <cp:lastPrinted>2022-07-27T12:55:00Z</cp:lastPrinted>
  <dcterms:modified xsi:type="dcterms:W3CDTF">2024-09-06T06:39:37Z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C8A89598E8794EC8B3B3F09B2FA41915</vt:lpwstr>
  </property>
</Properties>
</file>