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bookmarkStart w:id="0" w:name="OLE_LINK1"/>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益阳市赫山区畜牧水产事务中心</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2021年部门预算公开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jc w:val="center"/>
        <w:rPr>
          <w:rFonts w:ascii="黑体" w:hAnsi="黑体" w:eastAsia="黑体"/>
          <w:sz w:val="32"/>
          <w:szCs w:val="32"/>
        </w:rPr>
      </w:pPr>
      <w:r>
        <w:rPr>
          <w:rFonts w:hint="eastAsia" w:ascii="黑体" w:hAnsi="黑体" w:eastAsia="黑体"/>
          <w:sz w:val="32"/>
          <w:szCs w:val="32"/>
        </w:rPr>
        <w:t>目  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第一部分  益阳市赫山区畜牧水产事务中心2021年部门预算说明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一、部门基本情况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（一）职能职责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三、部门收支总体情况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（二）支出预算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四、一般公共预算拨款支出预算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五、政府性基金预算支出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六、其他重要事项的情况说明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（一）机关运行经费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（二）“三公”经费预算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（四）政府采购情况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（五）国有资产占用使用情况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（六）预算绩效目标情况</w:t>
      </w:r>
      <w:bookmarkStart w:id="1" w:name="_GoBack"/>
      <w:bookmarkEnd w:id="1"/>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（七）重点项目预算等预算绩效情况说明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七、名词解释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第二部分  益阳市赫山区畜牧水产事务中心2021年部门预算公开的表格</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一、部门收支总体情况表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二、部门收入总体情况表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三、部门支出总体情况表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四、财政拨款收支总体情况表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五、一般公共预算支出情况表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六、一般公共预算基本支出情况表(纵向)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七、一般公共预算基本支出情况表(横向)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八、政府性基金预算支出情况表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九、“三公”经费支出情况表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十、政府采购预算表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一</w:t>
      </w:r>
      <w:r>
        <w:rPr>
          <w:rFonts w:hint="eastAsia" w:ascii="仿宋_GB2312" w:eastAsia="仿宋_GB2312"/>
          <w:sz w:val="32"/>
          <w:szCs w:val="32"/>
        </w:rPr>
        <w:t>、部门整体支出绩效目标申报表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二</w:t>
      </w:r>
      <w:r>
        <w:rPr>
          <w:rFonts w:hint="eastAsia" w:ascii="仿宋_GB2312" w:eastAsia="仿宋_GB2312"/>
          <w:sz w:val="32"/>
          <w:szCs w:val="32"/>
        </w:rPr>
        <w:t>、单位项目支出绩效目标申报表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三</w:t>
      </w:r>
      <w:r>
        <w:rPr>
          <w:rFonts w:hint="eastAsia" w:ascii="仿宋_GB2312" w:eastAsia="仿宋_GB2312"/>
          <w:sz w:val="32"/>
          <w:szCs w:val="32"/>
        </w:rPr>
        <w:t>、重点项目支出绩效目标申报表</w:t>
      </w: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rPr>
          <w:rFonts w:ascii="黑体" w:hAnsi="黑体" w:eastAsia="黑体"/>
          <w:sz w:val="32"/>
          <w:szCs w:val="32"/>
        </w:rPr>
      </w:pPr>
      <w:r>
        <w:rPr>
          <w:rFonts w:hint="eastAsia" w:ascii="黑体" w:hAnsi="黑体" w:eastAsia="黑体"/>
          <w:sz w:val="32"/>
          <w:szCs w:val="32"/>
        </w:rPr>
        <w:t>第一部分：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益阳市赫山区畜牧水产事务中心</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2021年部门预算说明</w:t>
      </w:r>
    </w:p>
    <w:p>
      <w:pPr>
        <w:pStyle w:val="2"/>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一、部门基本情况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（一）职能职责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1.贯彻执行党和国家以及省、市、区有关养殖业工作的方针政策和法律法规。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2.负责全区养殖业生产的指导服务，承担养殖业生产技术技能培训。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3.参与拟订畜牧业、渔业发展规划和养殖业重大项目的筛选、立项申报。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4.承担养殖业技术研究攻关，新品种、新技术的引进、培育、开发利用和推广；指导畜禽水产良种繁育试验示范及种质资源保护、开发利用。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5.组织实施动物疫病、动物血吸虫病、水产养殖病害综合防治和动物疫病检测。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6.负责资质范围内渔业船舶登记检验工作。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7.参与畜禽屠宰管理、动物疫病处置、畜禽水产品质量安全、饲料和兽药生产经营管理、渔业资源保护及生产秩序和安全监管服务等工作。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8.承担区农业农村局委托的有关行政职能。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9.完成区委、区政府和区农业农村局交办的其他任务。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益阳市赫山区畜牧水产事务中心单位内设股室包括：办公室、政工人事股、财务股、畜牧业技术推广站、水产技术推广站、动物疫病预防控制股。二级机构有：益阳市鱼类良种繁育场、益阳市畜禽良种繁育场。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二、部门预算单位构成</w:t>
      </w:r>
    </w:p>
    <w:p>
      <w:pPr>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rPr>
        <w:t>纳入2021年部门预算编制范围的有：益阳市赫山区畜牧水产事务中心本级；益阳市鱼类良种繁育场；益阳市畜禽良种繁育场。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三、部门收支总体情况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部门预算包括本级预算情况。收入既包括一般公共预算收入、政府性基金收入和国有资本运营预算收入；支出既包括基本运行经费，也包括生猪品改经费、畜禽水产品质量安全监管、党建经费、动物检疫经费、禁渔经费、定点屠宰工作经费、放管服改革补助、动物防疫经费等专项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年初预算数1455.43万元，其中：一般公共预算拨款1188.92万元，政府性基金预算拨款为0万元，国有资本经营预算拨款0万元，纳入预算管理的非税收入拨款174.50万元，其他收入60.16万元；上级补助收入31.85万元，事业单位经营服务收入0万元。收入较去年减少741.53万元，减少33.75%，主要原因是由于我中心15个乡镇防疫站上岗人员人、财、物都转到各乡政府，还有就是我中心渔政执法行政职能划转到农业局执法大队，所以2021年没有安排预算拨款，所以一般公共预算拨款减少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部门预算本级预算总支出1455.43万元。主要用于工资福利支出876.17万元，商品和服务支出146.91万元，对个人和家庭的补助支出290.34万元，项目支出142万元。支出较去年减少741.53万元，减少33.75%，工资福利支出、商品和服务支出、对个人和家庭的补助支出、项目支出都有减少。工资福利支出、商品和服务支出减少是因为我中心15个乡镇防疫站上岗人员人、财、物都转到各乡政府以及我中心渔政执法行政职能划转到渔政执法大队，2021年没有安排工资福利支出和商品和服务支出预算拨款，所以减少了。对个人和家庭的补助支出的减少是因为这部分人已经退休了一部分，所以经费安排减少了。项目支出减少是我中心渔政执法行政职能划转到农业局渔政执法大队，所渔政执法经费20万元预算已安排到农业局去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四、一般公共预算拨款支出预算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一般公共预算拨款收入为1188.92万元，较2020年一般公共预算拨款收入（1805.92万元），减少了617万元，减少34.17%。主要原因是有一部分人员调到农业执法大队去了，这部分人员经费和公用经费就减少了。具体安排情况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2021年年初预算数为1046.92万元，是指为保障单位机构正常运转、完成日常工作任务而发生的各项支出，包括用于基本工资、津贴补贴等人员经费以及办公费、印刷费、水电费、办公设备购置等日常公用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2021年年初预算数为142万元，是指单位为完成特定行政工作任务或事业发展目标而发生的支出，包括有关事业发展专项、专项业务费、基本建设支出、对市县专项补助等。其中：生猪品改经费支出10万元，主要用于生猪品改技术推广、生猪供精站建设等方面；畜禽水产品质量安全经费20万元，用于畜禽水产品质量安全监管，检测“瘦肉精”等违禁药品，保证离禽水产品的质量安全等等；党建经费2万元；动物检疫经费10万元，用于全区的动物和动物产品的检疫，有关检疫证明、检疫标志发放和管理，动物诊疗监管和执业兽医的监督管理，畜禽标识和免疫档案的监督管理，动物产品安全的监督管理。禁渔经费3万元，用于春季禁渔期间打击违法捕捞等经费；定点屠宰工作经费10万元和放管服改革补助67万元，用于畜禽屠宰活动的监督管理，按照有关法律、法规、规章和技术标准整顿规范畜禽定点屠宰的屠宰经营行为；动物防疫经费20万元，用于对辖区内有关单位和个人执行《动物防疫法》及有关动物卫生法律、法规、规章的情况进行监督、检查和管理，纠正和处理违反动物卫生法律、法规和规章的行为，决定动物卫生监督处理、处罚等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五、政府性基金预算支出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本年度政府性基金预算支出为0元。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六、其他重要事项的情况说明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（一）机关运行经费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本级机关运行经费一般公共预算拨款49.53万元，比2020年预算减少34.05万元，减少40.74%。下降主要原因是我中心15个乡镇防疫站上岗人员人、财、物都转到各乡政府以及我中心渔政执法行政职能划转到渔政执法大队，2021年没有安排预算拨款。还有一个原因是认真贯彻落实</w:t>
      </w:r>
      <w:r>
        <w:rPr>
          <w:rFonts w:hint="eastAsia" w:ascii="仿宋_GB2312" w:eastAsia="仿宋_GB2312"/>
          <w:sz w:val="32"/>
          <w:szCs w:val="32"/>
          <w:lang w:eastAsia="zh-CN"/>
        </w:rPr>
        <w:t>中央八项规定</w:t>
      </w:r>
      <w:r>
        <w:rPr>
          <w:rFonts w:hint="eastAsia" w:ascii="仿宋_GB2312" w:eastAsia="仿宋_GB2312"/>
          <w:sz w:val="32"/>
          <w:szCs w:val="32"/>
        </w:rPr>
        <w:t>精神和厉行节约要求，从严控制经费。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（二）“三公”经费预算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三公”经费预算数13.00万元，其中，公务接待费5.00万元，公务用车购置及运行费8.00万元（其中，公务用车购置费0.00万元，公务用车运行费8.00万元），因公出国（境）费0元。2021年“三公”经费预算较2020年减少9.84万元，减少38.70%。主要原因是我中心15个乡镇防疫站上岗人员人、财、物都转到各乡政府以及我中心渔政执法行政职能划转到渔政执法大队，2021年没有安排预算拨款。还有一个原因是认真贯彻落实</w:t>
      </w:r>
      <w:r>
        <w:rPr>
          <w:rFonts w:hint="eastAsia" w:ascii="仿宋_GB2312" w:eastAsia="仿宋_GB2312"/>
          <w:sz w:val="32"/>
          <w:szCs w:val="32"/>
          <w:lang w:eastAsia="zh-CN"/>
        </w:rPr>
        <w:t>中央八项规定</w:t>
      </w:r>
      <w:r>
        <w:rPr>
          <w:rFonts w:hint="eastAsia" w:ascii="仿宋_GB2312" w:eastAsia="仿宋_GB2312"/>
          <w:sz w:val="32"/>
          <w:szCs w:val="32"/>
        </w:rPr>
        <w:t>精神和厉行节约要求，从严控制经费。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2021年区畜牧水产局部门一般性支出预算为0元。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（四）政府采购情况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2021年区畜牧水产局部门各单位政府采购预算总额0万元。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（五）国有资产占用使用情况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本年度国有资产有1台车，50万元以上通用设备 0台，100万元以上专用设备0台。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（六）预算绩效目标情况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整体支出绩效目标管理：2021年，本部门按照有关政策文件开展预算绩效管理工作，加强绩效目标管理。在编制2021年部门预算时，本部门将所有预算资金纳入绩效目标管理，实现了绩效目标与部门预算同步编制、同步申报。经区人大批准后，在规定时间内，区财政局将绩效目标批复给本部门作为预算执行和监督的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2021年本部门整体支出绩效目标1455.43万元，其中：基本支出1313.43万元，项目支出142万元。全部实行整体支出绩效目标管理，涉及一般公共预算当年拨款1188.92万元。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2021年本部门项目支出绩效目标67万元，为放管服改革补助67万元，主要目标为了确保全区定点屠宰企业规范化管理，保证全区人民舌尖上的安全。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（七）重点项目预算等预算绩效情况说明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本年度无重点项目预算等预算绩效情况。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七、名词解释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第二部分：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部门预算公开的表格</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一、部门收支总体情况表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二、部门收入总体情况表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三、部门支出总体情况表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四、财政拨款收支总体情况表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五、一般公共预算支出情况表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六、一般公共预算基本支出情况表(纵向)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七、一般公共预算基本支出情况表(横向)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八、政府性基金预算支出情况表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九、“三公”经费支出情况表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十、政府采购预算表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一</w:t>
      </w:r>
      <w:r>
        <w:rPr>
          <w:rFonts w:hint="eastAsia" w:ascii="仿宋_GB2312" w:eastAsia="仿宋_GB2312"/>
          <w:sz w:val="32"/>
          <w:szCs w:val="32"/>
        </w:rPr>
        <w:t>、部门整体支出绩效目标申报表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二</w:t>
      </w:r>
      <w:r>
        <w:rPr>
          <w:rFonts w:hint="eastAsia" w:ascii="仿宋_GB2312" w:eastAsia="仿宋_GB2312"/>
          <w:sz w:val="32"/>
          <w:szCs w:val="32"/>
        </w:rPr>
        <w:t>、单位项目支出绩效目标申报表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三</w:t>
      </w:r>
      <w:r>
        <w:rPr>
          <w:rFonts w:hint="eastAsia" w:ascii="仿宋_GB2312" w:eastAsia="仿宋_GB2312"/>
          <w:sz w:val="32"/>
          <w:szCs w:val="32"/>
        </w:rPr>
        <w:t>、重点项目支出绩效目标申报表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附件：2021年部门预算公开的表格情况.xls</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ind w:firstLine="4320" w:firstLineChars="1350"/>
        <w:rPr>
          <w:rFonts w:ascii="仿宋_GB2312" w:eastAsia="仿宋_GB2312"/>
          <w:sz w:val="32"/>
          <w:szCs w:val="32"/>
        </w:rPr>
      </w:pPr>
      <w:r>
        <w:rPr>
          <w:rFonts w:hint="eastAsia" w:ascii="仿宋_GB2312" w:eastAsia="仿宋_GB2312"/>
          <w:sz w:val="32"/>
          <w:szCs w:val="32"/>
        </w:rPr>
        <w:t>益阳市赫山区畜牧水产事务中心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2021年 1月25日</w:t>
      </w:r>
      <w:bookmarkEnd w:id="0"/>
    </w:p>
    <w:sectPr>
      <w:footerReference r:id="rId3" w:type="default"/>
      <w:pgSz w:w="11906" w:h="16838"/>
      <w:pgMar w:top="2098" w:right="1474" w:bottom="1985"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737F91-0015-4DA6-9DEC-7CBAC38C88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F8824D3-9334-4E84-A59F-FDEC69ED92EB}"/>
  </w:font>
  <w:font w:name="方正小标宋简体">
    <w:panose1 w:val="02000000000000000000"/>
    <w:charset w:val="86"/>
    <w:family w:val="auto"/>
    <w:pitch w:val="default"/>
    <w:sig w:usb0="00000001" w:usb1="080E0000" w:usb2="00000000" w:usb3="00000000" w:csb0="00040000" w:csb1="00000000"/>
    <w:embedRegular r:id="rId3" w:fontKey="{6C296DDA-77FE-4427-9D33-97661BBFB5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28945"/>
    </w:sdtPr>
    <w:sdtContent>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8</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6AF0"/>
    <w:rsid w:val="00080EB3"/>
    <w:rsid w:val="000D7BF0"/>
    <w:rsid w:val="002C16B7"/>
    <w:rsid w:val="00312F1F"/>
    <w:rsid w:val="0034017C"/>
    <w:rsid w:val="00363702"/>
    <w:rsid w:val="00375EA1"/>
    <w:rsid w:val="00375F56"/>
    <w:rsid w:val="00433B7E"/>
    <w:rsid w:val="00496AF0"/>
    <w:rsid w:val="004E1C03"/>
    <w:rsid w:val="00516C83"/>
    <w:rsid w:val="005863B2"/>
    <w:rsid w:val="00593AF8"/>
    <w:rsid w:val="005D0635"/>
    <w:rsid w:val="0068154F"/>
    <w:rsid w:val="007C544B"/>
    <w:rsid w:val="008647DB"/>
    <w:rsid w:val="00903CE7"/>
    <w:rsid w:val="00985995"/>
    <w:rsid w:val="00B16F36"/>
    <w:rsid w:val="00BD7316"/>
    <w:rsid w:val="00C43778"/>
    <w:rsid w:val="00C7436B"/>
    <w:rsid w:val="00CA7FC3"/>
    <w:rsid w:val="00CC4DAB"/>
    <w:rsid w:val="00D7357F"/>
    <w:rsid w:val="00DB1356"/>
    <w:rsid w:val="00EC16A2"/>
    <w:rsid w:val="00ED239B"/>
    <w:rsid w:val="00EF255B"/>
    <w:rsid w:val="00FA4341"/>
    <w:rsid w:val="00FD27F7"/>
    <w:rsid w:val="00FF2145"/>
    <w:rsid w:val="03747712"/>
    <w:rsid w:val="05B031F1"/>
    <w:rsid w:val="07072ACA"/>
    <w:rsid w:val="0DEC4B65"/>
    <w:rsid w:val="0EF32F2E"/>
    <w:rsid w:val="107D3EC8"/>
    <w:rsid w:val="137F44F7"/>
    <w:rsid w:val="16B8033B"/>
    <w:rsid w:val="17856D32"/>
    <w:rsid w:val="21AB4076"/>
    <w:rsid w:val="2207713C"/>
    <w:rsid w:val="22C90916"/>
    <w:rsid w:val="22F73A5F"/>
    <w:rsid w:val="23B31E52"/>
    <w:rsid w:val="253A72B1"/>
    <w:rsid w:val="254B5544"/>
    <w:rsid w:val="256E74DA"/>
    <w:rsid w:val="26583251"/>
    <w:rsid w:val="2BDC5320"/>
    <w:rsid w:val="2D2C4F85"/>
    <w:rsid w:val="2E0527A2"/>
    <w:rsid w:val="36B354D7"/>
    <w:rsid w:val="376E61FB"/>
    <w:rsid w:val="3BF96190"/>
    <w:rsid w:val="3CA167EC"/>
    <w:rsid w:val="3DA51340"/>
    <w:rsid w:val="3E34343A"/>
    <w:rsid w:val="3EA95E84"/>
    <w:rsid w:val="45334162"/>
    <w:rsid w:val="468337C9"/>
    <w:rsid w:val="489316BD"/>
    <w:rsid w:val="4B292F69"/>
    <w:rsid w:val="4B4A57F6"/>
    <w:rsid w:val="4C270C54"/>
    <w:rsid w:val="4D603A6E"/>
    <w:rsid w:val="4D7E5B8D"/>
    <w:rsid w:val="503E44A4"/>
    <w:rsid w:val="58D53870"/>
    <w:rsid w:val="5963071A"/>
    <w:rsid w:val="59750D2F"/>
    <w:rsid w:val="5D2F3F5E"/>
    <w:rsid w:val="5F0D70B9"/>
    <w:rsid w:val="614B3D59"/>
    <w:rsid w:val="630B46ED"/>
    <w:rsid w:val="63B357B8"/>
    <w:rsid w:val="660D497C"/>
    <w:rsid w:val="67FA4989"/>
    <w:rsid w:val="6A8A5079"/>
    <w:rsid w:val="6D326E2D"/>
    <w:rsid w:val="6DCA597E"/>
    <w:rsid w:val="6F547F2D"/>
    <w:rsid w:val="700E3D87"/>
    <w:rsid w:val="716E1A14"/>
    <w:rsid w:val="722E4D86"/>
    <w:rsid w:val="72E116CD"/>
    <w:rsid w:val="75FB2460"/>
    <w:rsid w:val="76FF673D"/>
    <w:rsid w:val="78C449E6"/>
    <w:rsid w:val="79EF17FF"/>
    <w:rsid w:val="7B2C6AA2"/>
    <w:rsid w:val="7CC67AC5"/>
    <w:rsid w:val="7CED53B8"/>
    <w:rsid w:val="7E67011B"/>
    <w:rsid w:val="7FA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TOC1"/>
    <w:basedOn w:val="1"/>
    <w:next w:val="1"/>
    <w:qFormat/>
    <w:uiPriority w:val="99"/>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617</Words>
  <Characters>3519</Characters>
  <Lines>29</Lines>
  <Paragraphs>8</Paragraphs>
  <TotalTime>13</TotalTime>
  <ScaleCrop>false</ScaleCrop>
  <LinksUpToDate>false</LinksUpToDate>
  <CharactersWithSpaces>4128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2019-12-31T07:43:00Z</dcterms:created>
  <dc:creator>Administrator</dc:creator>
  <cp:lastModifiedBy>丫丫</cp:lastModifiedBy>
  <cp:lastPrinted>2022-03-24T06:45:00Z</cp:lastPrinted>
  <dcterms:modified xsi:type="dcterms:W3CDTF">2024-09-10T03:04:23Z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B9F50AD85A7E4D189527B6D11CCBD2C1</vt:lpwstr>
  </property>
</Properties>
</file>