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2020年度益阳市赫山区审计局部门决算</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第一部分 单位概况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二、机构设置</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第二部分 2020年度部门决算表</w:t>
      </w:r>
      <w:bookmarkStart w:id="0" w:name="_GoBack"/>
      <w:bookmarkEnd w:id="0"/>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附件</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仿宋_GB2312" w:eastAsia="仿宋_GB2312"/>
          <w:sz w:val="32"/>
          <w:szCs w:val="32"/>
          <w:highlight w:val="white"/>
        </w:rPr>
      </w:pP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益阳市赫山区审计局概况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（一）拟定全区审计工作政策、规章制度、专业领域审计工作规划并监督执行。对直接审计、调查和核查事项依法进行审计评价，做出审计决定或提出审计建议。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主管全区审计工作。负责对全区财政收支和法律法规规定属于审计监督范围的财务收支的真实、合法和效益进行审计监督，对公共资金、国有资产、国有资源和领导干部履行经济责任情况进行审计全覆盖，对领导干部实行自然资源资产离任审计，对中央、省、市、区有关重大政策措施贯彻落实情况进行跟踪审计。对审计、专项审计调查和核查社会审计机构相关审计报告的结果承担责任，并负有督促被审计单位整改的责任。</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三）向区委审计委员会、区政府区长提出年度区级预算执行和其他财政支出情况审计报告。受区政府委托向区人大常委会提出区级预算执行和其他财政收支情况的审计工作报告、审计查出问题整改情况报告。向区委、区政府报告对其他事项的审计和专项审计调查情况及结果。依法向社会公布审计结果。向区直有关部门、乡镇、街道、园区党（工）委通报审计情况和审计结果。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直接审计下列事项，出具审计报告，在法定职权范围内做出审计决定：中央、省、市、区有关重大政策措施贯彻落实情况；区级财政预算执行情况和其他财政收支，区直各部门（含直属单位）预算执行情况和其他财政收支；各乡镇（街道、园区）及区属园区预算执行情况、决算草案和其他财政收支，中央、省级、市级和区级财政转移支付资金；使用财政资金的事业单位和社会团体的财务收支。区政府投资和以区政府投资为主的建设项目的预算执行情况和决算，区级重大公共工程项目的资金管理使用和建设运营情况；自然资源管理、污染防治和生态保护与修复情况；区属国有企业和金融机构、区属资本占控股或主导地位的企业和金融机构的资产、负债和损益情况；我区驻外非经营性机构的财务收支；有关社会保障基金、社会捐赠资金以及其他有关基金、资金的财务收支；国际组织和外国政府援助、贷款项目；法律法规规定的其他事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（五）按规定向区管党政主要领导干部及其他单位主要负责人实施经济责任审计和自然资源资产离任审计。</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（六）组织实施对国家财经法律法规、规章、政策和宏观调控措施执行情况、财政预算管理及国有资产管理使用等与国家财政收支有关的特定事项进行专项审计调查。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（七）负责上级审计机关授权的审计项目和专项审计调查项目的组织实施。</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（八）依法检查审计执行情况，督促整改审计查出的问题，依法办理被审计单位对审计决定提请行政复议、行政诉讼或区政府裁决中的有关事项，协助有关部门查出相关重大案件。</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（九）指导和监督内部审计工作，核查社会审计机构对依法属于审计监督对象的单位出具的相关审计报告。</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（十）指导和推广信息技术在全区审计系统的应用。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w:t>
      </w:r>
      <w:r>
        <w:rPr>
          <w:rFonts w:ascii="仿宋_GB2312" w:eastAsia="仿宋_GB2312"/>
          <w:sz w:val="32"/>
          <w:szCs w:val="32"/>
          <w:highlight w:val="white"/>
        </w:rPr>
        <w:t>一</w:t>
      </w:r>
      <w:r>
        <w:rPr>
          <w:rFonts w:hint="eastAsia" w:ascii="仿宋_GB2312" w:eastAsia="仿宋_GB2312"/>
          <w:sz w:val="32"/>
          <w:szCs w:val="32"/>
          <w:highlight w:val="white"/>
        </w:rPr>
        <w:t>）完成区委、区政府、委员会交办的其他任务。</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w:t>
      </w:r>
      <w:r>
        <w:rPr>
          <w:rFonts w:ascii="仿宋_GB2312" w:eastAsia="仿宋_GB2312"/>
          <w:sz w:val="32"/>
          <w:szCs w:val="32"/>
          <w:highlight w:val="white"/>
        </w:rPr>
        <w:t>二</w:t>
      </w:r>
      <w:r>
        <w:rPr>
          <w:rFonts w:hint="eastAsia" w:ascii="仿宋_GB2312" w:eastAsia="仿宋_GB2312"/>
          <w:sz w:val="32"/>
          <w:szCs w:val="32"/>
          <w:highlight w:val="white"/>
        </w:rPr>
        <w:t>）职能转变，进一步完善审计管理体制。加强全区审计工作统筹，理顺内部职责关系，优化审计资源配置，充实加强一</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线审计力量，构建集中统一、全面覆盖、权威高效的审计监督体系。优化设计工作机制，坚持科技强审，完善业务流程，改进工作方式，加强与相关部门的沟通协调，充分调动内部审计和社会审计力量，增强监督合力。</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益阳市赫山区审计局单位内设机构包括：区委审计委员会办公室秘书室、局办公室、法规审理股、财政金融审计股、经济责任审计股、农业与资源环境审计股、行政事业和社会保障审计股、审计执行股、计划统计股和重大项目和固定资产投资审计中心。</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（二）决算单位构成。益阳市赫山区审计局只有本级，没有其他二级决算单位，因此纳入2020年部门决算范围的只有赫山区审计局本级。</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2020年度收入960.96万元，年初结转和结余190.86万元，总计1151.82万元，与2019年收入（651.04万元）相比，</w:t>
      </w:r>
      <w:r>
        <w:rPr>
          <w:rFonts w:hint="eastAsia" w:ascii="仿宋_GB2312" w:eastAsia="仿宋_GB2312"/>
          <w:sz w:val="32"/>
          <w:szCs w:val="32"/>
        </w:rPr>
        <w:t>增加309.92</w:t>
      </w:r>
      <w:r>
        <w:rPr>
          <w:rFonts w:hint="eastAsia" w:ascii="仿宋_GB2312" w:eastAsia="仿宋_GB2312"/>
          <w:sz w:val="32"/>
          <w:szCs w:val="32"/>
          <w:highlight w:val="white"/>
        </w:rPr>
        <w:t>万元，增长47.60%。主要原因:一是在职人员增加导致人员经费增多；二是审计项目增加，工作经费支出相应加大；三是政府购买审计服务专项经费增加；四是劳务派遣人员经费支出增大；五是赫山审计技术服务事务所人员和经费划入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支出783.61万元，年末结转和结余368.21万元，总计1151.82万元，与2019年住处（617.07万元）相比，增加166.54万元，增长26.99%，主要原因：一是在职人员增加导致人员经费增多；二是审计项目增加，工作经费支出相应加大；三是政府购买审计服务专项经费增加；四是劳务派遣人员经费支出增大；五是赫山审计技术服务事务所人员和经费划入等。</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本年收入合计960.96万元，其中：一般公共预算财政拨款收入850.50万元，占88.51%；其他收入110.46万元，占11.49%。</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本年支出合计783.61万元，其中：基本支出697.1万元，占88.96%；项目支出86.51万元，占11.04%。</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2020年度财政拨款收入850.50万元，年初财政拨款结转和结余135.62万元，总计986.12万元，与2019年财政拨款收入（424.36万元）相比，增加426.16万元，增长100.42%，</w:t>
      </w:r>
      <w:r>
        <w:rPr>
          <w:rFonts w:hint="eastAsia" w:ascii="仿宋_GB2312" w:eastAsia="仿宋_GB2312"/>
          <w:sz w:val="32"/>
          <w:szCs w:val="32"/>
          <w:highlight w:val="white"/>
        </w:rPr>
        <w:t>主要原因:一是在职人员增加导致人员经费增多；二是审计项目增加，工作经费支出相应加大；三是政府购买审计服务专项经费增加；四是劳务派遣人员经费支出增大；五是赫山审计技术服务事务所人员和经费划入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财政拨款支出718.77万元，年末财政拨款结转和结余267.36万元，总计986.12万元，与2019年财政拨款支出（388.71万元）相比，增加330.06万元，增长84.91%，主要原因：一是在职人员增加导致人员经费增多；二是审计项目增加，工作经费支出相应加大；三是政府购买审计服务专项经费增加；四是劳务派遣人员经费支出增大；五是赫山审计技术服务事务所人员和经费划入等。</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w:t>
      </w:r>
      <w:r>
        <w:rPr>
          <w:rFonts w:ascii="黑体" w:hAnsi="黑体" w:eastAsia="黑体"/>
          <w:sz w:val="32"/>
          <w:szCs w:val="32"/>
          <w:highlight w:val="white"/>
        </w:rPr>
        <w:t>、</w:t>
      </w:r>
      <w:r>
        <w:rPr>
          <w:rFonts w:hint="eastAsia" w:ascii="黑体" w:hAnsi="黑体" w:eastAsia="黑体"/>
          <w:sz w:val="32"/>
          <w:szCs w:val="32"/>
          <w:highlight w:val="white"/>
        </w:rPr>
        <w:t>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718.77万元，占本年支出合计的91.73%。与2019年度相比，一般公共预算财政拨款支出增加330.06万元，增长84.91%，主要原因：审计项目增加，工作经费支出相应加大；政府购买审计服务专项经费增加；在职人员人数和劳务派遣人员增加；赫山审计技术服务事务所人员划入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2020年度一般公共预算财政拨款支出718.77万元，主要</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用于以下方面：一般公共服务（类）支出649.87万元，占90.41%；社会保障和就业（类）支出26.02万元，占3.62%；卫生健康（类）支出24.30万元，占3.38%；住房保障（类）支出18.58万元，占2.58%。</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2020年度一般公共预算财政拨款支出决算718.77万元，年初预算为530.43万元，完成年初预算的135.51%。与2020年预算做比较，其中：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1.201一般公共服务支出(类)08审计事务（款）01行政运行（项）年初预算为229.83万元，支出决算为566.28万元，决算数大于年初预算数的主要原因是：调整预算增加336.45万元；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2.201一般公共服务支出(类)08审计事务（款）04审计业务（项）年初预算为255.00万元，支出决算为83.59万元，决算数小于年初预算数的主要原因是：调整预算减少171.41万元；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3.207文化旅游体育与传媒支出(类)08广播电视（款）01行政运行（项）年初预算为1.00万元，支出决算为0万元，决算数小于年初预算数的主要原因是：调整预算减少1.00万元；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4.208社会保障和就业支出(类)05行政事业单位养老支出（款）05机关事业单位基本养老保险缴费支出 （项）年初预算为26.02万元，支出决算为26.02万元，决算数与年初预算数相等；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5.210卫生健康支出(类)11行政事业单位医疗（款）01行政单位医疗（项）年初预算为0万元，支出决算为24.30万元，决算数大于年初预算数的主要原因是：调整预算增加24.30万元；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6.221住房保障支出(类)02住房改革支出（款）01住房公积金（项）年初预算为18.58万元，支出决算为18.58万元，决算数与年初预算数相等。主要原因是：在职人员人数增多；审计项目增加，工作经费支出相应加大；政府购买审计服务专项经费增加；劳务派遣人员经费支出增大；赫山审计技术服务事务所人员划入等。</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2020年度一般公共预算财政拨款基本支出635.18万元，其中:人员经费398.18万元，占基本支出的62.69%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237.00万元，占基本支出的37.31%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w:t>
      </w:r>
      <w:r>
        <w:rPr>
          <w:rFonts w:ascii="黑体" w:hAnsi="黑体" w:eastAsia="黑体"/>
          <w:sz w:val="32"/>
          <w:szCs w:val="32"/>
          <w:highlight w:val="white"/>
        </w:rPr>
        <w:t>、</w:t>
      </w:r>
      <w:r>
        <w:rPr>
          <w:rFonts w:hint="eastAsia" w:ascii="黑体" w:hAnsi="黑体" w:eastAsia="黑体"/>
          <w:sz w:val="32"/>
          <w:szCs w:val="32"/>
          <w:highlight w:val="white"/>
        </w:rPr>
        <w:t xml:space="preserve">一般公共预算财政拨款“三公”经费支出决算情况说明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2020年度“三公”经费财政拨款支出预算为1.90万元，支出决算为0.44万元,完成预算的23.16%，其中：</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无因公出国（境）费支出预算与决算；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无公务用车购置费及运行维护费支出预算与决算；   </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公务接待费支出预算为1.90万元，支出决算为0.44万元,完成预算的23.16%,决算数比预算数减少，我单位严格按预算执行决算。与上年相比减少0.06万元，减少11.65%,减少主要原因是认真贯彻落实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精神和厉行节约要求，从严控制“三公”经费开支，全年支出比上年有所压减。</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0万元，公务接待费支出决算0.44万元，占100%。其中：公务接待费支出决算为0.44万元，其中：其他国内公务接待支出0.44万元。主要用于与有关单位交流工作情况及接受相关部门检查指导工作发生的接待支出。益阳市赫山区审计局2020年共接待国内公务接待批次5个、接待人次38人次（不包括陪同人员）。</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w:t>
      </w:r>
      <w:r>
        <w:rPr>
          <w:rFonts w:ascii="黑体" w:hAnsi="黑体" w:eastAsia="黑体"/>
          <w:sz w:val="32"/>
          <w:szCs w:val="32"/>
          <w:highlight w:val="white"/>
        </w:rPr>
        <w:t>、</w:t>
      </w:r>
      <w:r>
        <w:rPr>
          <w:rFonts w:hint="eastAsia" w:ascii="黑体" w:hAnsi="黑体" w:eastAsia="黑体"/>
          <w:sz w:val="32"/>
          <w:szCs w:val="32"/>
          <w:highlight w:val="white"/>
        </w:rPr>
        <w:t>政府性基金预算收入支出决算情况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2020年本单位无政府性基金预算收入支出。</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w:t>
      </w:r>
      <w:r>
        <w:rPr>
          <w:rFonts w:ascii="黑体" w:hAnsi="黑体" w:eastAsia="黑体"/>
          <w:sz w:val="32"/>
          <w:szCs w:val="32"/>
          <w:highlight w:val="white"/>
        </w:rPr>
        <w:t>、</w:t>
      </w:r>
      <w:r>
        <w:rPr>
          <w:rFonts w:hint="eastAsia" w:ascii="黑体" w:hAnsi="黑体" w:eastAsia="黑体"/>
          <w:sz w:val="32"/>
          <w:szCs w:val="32"/>
          <w:highlight w:val="white"/>
        </w:rPr>
        <w:t>国有资本经营预算财政拨款支出决算情况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2020年本单位无国有资本经营预算。</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益阳市赫山区审计局2020年机关运行经费支出237.00万元,比年初预算数增加203.79，增长613.64%，主要原因是：审计项目增加，工作经费支出相应加大，劳务派遣人员支出及政府购买审计服务专项经费增加等。</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2020年本部门开支会议费0.14万元，用于召开老干支部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活动会议，人数24人；开支培训费3.20万元，主要用于开展业务提升培训和学习。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益阳市赫山区审计局2020年度政府采购支出总额11.11万元，其中：政府采购货物支出11.11万元； 授予中小企业合同金额11.11万元，占政府采购支出总额的100%，其中：授予小微企业合同金额11.11万元，占政府采购支出总额的100%。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本单位年末无车辆。年末无单价50万元以上通用设备，年末无单价100万元以上专用设备。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（一）绩效管理工作开展情况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根据绩效管理工作的要求，我们成立了自评工作领导小组，对照自评方案进行研究和布署，全局成员共同参与，按照自评方案的要求，对照各实施项目的内容逐条逐项自评。在自评过程发现问题，查找原因，及时纠正偏差，在自评工作的基础上，评价工作小组对各项绩效评价数据进行统计分析，形成2020年部门整体支出绩效评价报告。</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（二）部门整体支出绩效目标</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（三）部门整体支出情况分析</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从整体情况来看，我局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名词解释</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其他收入：指除上述“财政拨款收入”、“上级补助收入”、“事业收入”、“经营收入”、“附属单位上缴收入”等以外的收入。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绩效工资：反映事业单位工作人员的绩效工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医疗费：反映未参加医疗保险单位的医疗经费和单位按规定为职工支出的其他医疗费用。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手续费：反映单位支付的各类手续费支出。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电费：反映单位的电费支出。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邮电费：反映单位开支的信函、包裹、货物等物品的邮寄费及电话费、电报费、传真费、网络通讯费等。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劳务费：反映支付给单位和个人的劳务费用，如临时聘用人员、钟点工工资，稿费、翻译费，评审费等。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其他交通费用：反映单位除公务用车运行维护费以外的其他交通费用。如公务交通补贴，租车费用、出租车费用，飞机、船舶等的燃料费、维修费、保险费等。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办公设备购置：反映用于购置并按财务会计制度规定纳入固定资产核算范围的办公家具和办公设备的支出，以及按规定提取的修购基金。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赫山区审计局2020年部门整体支出</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绩效评价报告</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（一）部门整体支出概况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赫山区审计局部门决算收入数为960.96万元，其中一般公共预算财政拨款收入850.50万元、其他收入110.46万元；年初结转收入190.86万元；本年支出决算数为783.61万元，其中人员经费406.31万元，日常公用经费290.80万元，项目支出86.50万元；年终结转结余368.21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（二）部门整体支出绩效目标</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1.预决算公开。2020年我局按照财政部门的要求，在规定时间按规定内容在赫山区门户网站进行了预决算公开，并确保基础数据信息和会计信息资料真实、准确。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2.资产管理：我们进一步加强资产的管理，完成2020年国有资产年报，明确了具体责任人，严格报批、销审等手续，单位无任何资产流失现象。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3.“三公经费”控制情况。贯彻落实上级有关精神，严格控制“三公经费”支出，取得了良好效果。2020年度在接待工作中节约开支从严把关。</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内部管理制度建设。完善了《益阳市赫山区审计局机关财务管理制度》，包含总章、经费审批权限、经费报账程序、预算管理与收入管理、支出管理、资产管理、票据印章管理、岗位职责分工、机关食堂采购、责任追究、附则等共十二章五十条，相关内部管理制度合法合规完整，并在实际工作中的到有效执行。</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社会效益。今年以来，区审计局领导班子始终把促进区域经济发展作为审计第一要务，认真履行审计职责，努力促进党和国家重大政策贯彻落实，紧盯财政资金使用绩效，创新开展领导干部任期经济责任审计，规范政府投资建设项目审计。截至12月31日，配合省审计厅组织实施审计项目2个，参与市审计局组织的审计项目6 个，抽调两人参与3轮省委巡视组和区委巡察办组织的巡视巡察工作。局机关根据年度项目计划和临时交办，共完成各类审计及审计调查项目（含政府投资项目工程审计）117个，其中，本级财政预算执行和其他财政收支审计项目4个，领导干部经济责任审计（含监交）项目20个，专项资金审计（调查）项目4个，政府投资审计项目89个。通过审计发现问题186个，已整改到位158个，提出审计建议147条，规范整改管理不规范金额21446.00万元，审减2554.26万元，向本级党委、政府、党委审计委员会报送审计要情（专报）9件，被党政主要领导批示9件，向社会公告审计结果12篇。</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（三）部门整体支出情况分析。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从整体情况来看，我局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二、绩效评价工作情况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（一）绩效评价目的</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此次绩效评价的目的是：通过对我局2020年部门整体支出进行绩效评价，严格落实《预算法》及省、市、区绩效管理工作的有关规定，了解我局财政预算资金使用情况，进一步规范财政资金的管理，强化财政支出绩效理念，提升部门责任意识，提高资金使用效益。</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（二）绩效评价的主要过程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根据绩效评价的要求，我们成立了自评工作领导小组，对照自评方案进行研究和布署，全局成员共同参与，按照自评方案的要求，对照各实施项目的内容逐条逐项自评。在自评过程发现问题，查找原因，及时纠正偏差，在自评工作的基础上，评价工作小组对各项绩效评价数据进行统计分析，形成2020年部门整体支出绩效评价报告。</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三、主要绩效及评价结论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我局今年以来认真履行审计监督职责，服务全区经济社会发展大局。</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（一）开展医保等民生审计，促进惠民政策落地生根。通过审计，进一步强化了医保资金的使用和管理。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扎实有序开展预算执行审计，促进财政预算规范管理。全面有序开展对区本级预算执行情况及其他财政收支情况审计，规范预决算编制和执行，提高财政资金使用绩效，防范债务风险，推进财政存量资金整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加强投资监管，促进政府投资建设项目审计量质齐升。围绕加强和改进政府投资建设项目管理，促进资金安全有效使用的目标，加强与相关部门的沟通协调，切实按照年度审计计划稳步推进各类投资项目审计。</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四、存在的主要问题</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（一）审计工作任务重责任大，工作压力大。</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（二）我局财务人员不足，导致工作完成质量不高。</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五、改进措施和建议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（二）在日常预算管理过程中，进一步加强预算支出的审核、跟踪及预算执行情况分析。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（三）完善管理制度，进一步加强资产管理 。进一步贯彻落实</w:t>
      </w:r>
      <w:r>
        <w:rPr>
          <w:rFonts w:hint="eastAsia" w:ascii="仿宋_GB2312" w:eastAsia="仿宋_GB2312"/>
          <w:sz w:val="32"/>
          <w:szCs w:val="32"/>
          <w:lang w:eastAsia="zh-CN"/>
        </w:rPr>
        <w:t>中央八项规定</w:t>
      </w:r>
      <w:r>
        <w:rPr>
          <w:rFonts w:hint="eastAsia" w:ascii="仿宋_GB2312" w:eastAsia="仿宋_GB2312"/>
          <w:sz w:val="32"/>
          <w:szCs w:val="32"/>
        </w:rPr>
        <w:t>和湖南省委“九条规定”，加强经费审批和控制，规范支出标准与范围，并严格执行。严格按照《固定资产管理办法》的规定加强固定资产管理，确保账账、账实相符。</w:t>
      </w:r>
    </w:p>
    <w:p>
      <w:pPr>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统计局2020年度部门整体支出绩效自评指标计分表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
        <w:gridCol w:w="330"/>
        <w:gridCol w:w="664"/>
        <w:gridCol w:w="442"/>
        <w:gridCol w:w="3545"/>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149"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179"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361"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240"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92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2143"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5" w:hRule="atLeast"/>
          <w:jc w:val="center"/>
        </w:trPr>
        <w:tc>
          <w:tcPr>
            <w:tcW w:w="14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179"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1"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绩效指标</w:t>
            </w:r>
          </w:p>
          <w:p>
            <w:pPr>
              <w:spacing w:line="240" w:lineRule="exact"/>
              <w:jc w:val="center"/>
              <w:rPr>
                <w:rFonts w:ascii="宋体" w:hAnsi="宋体" w:cs="宋体"/>
              </w:rPr>
            </w:pPr>
            <w:r>
              <w:rPr>
                <w:rFonts w:hint="eastAsia" w:ascii="宋体" w:hAnsi="宋体" w:cs="宋体"/>
              </w:rPr>
              <w:t>明确性（3分）</w:t>
            </w:r>
          </w:p>
        </w:tc>
        <w:tc>
          <w:tcPr>
            <w:tcW w:w="240" w:type="pct"/>
            <w:vAlign w:val="center"/>
          </w:tcPr>
          <w:p>
            <w:pPr>
              <w:spacing w:line="240" w:lineRule="exact"/>
              <w:jc w:val="center"/>
              <w:rPr>
                <w:rFonts w:ascii="宋体" w:hAnsi="宋体" w:cs="宋体"/>
              </w:rPr>
            </w:pPr>
            <w:r>
              <w:rPr>
                <w:rFonts w:hint="eastAsia" w:ascii="宋体" w:hAns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149" w:type="pct"/>
            <w:vMerge w:val="continue"/>
            <w:vAlign w:val="center"/>
          </w:tcPr>
          <w:p>
            <w:pPr>
              <w:spacing w:line="240" w:lineRule="exact"/>
              <w:rPr>
                <w:rFonts w:ascii="宋体" w:cs="宋体"/>
              </w:rPr>
            </w:pPr>
          </w:p>
        </w:tc>
        <w:tc>
          <w:tcPr>
            <w:tcW w:w="179"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14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179"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3.5</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149"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179" w:type="pct"/>
            <w:vMerge w:val="continue"/>
            <w:tcMar>
              <w:top w:w="10" w:type="dxa"/>
              <w:left w:w="10" w:type="dxa"/>
              <w:bottom w:w="0" w:type="dxa"/>
              <w:right w:w="10" w:type="dxa"/>
            </w:tcMar>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3.5</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149"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179"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49"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179"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149" w:type="pct"/>
            <w:vMerge w:val="continue"/>
            <w:vAlign w:val="center"/>
          </w:tcPr>
          <w:p>
            <w:pPr>
              <w:spacing w:line="240" w:lineRule="exact"/>
              <w:jc w:val="center"/>
              <w:rPr>
                <w:rFonts w:ascii="宋体" w:cs="宋体"/>
              </w:rPr>
            </w:pPr>
          </w:p>
        </w:tc>
        <w:tc>
          <w:tcPr>
            <w:tcW w:w="179" w:type="pct"/>
            <w:vMerge w:val="continue"/>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240"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927"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14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179"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149" w:type="pct"/>
            <w:vMerge w:val="continue"/>
            <w:textDirection w:val="tbRlV"/>
            <w:vAlign w:val="center"/>
          </w:tcPr>
          <w:p>
            <w:pPr>
              <w:spacing w:line="240" w:lineRule="exact"/>
              <w:ind w:left="113"/>
              <w:jc w:val="center"/>
              <w:rPr>
                <w:rFonts w:ascii="宋体" w:cs="宋体"/>
              </w:rPr>
            </w:pPr>
          </w:p>
        </w:tc>
        <w:tc>
          <w:tcPr>
            <w:tcW w:w="179" w:type="pct"/>
            <w:vMerge w:val="continue"/>
            <w:vAlign w:val="center"/>
          </w:tcPr>
          <w:p>
            <w:pPr>
              <w:spacing w:line="240" w:lineRule="exact"/>
              <w:jc w:val="center"/>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7.5</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4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179"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2143"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2143"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4.5</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2143"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149" w:type="pct"/>
            <w:vMerge w:val="continue"/>
            <w:vAlign w:val="center"/>
          </w:tcPr>
          <w:p>
            <w:pPr>
              <w:spacing w:line="240" w:lineRule="exact"/>
              <w:rPr>
                <w:rFonts w:ascii="宋体" w:cs="宋体"/>
              </w:rPr>
            </w:pPr>
          </w:p>
        </w:tc>
        <w:tc>
          <w:tcPr>
            <w:tcW w:w="179" w:type="pct"/>
            <w:vMerge w:val="continue"/>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240"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149" w:type="pct"/>
            <w:vAlign w:val="center"/>
          </w:tcPr>
          <w:p>
            <w:pPr>
              <w:spacing w:line="240" w:lineRule="exact"/>
              <w:rPr>
                <w:rFonts w:ascii="宋体" w:cs="宋体"/>
              </w:rPr>
            </w:pPr>
            <w:r>
              <w:rPr>
                <w:rFonts w:hint="eastAsia" w:ascii="宋体" w:hAnsi="宋体" w:cs="宋体"/>
              </w:rPr>
              <w:t>总分</w:t>
            </w:r>
          </w:p>
        </w:tc>
        <w:tc>
          <w:tcPr>
            <w:tcW w:w="179" w:type="pct"/>
            <w:vAlign w:val="center"/>
          </w:tcPr>
          <w:p>
            <w:pPr>
              <w:spacing w:line="240" w:lineRule="exact"/>
              <w:rPr>
                <w:rFonts w:ascii="宋体" w:cs="宋体"/>
              </w:rPr>
            </w:pPr>
          </w:p>
        </w:tc>
        <w:tc>
          <w:tcPr>
            <w:tcW w:w="361" w:type="pct"/>
            <w:tcMar>
              <w:top w:w="10" w:type="dxa"/>
              <w:left w:w="10" w:type="dxa"/>
              <w:bottom w:w="0" w:type="dxa"/>
              <w:right w:w="10" w:type="dxa"/>
            </w:tcMar>
            <w:vAlign w:val="center"/>
          </w:tcPr>
          <w:p>
            <w:pPr>
              <w:spacing w:line="240" w:lineRule="exact"/>
              <w:jc w:val="center"/>
              <w:rPr>
                <w:rFonts w:ascii="宋体" w:cs="宋体"/>
              </w:rPr>
            </w:pPr>
          </w:p>
        </w:tc>
        <w:tc>
          <w:tcPr>
            <w:tcW w:w="240" w:type="pct"/>
            <w:vAlign w:val="center"/>
          </w:tcPr>
          <w:p>
            <w:pPr>
              <w:tabs>
                <w:tab w:val="left" w:pos="2604"/>
              </w:tabs>
              <w:spacing w:line="240" w:lineRule="exact"/>
              <w:ind w:left="105" w:leftChars="50" w:right="105" w:rightChars="50"/>
              <w:rPr>
                <w:rFonts w:ascii="宋体" w:cs="宋体"/>
              </w:rPr>
            </w:pPr>
            <w:r>
              <w:rPr>
                <w:rFonts w:hint="eastAsia" w:ascii="宋体" w:cs="宋体"/>
              </w:rPr>
              <w:t>95</w:t>
            </w:r>
          </w:p>
        </w:tc>
        <w:tc>
          <w:tcPr>
            <w:tcW w:w="1927"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2143"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
      <w:pPr>
        <w:pStyle w:val="7"/>
        <w:shd w:val="clear" w:color="auto" w:fill="FFFFFF"/>
        <w:spacing w:beforeAutospacing="0" w:afterAutospacing="0" w:line="570" w:lineRule="exact"/>
        <w:jc w:val="both"/>
        <w:rPr>
          <w:rFonts w:ascii="Calibri" w:hAnsi="Calibri" w:cs="Calibri"/>
          <w:color w:val="333333"/>
          <w:sz w:val="21"/>
        </w:rPr>
      </w:pPr>
    </w:p>
    <w:p>
      <w:pPr>
        <w:keepNext/>
        <w:keepLines/>
        <w:spacing w:line="570" w:lineRule="exact"/>
        <w:ind w:left="2235" w:leftChars="912" w:hanging="320" w:hangingChars="100"/>
        <w:rPr>
          <w:rFonts w:ascii="宋体" w:eastAsia="宋体"/>
          <w:color w:val="000000"/>
          <w:kern w:val="0"/>
          <w:sz w:val="32"/>
          <w:szCs w:val="24"/>
          <w:highlight w:val="white"/>
          <w:lang w:val="zh-CN"/>
        </w:rPr>
      </w:pPr>
      <w:r>
        <w:rPr>
          <w:rFonts w:ascii="宋体" w:eastAsia="宋体"/>
          <w:sz w:val="32"/>
          <w:szCs w:val="24"/>
          <w:highlight w:val="white"/>
        </w:rPr>
        <w:t xml:space="preserve"> </w:t>
      </w:r>
    </w:p>
    <w:sectPr>
      <w:footerReference r:id="rId3" w:type="default"/>
      <w:pgSz w:w="12240" w:h="15840"/>
      <w:pgMar w:top="2098" w:right="1474" w:bottom="1985" w:left="1588" w:header="72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0A7C22-9FCD-4E12-9E66-94CD728FF4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A4FDA9-9277-4046-91F7-A32D294F0C99}"/>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A14465AF-017B-4DD5-9631-99938B062537}"/>
  </w:font>
  <w:font w:name="方正小标宋简体">
    <w:panose1 w:val="02000000000000000000"/>
    <w:charset w:val="86"/>
    <w:family w:val="auto"/>
    <w:pitch w:val="default"/>
    <w:sig w:usb0="00000001" w:usb1="080E0000" w:usb2="00000000" w:usb3="00000000" w:csb0="00040000" w:csb1="00000000"/>
    <w:embedRegular r:id="rId4" w:fontKey="{643059A6-1976-4BCA-B97F-17828659806C}"/>
  </w:font>
  <w:font w:name="方正小标宋_GBK">
    <w:panose1 w:val="02000000000000000000"/>
    <w:charset w:val="86"/>
    <w:family w:val="script"/>
    <w:pitch w:val="default"/>
    <w:sig w:usb0="A00002BF" w:usb1="38CF7CFA" w:usb2="00082016" w:usb3="00000000" w:csb0="00040001" w:csb1="00000000"/>
    <w:embedRegular r:id="rId5" w:fontKey="{5D909B23-BDF4-4B57-9058-88037110E4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218461"/>
      <w:docPartObj>
        <w:docPartGallery w:val="AutoText"/>
      </w:docPartObj>
    </w:sdtPr>
    <w:sdtContent>
      <w:p>
        <w:pPr>
          <w:pStyle w:val="5"/>
          <w:jc w:val="center"/>
        </w:pPr>
        <w:r>
          <w:fldChar w:fldCharType="begin"/>
        </w:r>
        <w:r>
          <w:instrText xml:space="preserve">PAGE   \* MERGEFORMAT</w:instrText>
        </w:r>
        <w:r>
          <w:fldChar w:fldCharType="separate"/>
        </w:r>
        <w:r>
          <w:rPr>
            <w:lang w:val="zh-CN"/>
          </w:rPr>
          <w:t>29</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drawingGridHorizontalSpacing w:val="120"/>
  <w:drawingGridVerticalSpacing w:val="120"/>
  <w:displayHorizontalDrawingGridEvery w:val="0"/>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ˇˉ―‖’”…∶、。〃々〉》」』】〕〗！＂＇），．：；？］｀｜｝～￠"/>
  <w:compat>
    <w:spaceForUL/>
    <w:balanceSingleByteDoubleByteWidth/>
    <w:ulTrailSpace/>
    <w:doNotExpandShiftReturn/>
    <w:adjustLineHeightInTable/>
    <w:useFELayout/>
    <w:doNotUseIndentAsNumberingTabStop/>
    <w:compatSetting w:name="compatibilityMode" w:uri="http://schemas.microsoft.com/office/word" w:val="12"/>
  </w:compat>
  <w:rsids>
    <w:rsidRoot w:val="005F3AF6"/>
    <w:rsid w:val="0005491E"/>
    <w:rsid w:val="0011483B"/>
    <w:rsid w:val="0026738E"/>
    <w:rsid w:val="00360F84"/>
    <w:rsid w:val="00373BB5"/>
    <w:rsid w:val="0058104E"/>
    <w:rsid w:val="005F3AF6"/>
    <w:rsid w:val="006B73DE"/>
    <w:rsid w:val="0075051E"/>
    <w:rsid w:val="008F0051"/>
    <w:rsid w:val="00C8373A"/>
    <w:rsid w:val="211C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Times New Roman" w:cs="Times New Roman"/>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kern w:val="0"/>
      <w:sz w:val="24"/>
    </w:rPr>
  </w:style>
  <w:style w:type="paragraph" w:styleId="10">
    <w:name w:val="List Paragraph"/>
    <w:basedOn w:val="1"/>
    <w:uiPriority w:val="0"/>
    <w:pPr>
      <w:ind w:firstLine="200" w:firstLineChars="200"/>
    </w:pPr>
  </w:style>
  <w:style w:type="character" w:customStyle="1" w:styleId="11">
    <w:name w:val="页脚 Char"/>
    <w:basedOn w:val="9"/>
    <w:link w:val="5"/>
    <w:uiPriority w:val="99"/>
    <w:rPr>
      <w:rFonts w:eastAsia="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2259</Words>
  <Characters>12877</Characters>
  <Lines>107</Lines>
  <Paragraphs>30</Paragraphs>
  <TotalTime>60</TotalTime>
  <ScaleCrop>false</ScaleCrop>
  <LinksUpToDate>false</LinksUpToDate>
  <CharactersWithSpaces>15106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2021-10-26T06:42:00Z</dcterms:created>
  <dc:creator>lenovo</dc:creator>
  <cp:lastModifiedBy>丫丫</cp:lastModifiedBy>
  <dcterms:modified xsi:type="dcterms:W3CDTF">2024-09-10T07:31:45Z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A197FEDC505149E4AE12C28E60180B9E</vt:lpwstr>
  </property>
</Properties>
</file>