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2020年度益阳市赫山区督查局部门决算</w:t>
      </w:r>
    </w:p>
    <w:p>
      <w:pPr>
        <w:widowControl w:val="0"/>
        <w:spacing w:line="560" w:lineRule="exact"/>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第一部分 益阳市赫山区督查局概况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bookmarkStart w:id="0" w:name="_GoBack"/>
      <w:bookmarkEnd w:id="0"/>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附件</w:t>
      </w:r>
    </w:p>
    <w:p>
      <w:pPr>
        <w:widowControl w:val="0"/>
        <w:spacing w:line="560" w:lineRule="exact"/>
        <w:ind w:firstLine="640" w:firstLineChars="200"/>
        <w:rPr>
          <w:rFonts w:ascii="仿宋_GB2312" w:eastAsia="仿宋_GB2312"/>
          <w:sz w:val="32"/>
          <w:szCs w:val="32"/>
          <w:highlight w:val="white"/>
        </w:rPr>
      </w:pP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益阳市赫山区督查局概况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（一）负责上级方针政策和区委、区人民政府重要决策的督促落实，指导全区各级各部门的督查工作，确保政令畅通。</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（二）负责上级领导和区委、区人民政府领导批示、交办事项的落实和反馈。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（三）牵头市对区的绩效考核工作和负责全区绩效考核工作。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（四）负责全面建成小康社会推进工作。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（五）负责全面深化改革工作。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（六）完成区委、区政府领导交办的其他工作。</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赫山区督查局为赫山区委办隶属管理的全额拨款事业单位，内设综合室、督查室、绩效考核室、小康工作室、深化改革室5个股室。</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益阳市赫山区督查局部门决算包括局机关本级决算，没有下属单位或机构。</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2020年度收入总计263.86万元，年初结转和结余20.00万元，总计283.85万元，与2019年</w:t>
      </w:r>
      <w:r>
        <w:rPr>
          <w:rFonts w:hint="eastAsia" w:ascii="仿宋_GB2312" w:eastAsia="仿宋_GB2312"/>
          <w:sz w:val="32"/>
          <w:szCs w:val="32"/>
          <w:highlight w:val="white"/>
        </w:rPr>
        <w:t>度收入</w:t>
      </w:r>
      <w:r>
        <w:rPr>
          <w:rFonts w:hint="eastAsia" w:ascii="仿宋_GB2312" w:eastAsia="仿宋_GB2312"/>
          <w:sz w:val="32"/>
          <w:szCs w:val="32"/>
        </w:rPr>
        <w:t>（274.79万元）相比，收入减少10.93万元，下降3.98%，主要原因是：一是公用经费减少；二是项目资金减少。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2020年度支出总计261.45万元，结余分配8.05万元，年末结转和结余14.35万元，总计283.85万元，与</w:t>
      </w:r>
      <w:r>
        <w:rPr>
          <w:rFonts w:hint="eastAsia" w:ascii="仿宋_GB2312" w:eastAsia="仿宋_GB2312"/>
          <w:sz w:val="32"/>
          <w:szCs w:val="32"/>
          <w:highlight w:val="white"/>
        </w:rPr>
        <w:t>2019年支出</w:t>
      </w:r>
      <w:r>
        <w:rPr>
          <w:rFonts w:hint="eastAsia" w:ascii="仿宋_GB2312" w:eastAsia="仿宋_GB2312"/>
          <w:sz w:val="32"/>
          <w:szCs w:val="32"/>
        </w:rPr>
        <w:t>（312.32万元）相比，减少50.87万元，下降16.29%，主要原因是：一是公用经费减少；二是项目资金减少；三是厉行节约，其他开支有所缩减。</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本年收入合计263.86万元，其中：一般公共预算财政拨款收入249.86万元，占94.69%；其他收入14.00万元，占5.31%。</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本年支出合计261.45万元，其中：基本支出150.85万元，占57.70%；项目支出110.60万元，占42.30%。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2020年度财政拨款收入249.86万元，年初财政拨款结转和结余20.00万元，总计269.85万元，与2019年财政拨款收入（274.79万元）相比，减少24.93万元，下降9.07%。主要原因是：一是公用经费减少；二是项目资金减少。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255.50万元，年末财政拨款结转和结余14.35万元，总计269.85万元，与2019年财政拨款支出（308.98万元）相比，减少53.48万元，下降17.31%，主要原因是：一是公用经费减少；二是项目资金减少；三是厉行节约，其他开支有所缩减。</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2020年度一般公共预算财政拨款支出255.50万元，占本年支出合计的97.72%。与2019年度相比，比上年减少53.48万元，减少17.31%。主要原因是:一是公用经费减少；二是项目资金减少；三是厉行节约，其他开支有所缩减。</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255.50万元，主要用于以下方面：一般公共服务（类）支出231.88万元，占90.76%；社会保障和就业（类）支出9.08万元，占3.55%；卫生健康（类）支出6.02万元，占2.36%；住房保障（类）支出8.52万元，占3.33%。</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2020年度一般公共预算财政拨款支出年初预算为110.02万元，支出决算为255.50万元，完成年初预算的232.23%，其中：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1.201一般公共服务支出（类）11纪检监察事务（款）01行政运行（项）年初预算为69.62万元，支出决算为121.28万元，完成年初预算的174.20%，决算数大于年初预算数的主要原因是：年底发放的绩效考核奖励和综治奖励年初没有预算，财政另外追加指标，奖金指标等预算调增51.66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2.201一般公共服务支出（类）11纪检监察事务（款）02 一般行政管理事务（纪检监察事务）（项）年初预算为18.00万元，支出决算为0万元，决算数小于年初预算数的主要原因是：预算调减18.00万元。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3.201一般公共服务支出（类）11纪检监察事务（款）99其他纪检监察事务支出（项）年初预算为0万元，支出决算为100.00万元，决算数大于年初预算数的主要原因是：预算调整增加100.00万元。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4.201一般公共服务支出（类）99其他一般公共服务支出（款）99其他一般公共服务支出（项）年初预算为0万元，支出决算为10.60万元，决算数大于年初预算数的主要原因是：预算调整增加10.60万元。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5.208社会保障和就业支出（类）05行政事业单位养老（款）05机关事业单位基本养老保险缴费（项）年初预算为9.51万元，支出决算为9.08万元，完成年初预算的95.48%，决算数小于年初预算数的主要原因是：预算调减0.43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6.210卫生健康支出（类）11行政事业单位医疗（款）01行政单位医疗（项）年初预算为5.86万元，支出决算为6.02万元，完成年初预算的102.73%，决算数大于年初预算数的主要原因是：干职工全年的工资性收入（含奖金奖励、津贴补贴等）计入医保缴费基数，预算调增医疗保险指标0.16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7.221住房保障支出（类）02住房改革（款）01住房公积金（项）年初预算为7.03万元，支出决算为8.52万元，完成年初预算的121.19%，决算数大于年初预算数的主要原因是：干职工除工资外的收入（含绩效考核奖励、综治奖励、岗位津贴等）汇总计算补缴2018年和2019年住房公积金，预算调增公积金指标1.49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144.90万元，其中:人员经费112.59万元，占基本支出的77.70%，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32.31万元，占基本支出的22.30%，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2020年度“三公”经费财政拨款支出预算为4.30万元，与2019年度持平，支出决算为2.55万元,完成预算的59.30%，与2019年度“三公”经费支出决算（3.58万元）相比，减少1.03万元，下降28.77%。其中：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无因公出国（境）费支出预算与决算。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费及运行维护费支出预算为3.80万元，支出决算为2.32万元,完成预算的61.05%,决算数小于预算数，我单位严格按预算执行决算。与2019年公务用车购置及运行维护费（3.50万元）相比，减少1.18万元，下降33.71%,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精神和厉行节约要求，从严控制“三公”经费开支，全年实际支出比上年有所压减。</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预算为0.50万元，支出决算为0.23万元,完成预算的46.00%,决算数小于预算数，我单位严格按预算执行决算。与2019年公务接待费（0.08万元）年相比，增加0.15万元，增长187.50%,增长的主要原因是：本年有两次公务接待。</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2020年度“三公”经费财政拨款支出决算中，因公出国（境）费支出决算0万元，公务用车购置费及运行维护费支出决算2.32万元，占90.98%；公务接待费支出决算0.23万元，占9.02%。其中：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公务用车购置及运行费支出决算为2.32万元，其中：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公务用车运行支出2.32万元。主要是按规定保留的公务用车的燃料费、维修费、过桥过路费、保险费、安全奖励费用等支出。截至2020年12月31日，机关单位开支财政拨款的公务用车保有量为1辆。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决算为0.23万元，其中：其他国内公务接待支出0.23万元。主要用于与有关单位交流工作情况及接受相关部门检查指导工作发生的接待支出。益阳市赫山区督查局2020年共接待国内公务接待批次2个、接待人次20人次（不包括陪同人员）。</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2020年本单位没有使用政府性基金预算财政拨款安排的收支。</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九、国有资本经营预算财政拨款支出决算情况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2020年本单位无国有资本经营预算财政拨款支出。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益阳市赫山区督查局2020年机关运行经费支出32.31万元。比年初预算数增加22.12万元，增长217.08%，主要原因是：2020年疫情防控工作等督查任务多，其他交通费用、其他商品和服务支出、办公经费增加。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2020年本部门无会议费、培训费开支。</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本年度无政府采购。</w:t>
      </w:r>
      <w:r>
        <w:rPr>
          <w:rFonts w:hint="eastAsia" w:ascii="仿宋_GB2312" w:eastAsia="仿宋_GB2312"/>
          <w:sz w:val="32"/>
          <w:szCs w:val="32"/>
          <w:highlight w:val="white"/>
        </w:rPr>
        <w:t xml:space="preserve">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本单位年末无车辆。年末无单价50万元以上通用设备，年末无单价100万元以上专用设备。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1.前期准备。按照绩效自评工作要求，成立以陈妹华副局长为组长的绩效评价工作小组，对相关的国家法律法规进行了认真学习，掌握政策，根据部门整体收支情况制定了部门整体支出绩效评价实施方案。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2.组织实施。采用核查法核查2020年同级财政预算批复执行及部门整体支出情况，着重核查了“三公”经费及资产管理、内部控制制度等情况。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3.分析评价。对评价过程中收集资料进行归纳，汇总分析，依据设定的部门整体支出绩效评价指标体系进行了评分，形成了综合性书面报告。</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是预算执行到位。严格执行《预算法》和各项财经纪律，机关管理制度健全，财务管理规范，预算编制合理;二是资金监管到位。经费开支按用途使用合理，做到专帐专管,专款专用；因预算调整等原因，导致绩效评价扣3分，经自评，赫山区督查局2020年度部门整体支出绩效评价得分97分，评为优秀。</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我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widowControl w:val="0"/>
        <w:spacing w:line="560" w:lineRule="exact"/>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结余分配：指事业单位按规定对非财政补助结余资金提取的职工福利基金、事业基金和缴纳的所得税，以及减少单位按规定应缴回的基本建设竣工项目结余资金。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伙食补助费：反映单位发给职工的伙食补助费，如误餐补助等。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手续费：反映单位支付的各类手续费支出。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租赁费：反映租赁办公用房、宿舍、专用通讯网以及其他设备等方面的费用。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公务接待费：反映单位按规定开支的各类公务接待（含外宾接待）费用。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劳务费：反映支付给单位和个人的劳务费用，如临时聘用人员、钟点工工资，稿费、翻译费，评审费等。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委托业务费：反映因委托外单位办理业务而支付的委托业务费。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工会经费：反映单位按规定提取的工会经费。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公务用车运行维护费：反映单位按规定保留的公务用车燃料费、维修费、过桥过路费、保险费、安全奖励费用等支出。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赫山区督查局</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2020年度部门整体支出绩效评价报告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根据《益阳市赫山区人民政府关于全面推进预算绩效管理的实施意见》（益赫政发〔2016〕12号）、《中共中央 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2020年度预算绩效自评工作的通知》（益赫财绩〔2021〕1号）等有关文件精神，本着独立、客观、公正、科学的原则，我局积极组织，对2020年度本单位整体支出进行了绩效自评，现将具体绩效评价情况报告如下：</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（一）部门整体支出概况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总计283.85万元，与2019年相比，收入总计减少48.47万元，减少14.59%，主要原因：一是公用经费减少；二是项目资金减少。2020年度支出总计261.45万元，与2019年相比，支出总计减少50.87万元，减少16.29%，主要原因：一是公用经费减少；二是项目资金减少；三是厉行节约，其他开支有所缩减。</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部门决算年终结转结余情况：至2020年我单位累计结转结余22.35万元。</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（二）部门整体支出绩效目标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1.负责上级方针政策和区委、区人民政府重要决策的督促落实，指导全区各级各部门的督查工作，确保政令畅通。</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2.负责上级领导和区委、区人民政府领导批示、交办事项的落实和反馈。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3.牵头市对区的绩效考核工作和负责全区绩效考核工作。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4.负责全面建成小康社会推进工作。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5.负责全面深化改革工作。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6.完成区委、区政府领导交办的其他工作。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预决算公开：根据区财政局的统一部署及相关要求，我单位已在赫山信息网站上进行了预（决）算公开。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存量资金管理：我单位已实行国库集中支付管理。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资产管理：制定了《赫山区督查局固定资产管理制度》，建立了固定资产台帐，指定专人管理，及时登记，科学使用，实现了“一物一卡一条码”。固定资产的调出、处置、报废、报损严格执行国家有关规定的审批程序办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“三公”经费控制：2020年，我单位“三公”经费支出2.55万元，其中：公务用车运行维护费决算数2.32万元，公务接待费决算数0.23万元，无出国出境费。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内部控制制度建设：2020年，我局制定了《赫山区督查局机关管理制度》、《财务管理制度》、《赫山区督查局物资采购制度》、《赫山区督查局资产管理制度》等一系列内部控制制度，相关制度合法合规、完整，并得到有效执行。</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绩效目标完成情况：2020年，坚持以党的十九大精神为指引，在区委、区政府正确领导下，坚持当好区委区政府忠诚卫士总目标，以督在关键、查在要害、考在实处为工作路径，充分发挥督查激励正向效应，确保政令畅通，推进全区各项工作落实；强化自身建设，为赫山经济社会发展提供保障。</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（三）部门整体支出实施情况分析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我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（一）绩效评价目的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本次绩效评价的目的是为了全面分析和综合评价我单位本级财政预算资金的使用管理情况，为切实提高财政资金使用效益，强化预算支出的责任和效率提供参考依据。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（二）绩效评价工作过程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1.前期准备。按照绩效自评工作要求，成立以薛格芝副局长为组长的绩效评价工作小组，对相关的国家法律法规进行了认真学习，掌握政策，根据部门整体收支情况制定了部门整体支出绩效评价实施方案。</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2.组织实施。采用核查法核查2020年同级财政预算批复执行及部门整体支出情况，着重核查了“三公”经费及资产管理、内部控制制度等情况。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3.分析评价。对评价过程中收集资料进行归纳，汇总分析，依据设定的部门整体支出绩效评价指标体系进行了评分，形成了综合性书面报告。</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（一）经济性分析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1.本年预算配置控制较好。财政供养人员控制在预算编制以内，编制内在职人员控制率为100%；“三公”经费支出总额小，与年初预算持平。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2.预算执行方面。支出总额控制在预算总额以内，所有支出严格依照相关财务管理规定执行，特别重视量财办事、量力而行，严格控制标准、注重节约，少花钱办好事，各项支出都在合理范围内。</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3.预算管理方面。我单位制定了切实有效的内部管理制度和经费支出控制方案，有较强的内控风险管理意识、各项经费支出得到了有效控制。</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（二）效率性分析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在区委、区政府正确领导下，赫山区督查局坚持围绕赫山区经济社会发展中心，服务大局，以深化改革和创新管理为重点，切实抓好督查工作、绩效考核工作、全面小康工作、全面深化改革工作和自身建设，忠诚履职，实干善为，各项工作取得了明显成效。</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（三）效益性分析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2020年，我单位干部职工认真贯彻落实党的十九大精神和区委区政府决策部署，努力工作，创先争优，不仅按照年初工作安排较好地完成各项工作任务，而且取得了较好的成绩。</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（四）评价结论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一是预算执行到位。严格执行《预算法》和各项财经纪律，机关管理制度健全，财务管理规范，预算编制合理;二是资金监管到位。经费开支按用途使用合理，做到专帐专管,专款专用；因预算调整等原因，导致绩效评价扣3分，经自评，赫山区督查局2020年度部门整体支出绩效评价得分97分，评为优秀。</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因部分工作是年中或年末根据省市相关要求开展，未纳入年初预算，另外还有部分不可预见经费的追加，无法纳入预算，导致预算执行存在偏差。</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五、有关建议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widowControl w:val="0"/>
        <w:topLinePunct/>
        <w:spacing w:line="600" w:lineRule="exact"/>
        <w:ind w:firstLine="480" w:firstLineChars="150"/>
        <w:rPr>
          <w:rFonts w:ascii="仿宋" w:eastAsia="仿宋"/>
          <w:color w:val="000000"/>
          <w:kern w:val="0"/>
          <w:sz w:val="32"/>
          <w:szCs w:val="24"/>
        </w:rPr>
      </w:pPr>
    </w:p>
    <w:p>
      <w:pPr>
        <w:widowControl w:val="0"/>
        <w:topLinePunct/>
        <w:spacing w:line="600" w:lineRule="exact"/>
        <w:rPr>
          <w:rFonts w:ascii="方正小标宋简体" w:eastAsia="方正小标宋简体"/>
          <w:sz w:val="44"/>
          <w:szCs w:val="24"/>
        </w:rPr>
      </w:pPr>
    </w:p>
    <w:p>
      <w:pPr>
        <w:jc w:val="left"/>
        <w:rPr>
          <w:rFonts w:ascii="方正小标宋简体" w:eastAsia="方正小标宋简体"/>
          <w:sz w:val="44"/>
          <w:szCs w:val="24"/>
        </w:rPr>
      </w:pPr>
      <w:r>
        <w:rPr>
          <w:rFonts w:ascii="方正小标宋简体" w:eastAsia="方正小标宋简体"/>
          <w:sz w:val="44"/>
          <w:szCs w:val="24"/>
        </w:rPr>
        <w:br w:type="page"/>
      </w:r>
    </w:p>
    <w:p>
      <w:pPr>
        <w:widowControl w:val="0"/>
        <w:topLinePunct/>
        <w:spacing w:line="600" w:lineRule="exact"/>
        <w:jc w:val="center"/>
        <w:rPr>
          <w:rFonts w:ascii="方正小标宋简体" w:eastAsia="方正小标宋简体"/>
          <w:sz w:val="44"/>
          <w:szCs w:val="24"/>
        </w:rPr>
      </w:pPr>
      <w:r>
        <w:rPr>
          <w:rFonts w:ascii="方正小标宋简体" w:eastAsia="方正小标宋简体"/>
          <w:sz w:val="44"/>
          <w:szCs w:val="24"/>
        </w:rPr>
        <w:t>2020</w:t>
      </w:r>
      <w:r>
        <w:rPr>
          <w:rFonts w:hint="eastAsia" w:ascii="方正小标宋简体" w:eastAsia="方正小标宋简体"/>
          <w:sz w:val="44"/>
          <w:szCs w:val="24"/>
        </w:rPr>
        <w:t>年度部门整体支出绩效自评指标计分表</w:t>
      </w:r>
    </w:p>
    <w:tbl>
      <w:tblPr>
        <w:tblStyle w:val="9"/>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551"/>
        <w:gridCol w:w="911"/>
        <w:gridCol w:w="675"/>
        <w:gridCol w:w="2475"/>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2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一级</w:t>
            </w:r>
            <w:r>
              <w:rPr>
                <w:rFonts w:ascii="宋体"/>
                <w:szCs w:val="24"/>
              </w:rPr>
              <w:br w:type="textWrapping"/>
            </w:r>
            <w:r>
              <w:rPr>
                <w:rFonts w:hint="eastAsia" w:ascii="宋体"/>
                <w:szCs w:val="24"/>
              </w:rPr>
              <w:t>指标</w:t>
            </w:r>
          </w:p>
        </w:tc>
        <w:tc>
          <w:tcPr>
            <w:tcW w:w="55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二级指标</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三级指标</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自评分</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指标解释</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pPr>
              <w:widowControl w:val="0"/>
              <w:topLinePunct/>
              <w:spacing w:line="280" w:lineRule="exact"/>
              <w:jc w:val="center"/>
              <w:rPr>
                <w:rFonts w:ascii="宋体"/>
                <w:szCs w:val="24"/>
              </w:rPr>
            </w:pPr>
            <w:r>
              <w:rPr>
                <w:rFonts w:hint="eastAsia" w:ascii="宋体"/>
                <w:szCs w:val="24"/>
              </w:rPr>
              <w:t>投</w:t>
            </w:r>
            <w:r>
              <w:rPr>
                <w:rFonts w:ascii="宋体"/>
                <w:szCs w:val="24"/>
              </w:rPr>
              <w:t xml:space="preserve">   </w:t>
            </w:r>
            <w:r>
              <w:rPr>
                <w:rFonts w:hint="eastAsia" w:ascii="宋体"/>
                <w:szCs w:val="24"/>
              </w:rPr>
              <w:t>入（</w:t>
            </w:r>
            <w:r>
              <w:rPr>
                <w:rFonts w:ascii="宋体"/>
                <w:szCs w:val="24"/>
              </w:rPr>
              <w:t>20</w:t>
            </w:r>
            <w:r>
              <w:rPr>
                <w:rFonts w:hint="eastAsia" w:ascii="宋体"/>
                <w:szCs w:val="24"/>
              </w:rPr>
              <w:t>分）</w:t>
            </w: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目标</w:t>
            </w:r>
            <w:r>
              <w:rPr>
                <w:rFonts w:ascii="宋体"/>
                <w:szCs w:val="24"/>
              </w:rPr>
              <w:br w:type="textWrapping"/>
            </w:r>
            <w:r>
              <w:rPr>
                <w:rFonts w:hint="eastAsia" w:ascii="宋体"/>
                <w:szCs w:val="24"/>
              </w:rPr>
              <w:t>设定（</w:t>
            </w:r>
            <w:r>
              <w:rPr>
                <w:rFonts w:ascii="宋体"/>
                <w:szCs w:val="24"/>
              </w:rPr>
              <w:t>5</w:t>
            </w:r>
            <w:r>
              <w:rPr>
                <w:rFonts w:hint="eastAsia" w:ascii="宋体"/>
                <w:szCs w:val="24"/>
              </w:rPr>
              <w:t>分）</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绩效目标合理性</w:t>
            </w:r>
          </w:p>
          <w:p>
            <w:pPr>
              <w:widowControl w:val="0"/>
              <w:topLinePunct/>
              <w:spacing w:line="280" w:lineRule="exact"/>
              <w:jc w:val="center"/>
              <w:rPr>
                <w:rFonts w:ascii="宋体"/>
                <w:szCs w:val="24"/>
              </w:rPr>
            </w:pPr>
            <w:r>
              <w:rPr>
                <w:rFonts w:hint="eastAsia" w:ascii="宋体"/>
                <w:szCs w:val="24"/>
              </w:rPr>
              <w:t>（</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部门所设立的整体绩效目标依据是否充分，是否符合客观实际，用以反映和考核部门整体绩效目标与部门履职、年度工作任务的相符性情况。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①符合国家法律法规、国民经济和社会发展总体规划计</w:t>
            </w:r>
            <w:r>
              <w:rPr>
                <w:rFonts w:ascii="宋体"/>
                <w:szCs w:val="24"/>
              </w:rPr>
              <w:t>1</w:t>
            </w:r>
            <w:r>
              <w:rPr>
                <w:rFonts w:hint="eastAsia" w:ascii="宋体"/>
                <w:szCs w:val="24"/>
              </w:rPr>
              <w:t>分；②符合部门“三定”方案确定的职责计</w:t>
            </w:r>
            <w:r>
              <w:rPr>
                <w:rFonts w:ascii="宋体"/>
                <w:szCs w:val="24"/>
              </w:rPr>
              <w:t>0.5</w:t>
            </w:r>
            <w:r>
              <w:rPr>
                <w:rFonts w:hint="eastAsia" w:ascii="宋体"/>
                <w:szCs w:val="24"/>
              </w:rPr>
              <w:t>分；③是否符合部门制定的中长期实施规划计</w:t>
            </w:r>
            <w:r>
              <w:rPr>
                <w:rFonts w:ascii="宋体"/>
                <w:szCs w:val="24"/>
              </w:rPr>
              <w:t>0.5</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9"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绩效指标明确性</w:t>
            </w:r>
          </w:p>
          <w:p>
            <w:pPr>
              <w:widowControl w:val="0"/>
              <w:topLinePunct/>
              <w:spacing w:line="280" w:lineRule="exact"/>
              <w:jc w:val="center"/>
              <w:rPr>
                <w:rFonts w:ascii="宋体"/>
                <w:szCs w:val="24"/>
              </w:rPr>
            </w:pPr>
            <w:r>
              <w:rPr>
                <w:rFonts w:hint="eastAsia" w:ascii="宋体"/>
                <w:szCs w:val="24"/>
              </w:rPr>
              <w:t>（</w:t>
            </w:r>
            <w:r>
              <w:rPr>
                <w:rFonts w:ascii="宋体"/>
                <w:szCs w:val="24"/>
              </w:rPr>
              <w:t>3</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3</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部门依据整体绩效目标所设定的绩效指标是否清晰、细化、可衡量，用以反映和考核部门整体绩效目标的明细化情况。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①将部门整体的绩效目标细化分解为具体的工作任务计</w:t>
            </w:r>
            <w:r>
              <w:rPr>
                <w:rFonts w:ascii="宋体"/>
                <w:szCs w:val="24"/>
              </w:rPr>
              <w:t>1</w:t>
            </w:r>
            <w:r>
              <w:rPr>
                <w:rFonts w:hint="eastAsia" w:ascii="宋体"/>
                <w:szCs w:val="24"/>
              </w:rPr>
              <w:t>分；②通过清晰、可衡量的指标值予以体现计</w:t>
            </w:r>
            <w:r>
              <w:rPr>
                <w:rFonts w:ascii="宋体"/>
                <w:szCs w:val="24"/>
              </w:rPr>
              <w:t>0.5</w:t>
            </w:r>
            <w:r>
              <w:rPr>
                <w:rFonts w:hint="eastAsia" w:ascii="宋体"/>
                <w:szCs w:val="24"/>
              </w:rPr>
              <w:t>分。③与部门年度的任务数或计划数相对应计</w:t>
            </w:r>
            <w:r>
              <w:rPr>
                <w:rFonts w:ascii="宋体"/>
                <w:szCs w:val="24"/>
              </w:rPr>
              <w:t>0.5</w:t>
            </w:r>
            <w:r>
              <w:rPr>
                <w:rFonts w:hint="eastAsia" w:ascii="宋体"/>
                <w:szCs w:val="24"/>
              </w:rPr>
              <w:t>分；④与本年度部门预算资金相匹配计</w:t>
            </w:r>
            <w:r>
              <w:rPr>
                <w:rFonts w:ascii="宋体"/>
                <w:szCs w:val="24"/>
              </w:rPr>
              <w:t>1</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9"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预算</w:t>
            </w:r>
            <w:r>
              <w:rPr>
                <w:rFonts w:ascii="宋体"/>
                <w:szCs w:val="24"/>
              </w:rPr>
              <w:br w:type="textWrapping"/>
            </w:r>
            <w:r>
              <w:rPr>
                <w:rFonts w:hint="eastAsia" w:ascii="宋体"/>
                <w:szCs w:val="24"/>
              </w:rPr>
              <w:t>配置（</w:t>
            </w:r>
            <w:r>
              <w:rPr>
                <w:rFonts w:ascii="宋体"/>
                <w:szCs w:val="24"/>
              </w:rPr>
              <w:t>15</w:t>
            </w:r>
            <w:r>
              <w:rPr>
                <w:rFonts w:hint="eastAsia" w:ascii="宋体"/>
                <w:szCs w:val="24"/>
              </w:rPr>
              <w:t>分）</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在职人员控制率</w:t>
            </w:r>
          </w:p>
          <w:p>
            <w:pPr>
              <w:widowControl w:val="0"/>
              <w:topLinePunct/>
              <w:spacing w:line="280" w:lineRule="exact"/>
              <w:jc w:val="center"/>
              <w:rPr>
                <w:rFonts w:ascii="宋体"/>
                <w:szCs w:val="24"/>
              </w:rPr>
            </w:pPr>
            <w:r>
              <w:rPr>
                <w:rFonts w:hint="eastAsia" w:ascii="宋体"/>
                <w:szCs w:val="24"/>
              </w:rPr>
              <w:t>（</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部门本年度实际在职人员数与编制数的比率，用以反映和考核部门对人员成本的控制程度。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在职人员控制率</w:t>
            </w:r>
            <w:r>
              <w:rPr>
                <w:rFonts w:ascii="宋体"/>
                <w:szCs w:val="24"/>
              </w:rPr>
              <w:t>=</w:t>
            </w:r>
            <w:r>
              <w:rPr>
                <w:rFonts w:hint="eastAsia" w:ascii="宋体"/>
                <w:szCs w:val="24"/>
              </w:rPr>
              <w:t>（在职人员数</w:t>
            </w:r>
            <w:r>
              <w:rPr>
                <w:rFonts w:ascii="宋体"/>
                <w:szCs w:val="24"/>
              </w:rPr>
              <w:t>/</w:t>
            </w:r>
            <w:r>
              <w:rPr>
                <w:rFonts w:hint="eastAsia" w:ascii="宋体"/>
                <w:szCs w:val="24"/>
              </w:rPr>
              <w:t>编制数）×</w:t>
            </w:r>
            <w:r>
              <w:rPr>
                <w:rFonts w:ascii="宋体"/>
                <w:szCs w:val="24"/>
              </w:rPr>
              <w:t>100%</w:t>
            </w:r>
            <w:r>
              <w:rPr>
                <w:rFonts w:hint="eastAsia" w:ascii="宋体"/>
                <w:szCs w:val="24"/>
              </w:rPr>
              <w:t>小于或等于</w:t>
            </w:r>
            <w:r>
              <w:rPr>
                <w:rFonts w:ascii="宋体"/>
                <w:szCs w:val="24"/>
              </w:rPr>
              <w:t>1</w:t>
            </w:r>
            <w:r>
              <w:rPr>
                <w:rFonts w:hint="eastAsia" w:ascii="宋体"/>
                <w:szCs w:val="24"/>
              </w:rPr>
              <w:t>计</w:t>
            </w:r>
            <w:r>
              <w:rPr>
                <w:rFonts w:ascii="宋体"/>
                <w:szCs w:val="24"/>
              </w:rPr>
              <w:t>5</w:t>
            </w:r>
            <w:r>
              <w:rPr>
                <w:rFonts w:hint="eastAsia" w:ascii="宋体"/>
                <w:szCs w:val="24"/>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“三公经费”</w:t>
            </w:r>
          </w:p>
          <w:p>
            <w:pPr>
              <w:widowControl w:val="0"/>
              <w:topLinePunct/>
              <w:spacing w:line="280" w:lineRule="exact"/>
              <w:jc w:val="center"/>
              <w:rPr>
                <w:rFonts w:ascii="宋体"/>
                <w:szCs w:val="24"/>
              </w:rPr>
            </w:pPr>
            <w:r>
              <w:rPr>
                <w:rFonts w:hint="eastAsia" w:ascii="宋体"/>
                <w:szCs w:val="24"/>
              </w:rPr>
              <w:t>变动率</w:t>
            </w:r>
          </w:p>
          <w:p>
            <w:pPr>
              <w:widowControl w:val="0"/>
              <w:topLinePunct/>
              <w:spacing w:line="280" w:lineRule="exact"/>
              <w:jc w:val="center"/>
              <w:rPr>
                <w:rFonts w:ascii="宋体"/>
                <w:szCs w:val="24"/>
              </w:rPr>
            </w:pPr>
            <w:r>
              <w:rPr>
                <w:rFonts w:hint="eastAsia" w:ascii="宋体"/>
                <w:szCs w:val="24"/>
              </w:rPr>
              <w:t>（</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部门本年度“三公经费”预算数与上年度“三公经费”预算数的变动比率，用以反映和考核部门对控制重点行政成本的努力程度。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“三公经费”变动率</w:t>
            </w:r>
            <w:r>
              <w:rPr>
                <w:rFonts w:ascii="宋体"/>
                <w:szCs w:val="24"/>
              </w:rPr>
              <w:t>=[</w:t>
            </w:r>
            <w:r>
              <w:rPr>
                <w:rFonts w:hint="eastAsia" w:ascii="宋体"/>
                <w:szCs w:val="24"/>
              </w:rPr>
              <w:t>（本年度“三公经费”总额</w:t>
            </w:r>
            <w:r>
              <w:rPr>
                <w:rFonts w:ascii="宋体"/>
                <w:szCs w:val="24"/>
              </w:rPr>
              <w:t>-</w:t>
            </w:r>
            <w:r>
              <w:rPr>
                <w:rFonts w:hint="eastAsia" w:ascii="宋体"/>
                <w:szCs w:val="24"/>
              </w:rPr>
              <w:t>上年度“三公经费”总额）</w:t>
            </w:r>
            <w:r>
              <w:rPr>
                <w:rFonts w:ascii="宋体"/>
                <w:szCs w:val="24"/>
              </w:rPr>
              <w:t>/</w:t>
            </w:r>
            <w:r>
              <w:rPr>
                <w:rFonts w:hint="eastAsia" w:ascii="宋体"/>
                <w:szCs w:val="24"/>
              </w:rPr>
              <w:t>上年度“三公经费”总额</w:t>
            </w:r>
            <w:r>
              <w:rPr>
                <w:rFonts w:ascii="宋体"/>
                <w:szCs w:val="24"/>
              </w:rPr>
              <w:t>]</w:t>
            </w:r>
            <w:r>
              <w:rPr>
                <w:rFonts w:hint="eastAsia" w:ascii="宋体"/>
                <w:szCs w:val="24"/>
              </w:rPr>
              <w:t>×</w:t>
            </w:r>
            <w:r>
              <w:rPr>
                <w:rFonts w:ascii="宋体"/>
                <w:szCs w:val="24"/>
              </w:rPr>
              <w:t>100%</w:t>
            </w:r>
            <w:r>
              <w:rPr>
                <w:rFonts w:hint="eastAsia" w:ascii="宋体"/>
                <w:szCs w:val="24"/>
              </w:rPr>
              <w:t>。下降的计</w:t>
            </w:r>
            <w:r>
              <w:rPr>
                <w:rFonts w:ascii="宋体"/>
                <w:szCs w:val="24"/>
              </w:rPr>
              <w:t>5</w:t>
            </w:r>
            <w:r>
              <w:rPr>
                <w:rFonts w:hint="eastAsia" w:ascii="宋体"/>
                <w:szCs w:val="24"/>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8"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重点支出安排率</w:t>
            </w:r>
          </w:p>
          <w:p>
            <w:pPr>
              <w:widowControl w:val="0"/>
              <w:topLinePunct/>
              <w:spacing w:line="280" w:lineRule="exact"/>
              <w:jc w:val="center"/>
              <w:rPr>
                <w:rFonts w:ascii="宋体"/>
                <w:szCs w:val="24"/>
              </w:rPr>
            </w:pPr>
            <w:r>
              <w:rPr>
                <w:rFonts w:hint="eastAsia" w:ascii="宋体"/>
                <w:szCs w:val="24"/>
              </w:rPr>
              <w:t>（</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部门本年度预算安排的重点项目支出与部门项目总支出的比率，用以反映和考核部门对履行主要职责或完成重点任务的保障程度。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重点支出安排率</w:t>
            </w:r>
            <w:r>
              <w:rPr>
                <w:rFonts w:ascii="宋体"/>
                <w:szCs w:val="24"/>
              </w:rPr>
              <w:t>=</w:t>
            </w:r>
            <w:r>
              <w:rPr>
                <w:rFonts w:hint="eastAsia" w:ascii="宋体"/>
                <w:szCs w:val="24"/>
              </w:rPr>
              <w:t>（重点项目支出</w:t>
            </w:r>
            <w:r>
              <w:rPr>
                <w:rFonts w:ascii="宋体"/>
                <w:szCs w:val="24"/>
              </w:rPr>
              <w:t>/</w:t>
            </w:r>
            <w:r>
              <w:rPr>
                <w:rFonts w:hint="eastAsia" w:ascii="宋体"/>
                <w:szCs w:val="24"/>
              </w:rPr>
              <w:t>项目总支出）×</w:t>
            </w:r>
            <w:r>
              <w:rPr>
                <w:rFonts w:ascii="宋体"/>
                <w:szCs w:val="24"/>
              </w:rPr>
              <w:t>100%</w:t>
            </w:r>
            <w:r>
              <w:rPr>
                <w:rFonts w:hint="eastAsia" w:ascii="宋体"/>
                <w:szCs w:val="24"/>
              </w:rPr>
              <w:t>。实际得分</w:t>
            </w:r>
            <w:r>
              <w:rPr>
                <w:rFonts w:ascii="宋体"/>
                <w:szCs w:val="24"/>
              </w:rPr>
              <w:t>=</w:t>
            </w:r>
            <w:r>
              <w:rPr>
                <w:rFonts w:hint="eastAsia" w:ascii="宋体"/>
                <w:szCs w:val="24"/>
              </w:rPr>
              <w:t>支出安排率</w:t>
            </w:r>
            <w:r>
              <w:rPr>
                <w:rFonts w:ascii="宋体"/>
                <w:szCs w:val="24"/>
              </w:rPr>
              <w:t>*5</w:t>
            </w:r>
            <w:r>
              <w:rPr>
                <w:rFonts w:hint="eastAsia" w:ascii="宋体"/>
                <w:szCs w:val="24"/>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pPr>
              <w:widowControl w:val="0"/>
              <w:topLinePunct/>
              <w:spacing w:line="280" w:lineRule="exact"/>
              <w:jc w:val="center"/>
              <w:rPr>
                <w:rFonts w:ascii="宋体"/>
                <w:szCs w:val="24"/>
              </w:rPr>
            </w:pPr>
            <w:r>
              <w:rPr>
                <w:rFonts w:hint="eastAsia" w:ascii="宋体"/>
                <w:szCs w:val="24"/>
              </w:rPr>
              <w:t>过</w:t>
            </w:r>
            <w:r>
              <w:rPr>
                <w:rFonts w:ascii="宋体"/>
                <w:szCs w:val="24"/>
              </w:rPr>
              <w:t xml:space="preserve">             </w:t>
            </w:r>
            <w:r>
              <w:rPr>
                <w:rFonts w:hint="eastAsia" w:ascii="宋体"/>
                <w:szCs w:val="24"/>
              </w:rPr>
              <w:t>程（</w:t>
            </w:r>
            <w:r>
              <w:rPr>
                <w:rFonts w:ascii="宋体"/>
                <w:szCs w:val="24"/>
              </w:rPr>
              <w:t>30</w:t>
            </w:r>
            <w:r>
              <w:rPr>
                <w:rFonts w:hint="eastAsia" w:ascii="宋体"/>
                <w:szCs w:val="24"/>
              </w:rPr>
              <w:t>分）</w:t>
            </w: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预算</w:t>
            </w:r>
            <w:r>
              <w:rPr>
                <w:rFonts w:ascii="宋体"/>
                <w:szCs w:val="24"/>
              </w:rPr>
              <w:br w:type="textWrapping"/>
            </w:r>
            <w:r>
              <w:rPr>
                <w:rFonts w:hint="eastAsia" w:ascii="宋体"/>
                <w:szCs w:val="24"/>
              </w:rPr>
              <w:t>执行</w:t>
            </w:r>
          </w:p>
          <w:p>
            <w:pPr>
              <w:widowControl w:val="0"/>
              <w:topLinePunct/>
              <w:spacing w:line="280" w:lineRule="exact"/>
              <w:jc w:val="center"/>
              <w:rPr>
                <w:rFonts w:ascii="宋体"/>
                <w:szCs w:val="24"/>
              </w:rPr>
            </w:pPr>
            <w:r>
              <w:rPr>
                <w:rFonts w:hint="eastAsia" w:ascii="宋体"/>
                <w:szCs w:val="24"/>
              </w:rPr>
              <w:t>（</w:t>
            </w:r>
            <w:r>
              <w:rPr>
                <w:rFonts w:ascii="宋体"/>
                <w:szCs w:val="24"/>
              </w:rPr>
              <w:t>20</w:t>
            </w:r>
            <w:r>
              <w:rPr>
                <w:rFonts w:hint="eastAsia" w:ascii="宋体"/>
                <w:szCs w:val="24"/>
              </w:rPr>
              <w:t>分）</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预算完成率（</w:t>
            </w:r>
            <w:r>
              <w:rPr>
                <w:rFonts w:ascii="宋体"/>
                <w:szCs w:val="24"/>
              </w:rPr>
              <w:t>4</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部门本年度预算完成数与预算数的比率，用以反映和考核部门预算完成程度。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预算完成率</w:t>
            </w:r>
            <w:r>
              <w:rPr>
                <w:rFonts w:ascii="宋体"/>
                <w:szCs w:val="24"/>
              </w:rPr>
              <w:t>=</w:t>
            </w:r>
            <w:r>
              <w:rPr>
                <w:rFonts w:hint="eastAsia" w:ascii="宋体"/>
                <w:szCs w:val="24"/>
              </w:rPr>
              <w:t>（预算完成数</w:t>
            </w:r>
            <w:r>
              <w:rPr>
                <w:rFonts w:ascii="宋体"/>
                <w:szCs w:val="24"/>
              </w:rPr>
              <w:t>/</w:t>
            </w:r>
            <w:r>
              <w:rPr>
                <w:rFonts w:hint="eastAsia" w:ascii="宋体"/>
                <w:szCs w:val="24"/>
              </w:rPr>
              <w:t>预算数）×</w:t>
            </w:r>
            <w:r>
              <w:rPr>
                <w:rFonts w:ascii="宋体"/>
                <w:szCs w:val="24"/>
              </w:rPr>
              <w:t>100%</w:t>
            </w:r>
            <w:r>
              <w:rPr>
                <w:rFonts w:hint="eastAsia" w:ascii="宋体"/>
                <w:szCs w:val="24"/>
              </w:rPr>
              <w:t>。完成年初预算计</w:t>
            </w:r>
            <w:r>
              <w:rPr>
                <w:rFonts w:ascii="宋体"/>
                <w:szCs w:val="24"/>
              </w:rPr>
              <w:t>4</w:t>
            </w:r>
            <w:r>
              <w:rPr>
                <w:rFonts w:hint="eastAsia" w:ascii="宋体"/>
                <w:szCs w:val="24"/>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预算调整率（</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部门本年度预算调整数与预算数的比率，用以反映和考核部门预算的调整程度。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pacing w:val="-6"/>
                <w:szCs w:val="24"/>
              </w:rPr>
            </w:pPr>
            <w:r>
              <w:rPr>
                <w:rFonts w:hint="eastAsia" w:ascii="宋体"/>
                <w:spacing w:val="-6"/>
                <w:szCs w:val="24"/>
              </w:rPr>
              <w:t>预算调整率</w:t>
            </w:r>
            <w:r>
              <w:rPr>
                <w:rFonts w:ascii="宋体"/>
                <w:spacing w:val="-6"/>
                <w:szCs w:val="24"/>
              </w:rPr>
              <w:t>=</w:t>
            </w:r>
            <w:r>
              <w:rPr>
                <w:rFonts w:hint="eastAsia" w:ascii="宋体"/>
                <w:spacing w:val="-6"/>
                <w:szCs w:val="24"/>
              </w:rPr>
              <w:t>（预算调整数</w:t>
            </w:r>
            <w:r>
              <w:rPr>
                <w:rFonts w:ascii="宋体"/>
                <w:spacing w:val="-6"/>
                <w:szCs w:val="24"/>
              </w:rPr>
              <w:t>/</w:t>
            </w:r>
            <w:r>
              <w:rPr>
                <w:rFonts w:hint="eastAsia" w:ascii="宋体"/>
                <w:spacing w:val="-6"/>
                <w:szCs w:val="24"/>
              </w:rPr>
              <w:t>预算数）×</w:t>
            </w:r>
            <w:r>
              <w:rPr>
                <w:rFonts w:ascii="宋体"/>
                <w:spacing w:val="-6"/>
                <w:szCs w:val="24"/>
              </w:rPr>
              <w:t>100%</w:t>
            </w:r>
            <w:r>
              <w:rPr>
                <w:rFonts w:hint="eastAsia" w:ascii="宋体"/>
                <w:spacing w:val="-6"/>
                <w:szCs w:val="24"/>
              </w:rPr>
              <w:t>。未调整的计</w:t>
            </w:r>
            <w:r>
              <w:rPr>
                <w:rFonts w:ascii="宋体"/>
                <w:spacing w:val="-6"/>
                <w:szCs w:val="24"/>
              </w:rPr>
              <w:t>2</w:t>
            </w:r>
            <w:r>
              <w:rPr>
                <w:rFonts w:hint="eastAsia" w:ascii="宋体"/>
                <w:spacing w:val="-6"/>
                <w:szCs w:val="24"/>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支付进度率（</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部门实际支付进度与既定支付进度的比率，用以反映和考核部门预算执行的及时性和均衡性程度。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pacing w:val="-6"/>
                <w:szCs w:val="24"/>
              </w:rPr>
            </w:pPr>
            <w:r>
              <w:rPr>
                <w:rFonts w:hint="eastAsia" w:ascii="宋体"/>
                <w:spacing w:val="-6"/>
                <w:szCs w:val="24"/>
              </w:rPr>
              <w:t>支付进度率</w:t>
            </w:r>
            <w:r>
              <w:rPr>
                <w:rFonts w:ascii="宋体"/>
                <w:spacing w:val="-6"/>
                <w:szCs w:val="24"/>
              </w:rPr>
              <w:t>=</w:t>
            </w:r>
            <w:r>
              <w:rPr>
                <w:rFonts w:hint="eastAsia" w:ascii="宋体"/>
                <w:spacing w:val="-6"/>
                <w:szCs w:val="24"/>
              </w:rPr>
              <w:t>（实际支付进度</w:t>
            </w:r>
            <w:r>
              <w:rPr>
                <w:rFonts w:ascii="宋体"/>
                <w:spacing w:val="-6"/>
                <w:szCs w:val="24"/>
              </w:rPr>
              <w:t>/</w:t>
            </w:r>
            <w:r>
              <w:rPr>
                <w:rFonts w:hint="eastAsia" w:ascii="宋体"/>
                <w:spacing w:val="-6"/>
                <w:szCs w:val="24"/>
              </w:rPr>
              <w:t>既定支付进度）×</w:t>
            </w:r>
            <w:r>
              <w:rPr>
                <w:rFonts w:ascii="宋体"/>
                <w:spacing w:val="-6"/>
                <w:szCs w:val="24"/>
              </w:rPr>
              <w:t>100%</w:t>
            </w:r>
            <w:r>
              <w:rPr>
                <w:rFonts w:hint="eastAsia" w:ascii="宋体"/>
                <w:spacing w:val="-6"/>
                <w:szCs w:val="24"/>
              </w:rPr>
              <w:t>。完成年终进度的计</w:t>
            </w:r>
            <w:r>
              <w:rPr>
                <w:rFonts w:ascii="宋体"/>
                <w:spacing w:val="-6"/>
                <w:szCs w:val="24"/>
              </w:rPr>
              <w:t>1</w:t>
            </w:r>
            <w:r>
              <w:rPr>
                <w:rFonts w:hint="eastAsia" w:ascii="宋体"/>
                <w:spacing w:val="-6"/>
                <w:szCs w:val="24"/>
              </w:rPr>
              <w:t>分，按季度完成预算进度的计</w:t>
            </w:r>
            <w:r>
              <w:rPr>
                <w:rFonts w:ascii="宋体"/>
                <w:spacing w:val="-6"/>
                <w:szCs w:val="24"/>
              </w:rPr>
              <w:t>1</w:t>
            </w:r>
            <w:r>
              <w:rPr>
                <w:rFonts w:hint="eastAsia" w:ascii="宋体"/>
                <w:spacing w:val="-6"/>
                <w:szCs w:val="24"/>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结转结余控制率（</w:t>
            </w:r>
            <w:r>
              <w:rPr>
                <w:rFonts w:ascii="宋体"/>
                <w:szCs w:val="24"/>
              </w:rPr>
              <w:t>4</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部门本年度结转结余总额与上年结转结余总额增减比例，用以反映和考核部门对存量资金的实际控制程度。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结转结余控制率</w:t>
            </w:r>
            <w:r>
              <w:rPr>
                <w:rFonts w:ascii="宋体"/>
                <w:szCs w:val="24"/>
              </w:rPr>
              <w:t>=</w:t>
            </w:r>
            <w:r>
              <w:rPr>
                <w:rFonts w:hint="eastAsia" w:ascii="宋体"/>
                <w:szCs w:val="24"/>
              </w:rPr>
              <w:t>（本年结转结余总额</w:t>
            </w:r>
            <w:r>
              <w:rPr>
                <w:rFonts w:ascii="宋体"/>
                <w:szCs w:val="24"/>
              </w:rPr>
              <w:t>-</w:t>
            </w:r>
            <w:r>
              <w:rPr>
                <w:rFonts w:hint="eastAsia" w:ascii="宋体"/>
                <w:szCs w:val="24"/>
              </w:rPr>
              <w:t>上年结转结余总额）</w:t>
            </w:r>
            <w:r>
              <w:rPr>
                <w:rFonts w:ascii="宋体"/>
                <w:szCs w:val="24"/>
              </w:rPr>
              <w:t>/</w:t>
            </w:r>
            <w:r>
              <w:rPr>
                <w:rFonts w:hint="eastAsia" w:ascii="宋体"/>
                <w:szCs w:val="24"/>
              </w:rPr>
              <w:t>上年结转结余总额×</w:t>
            </w:r>
            <w:r>
              <w:rPr>
                <w:rFonts w:ascii="宋体"/>
                <w:szCs w:val="24"/>
              </w:rPr>
              <w:t>100%</w:t>
            </w:r>
            <w:r>
              <w:rPr>
                <w:rFonts w:hint="eastAsia" w:ascii="宋体"/>
                <w:szCs w:val="24"/>
              </w:rPr>
              <w:t>。低于</w:t>
            </w:r>
            <w:r>
              <w:rPr>
                <w:rFonts w:ascii="宋体"/>
                <w:szCs w:val="24"/>
              </w:rPr>
              <w:t>15%</w:t>
            </w:r>
            <w:r>
              <w:rPr>
                <w:rFonts w:hint="eastAsia" w:ascii="宋体"/>
                <w:szCs w:val="24"/>
              </w:rPr>
              <w:t>的计</w:t>
            </w:r>
            <w:r>
              <w:rPr>
                <w:rFonts w:ascii="宋体"/>
                <w:szCs w:val="24"/>
              </w:rPr>
              <w:t>4</w:t>
            </w:r>
            <w:r>
              <w:rPr>
                <w:rFonts w:hint="eastAsia" w:ascii="宋体"/>
                <w:szCs w:val="24"/>
              </w:rPr>
              <w:t>分，每超过</w:t>
            </w:r>
            <w:r>
              <w:rPr>
                <w:rFonts w:ascii="宋体"/>
                <w:szCs w:val="24"/>
              </w:rPr>
              <w:t>5</w:t>
            </w:r>
            <w:r>
              <w:rPr>
                <w:rFonts w:hint="eastAsia" w:ascii="宋体"/>
                <w:szCs w:val="24"/>
              </w:rPr>
              <w:t>个百分点扣</w:t>
            </w:r>
            <w:r>
              <w:rPr>
                <w:rFonts w:ascii="宋体"/>
                <w:szCs w:val="24"/>
              </w:rPr>
              <w:t>1</w:t>
            </w:r>
            <w:r>
              <w:rPr>
                <w:rFonts w:hint="eastAsia" w:ascii="宋体"/>
                <w:szCs w:val="24"/>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公用经费</w:t>
            </w:r>
          </w:p>
          <w:p>
            <w:pPr>
              <w:widowControl w:val="0"/>
              <w:topLinePunct/>
              <w:spacing w:line="280" w:lineRule="exact"/>
              <w:jc w:val="center"/>
              <w:rPr>
                <w:rFonts w:ascii="宋体"/>
                <w:szCs w:val="24"/>
              </w:rPr>
            </w:pPr>
            <w:r>
              <w:rPr>
                <w:rFonts w:hint="eastAsia" w:ascii="宋体"/>
                <w:szCs w:val="24"/>
              </w:rPr>
              <w:t>控制率（</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部门本年度实际支出的公用经费总额与预算安排的公用经费总额的比率，用以反映和考核部门对机构运转成本的实际控制程度。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公用经费控制率</w:t>
            </w:r>
            <w:r>
              <w:rPr>
                <w:rFonts w:ascii="宋体"/>
                <w:szCs w:val="24"/>
              </w:rPr>
              <w:t>=</w:t>
            </w:r>
            <w:r>
              <w:rPr>
                <w:rFonts w:hint="eastAsia" w:ascii="宋体"/>
                <w:szCs w:val="24"/>
              </w:rPr>
              <w:t>（实际支出公用经费总额</w:t>
            </w:r>
            <w:r>
              <w:rPr>
                <w:rFonts w:ascii="宋体"/>
                <w:szCs w:val="24"/>
              </w:rPr>
              <w:t>/</w:t>
            </w:r>
            <w:r>
              <w:rPr>
                <w:rFonts w:hint="eastAsia" w:ascii="宋体"/>
                <w:szCs w:val="24"/>
              </w:rPr>
              <w:t>预算安排公用经费总额）×</w:t>
            </w:r>
            <w:r>
              <w:rPr>
                <w:rFonts w:ascii="宋体"/>
                <w:szCs w:val="24"/>
              </w:rPr>
              <w:t>100%</w:t>
            </w:r>
            <w:r>
              <w:rPr>
                <w:rFonts w:hint="eastAsia" w:ascii="宋体"/>
                <w:szCs w:val="24"/>
              </w:rPr>
              <w:t>。为</w:t>
            </w:r>
            <w:r>
              <w:rPr>
                <w:rFonts w:ascii="宋体"/>
                <w:szCs w:val="24"/>
              </w:rPr>
              <w:t>100%</w:t>
            </w:r>
            <w:r>
              <w:rPr>
                <w:rFonts w:hint="eastAsia" w:ascii="宋体"/>
                <w:szCs w:val="24"/>
              </w:rPr>
              <w:t>的计</w:t>
            </w:r>
            <w:r>
              <w:rPr>
                <w:rFonts w:ascii="宋体"/>
                <w:szCs w:val="24"/>
              </w:rPr>
              <w:t>2</w:t>
            </w:r>
            <w:r>
              <w:rPr>
                <w:rFonts w:hint="eastAsia" w:ascii="宋体"/>
                <w:szCs w:val="24"/>
              </w:rPr>
              <w:t>分，每超过</w:t>
            </w:r>
            <w:r>
              <w:rPr>
                <w:rFonts w:ascii="宋体"/>
                <w:szCs w:val="24"/>
              </w:rPr>
              <w:t>1</w:t>
            </w:r>
            <w:r>
              <w:rPr>
                <w:rFonts w:hint="eastAsia" w:ascii="宋体"/>
                <w:szCs w:val="24"/>
              </w:rPr>
              <w:t>个百分点扣</w:t>
            </w:r>
            <w:r>
              <w:rPr>
                <w:rFonts w:ascii="宋体"/>
                <w:szCs w:val="24"/>
              </w:rPr>
              <w:t>0.1</w:t>
            </w:r>
            <w:r>
              <w:rPr>
                <w:rFonts w:hint="eastAsia" w:ascii="宋体"/>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“三公经费”控制率（</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pacing w:val="-8"/>
                <w:szCs w:val="24"/>
              </w:rPr>
            </w:pPr>
            <w:r>
              <w:rPr>
                <w:rFonts w:hint="eastAsia" w:ascii="宋体"/>
                <w:spacing w:val="-8"/>
                <w:szCs w:val="24"/>
              </w:rPr>
              <w:t>部门本年度“三公经费”实际支出数与预算安排数的比率，用以反映和考核部门对“三公经费”的实际控制程度。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“三公经费”控制率</w:t>
            </w:r>
            <w:r>
              <w:rPr>
                <w:rFonts w:ascii="宋体"/>
                <w:szCs w:val="24"/>
              </w:rPr>
              <w:t>=</w:t>
            </w:r>
            <w:r>
              <w:rPr>
                <w:rFonts w:hint="eastAsia" w:ascii="宋体"/>
                <w:szCs w:val="24"/>
              </w:rPr>
              <w:t>（“三公经费”实际支出数</w:t>
            </w:r>
            <w:r>
              <w:rPr>
                <w:rFonts w:ascii="宋体"/>
                <w:szCs w:val="24"/>
              </w:rPr>
              <w:t>/</w:t>
            </w:r>
            <w:r>
              <w:rPr>
                <w:rFonts w:hint="eastAsia" w:ascii="宋体"/>
                <w:szCs w:val="24"/>
              </w:rPr>
              <w:t>“三公经费”预算安排数）×</w:t>
            </w:r>
            <w:r>
              <w:rPr>
                <w:rFonts w:ascii="宋体"/>
                <w:szCs w:val="24"/>
              </w:rPr>
              <w:t>100%</w:t>
            </w:r>
            <w:r>
              <w:rPr>
                <w:rFonts w:hint="eastAsia" w:ascii="宋体"/>
                <w:szCs w:val="24"/>
              </w:rPr>
              <w:t>。为</w:t>
            </w:r>
            <w:r>
              <w:rPr>
                <w:rFonts w:ascii="宋体"/>
                <w:szCs w:val="24"/>
              </w:rPr>
              <w:t>100%</w:t>
            </w:r>
            <w:r>
              <w:rPr>
                <w:rFonts w:hint="eastAsia" w:ascii="宋体"/>
                <w:szCs w:val="24"/>
              </w:rPr>
              <w:t>的计</w:t>
            </w:r>
            <w:r>
              <w:rPr>
                <w:rFonts w:ascii="宋体"/>
                <w:szCs w:val="24"/>
              </w:rPr>
              <w:t>2</w:t>
            </w:r>
            <w:r>
              <w:rPr>
                <w:rFonts w:hint="eastAsia" w:ascii="宋体"/>
                <w:szCs w:val="24"/>
              </w:rPr>
              <w:t>分，每超过</w:t>
            </w:r>
            <w:r>
              <w:rPr>
                <w:rFonts w:ascii="宋体"/>
                <w:szCs w:val="24"/>
              </w:rPr>
              <w:t>1</w:t>
            </w:r>
            <w:r>
              <w:rPr>
                <w:rFonts w:hint="eastAsia" w:ascii="宋体"/>
                <w:szCs w:val="24"/>
              </w:rPr>
              <w:t>个百分点扣</w:t>
            </w:r>
            <w:r>
              <w:rPr>
                <w:rFonts w:ascii="宋体"/>
                <w:szCs w:val="24"/>
              </w:rPr>
              <w:t>0.5</w:t>
            </w:r>
            <w:r>
              <w:rPr>
                <w:rFonts w:hint="eastAsia" w:ascii="宋体"/>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政府采购</w:t>
            </w:r>
          </w:p>
          <w:p>
            <w:pPr>
              <w:widowControl w:val="0"/>
              <w:topLinePunct/>
              <w:spacing w:line="280" w:lineRule="exact"/>
              <w:jc w:val="center"/>
              <w:rPr>
                <w:rFonts w:ascii="宋体"/>
                <w:szCs w:val="24"/>
              </w:rPr>
            </w:pPr>
            <w:r>
              <w:rPr>
                <w:rFonts w:hint="eastAsia" w:ascii="宋体"/>
                <w:szCs w:val="24"/>
              </w:rPr>
              <w:t>执行率（</w:t>
            </w:r>
            <w:r>
              <w:rPr>
                <w:rFonts w:ascii="宋体"/>
                <w:szCs w:val="24"/>
              </w:rPr>
              <w:t>4</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部门本年度实际政府采购金额与年初政府采购预算的比率，用以反映和考核部门政府采购预算执行情况。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40" w:lineRule="exact"/>
              <w:rPr>
                <w:rFonts w:ascii="宋体"/>
                <w:szCs w:val="24"/>
              </w:rPr>
            </w:pPr>
            <w:r>
              <w:rPr>
                <w:rFonts w:hint="eastAsia" w:ascii="宋体"/>
                <w:szCs w:val="24"/>
              </w:rPr>
              <w:t>政府采购执行率</w:t>
            </w:r>
            <w:r>
              <w:rPr>
                <w:rFonts w:ascii="宋体"/>
                <w:szCs w:val="24"/>
              </w:rPr>
              <w:t>=</w:t>
            </w:r>
            <w:r>
              <w:rPr>
                <w:rFonts w:hint="eastAsia" w:ascii="宋体"/>
                <w:szCs w:val="24"/>
              </w:rPr>
              <w:t>（实际政府采购金额</w:t>
            </w:r>
            <w:r>
              <w:rPr>
                <w:rFonts w:ascii="宋体"/>
                <w:szCs w:val="24"/>
              </w:rPr>
              <w:t>/</w:t>
            </w:r>
            <w:r>
              <w:rPr>
                <w:rFonts w:hint="eastAsia" w:ascii="宋体"/>
                <w:szCs w:val="24"/>
              </w:rPr>
              <w:t>政府采购预算数）×</w:t>
            </w:r>
            <w:r>
              <w:rPr>
                <w:rFonts w:ascii="宋体"/>
                <w:szCs w:val="24"/>
              </w:rPr>
              <w:t>100%</w:t>
            </w:r>
            <w:r>
              <w:rPr>
                <w:rFonts w:hint="eastAsia" w:ascii="宋体"/>
                <w:szCs w:val="24"/>
              </w:rPr>
              <w:t>，为</w:t>
            </w:r>
            <w:r>
              <w:rPr>
                <w:rFonts w:ascii="宋体"/>
                <w:szCs w:val="24"/>
              </w:rPr>
              <w:t>100%</w:t>
            </w:r>
            <w:r>
              <w:rPr>
                <w:rFonts w:hint="eastAsia" w:ascii="宋体"/>
                <w:szCs w:val="24"/>
              </w:rPr>
              <w:t>的计</w:t>
            </w:r>
            <w:r>
              <w:rPr>
                <w:rFonts w:ascii="宋体"/>
                <w:szCs w:val="24"/>
              </w:rPr>
              <w:t>2</w:t>
            </w:r>
            <w:r>
              <w:rPr>
                <w:rFonts w:hint="eastAsia" w:ascii="宋体"/>
                <w:szCs w:val="24"/>
              </w:rPr>
              <w:t>分，每低于</w:t>
            </w:r>
            <w:r>
              <w:rPr>
                <w:rFonts w:ascii="宋体"/>
                <w:szCs w:val="24"/>
              </w:rPr>
              <w:t>1</w:t>
            </w:r>
            <w:r>
              <w:rPr>
                <w:rFonts w:hint="eastAsia" w:ascii="宋体"/>
                <w:szCs w:val="24"/>
              </w:rPr>
              <w:t>个百分点扣</w:t>
            </w:r>
            <w:r>
              <w:rPr>
                <w:rFonts w:ascii="宋体"/>
                <w:szCs w:val="24"/>
              </w:rPr>
              <w:t>0.5</w:t>
            </w:r>
            <w:r>
              <w:rPr>
                <w:rFonts w:hint="eastAsia" w:ascii="宋体"/>
                <w:szCs w:val="24"/>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预算</w:t>
            </w:r>
          </w:p>
          <w:p>
            <w:pPr>
              <w:widowControl w:val="0"/>
              <w:topLinePunct/>
              <w:spacing w:line="280" w:lineRule="exact"/>
              <w:jc w:val="center"/>
              <w:rPr>
                <w:rFonts w:ascii="宋体"/>
                <w:szCs w:val="24"/>
              </w:rPr>
            </w:pPr>
            <w:r>
              <w:rPr>
                <w:rFonts w:hint="eastAsia" w:ascii="宋体"/>
                <w:szCs w:val="24"/>
              </w:rPr>
              <w:t>管理</w:t>
            </w:r>
          </w:p>
          <w:p>
            <w:pPr>
              <w:widowControl w:val="0"/>
              <w:topLinePunct/>
              <w:spacing w:line="280" w:lineRule="exact"/>
              <w:jc w:val="center"/>
              <w:rPr>
                <w:rFonts w:ascii="宋体"/>
                <w:szCs w:val="24"/>
              </w:rPr>
            </w:pPr>
            <w:r>
              <w:rPr>
                <w:rFonts w:hint="eastAsia" w:ascii="宋体"/>
                <w:szCs w:val="24"/>
              </w:rPr>
              <w:t>（</w:t>
            </w:r>
            <w:r>
              <w:rPr>
                <w:rFonts w:ascii="宋体"/>
                <w:szCs w:val="24"/>
              </w:rPr>
              <w:t>5</w:t>
            </w:r>
            <w:r>
              <w:rPr>
                <w:rFonts w:hint="eastAsia" w:ascii="宋体"/>
                <w:szCs w:val="24"/>
              </w:rPr>
              <w:t>分）</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管理制度</w:t>
            </w:r>
          </w:p>
          <w:p>
            <w:pPr>
              <w:widowControl w:val="0"/>
              <w:topLinePunct/>
              <w:spacing w:line="280" w:lineRule="exact"/>
              <w:jc w:val="center"/>
              <w:rPr>
                <w:rFonts w:ascii="宋体"/>
                <w:szCs w:val="24"/>
              </w:rPr>
            </w:pPr>
            <w:r>
              <w:rPr>
                <w:rFonts w:hint="eastAsia" w:ascii="宋体"/>
                <w:szCs w:val="24"/>
              </w:rPr>
              <w:t>健全性（</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部门为加强预算管理、规范财务行为而制定的管理制度是否健全完整，用以反映和考核部门预算管理制度对完成主要职责或促进事业发展的保障情况。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已制定或具有预算资金管理办法、内部财务管理制度、会计核算制度等管理制度计</w:t>
            </w:r>
            <w:r>
              <w:rPr>
                <w:rFonts w:ascii="宋体"/>
                <w:szCs w:val="24"/>
              </w:rPr>
              <w:t>1</w:t>
            </w:r>
            <w:r>
              <w:rPr>
                <w:rFonts w:hint="eastAsia" w:ascii="宋体"/>
                <w:szCs w:val="24"/>
              </w:rPr>
              <w:t>分；相关管理制度合法、合规、完整计</w:t>
            </w:r>
            <w:r>
              <w:rPr>
                <w:rFonts w:ascii="宋体"/>
                <w:szCs w:val="24"/>
              </w:rPr>
              <w:t>0.5</w:t>
            </w:r>
            <w:r>
              <w:rPr>
                <w:rFonts w:hint="eastAsia" w:ascii="宋体"/>
                <w:szCs w:val="24"/>
              </w:rPr>
              <w:t>分；相关管理制度得到有效执行计</w:t>
            </w:r>
            <w:r>
              <w:rPr>
                <w:rFonts w:ascii="宋体"/>
                <w:szCs w:val="24"/>
              </w:rPr>
              <w:t>0.5</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资金使用</w:t>
            </w:r>
          </w:p>
          <w:p>
            <w:pPr>
              <w:widowControl w:val="0"/>
              <w:topLinePunct/>
              <w:spacing w:line="280" w:lineRule="exact"/>
              <w:jc w:val="center"/>
              <w:rPr>
                <w:rFonts w:ascii="宋体"/>
                <w:szCs w:val="24"/>
              </w:rPr>
            </w:pPr>
            <w:r>
              <w:rPr>
                <w:rFonts w:hint="eastAsia" w:ascii="宋体"/>
                <w:szCs w:val="24"/>
              </w:rPr>
              <w:t>合规性（</w:t>
            </w:r>
            <w:r>
              <w:rPr>
                <w:rFonts w:ascii="宋体"/>
                <w:szCs w:val="24"/>
              </w:rPr>
              <w:t>1</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部门使用预算资金是否符合相关的预算财务管理制度的规定，用以反映和考核部门预算资金的规范运行情况。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①符合国家财经法规和财务管理制度规定以及有关专项资金管理办法的规定计</w:t>
            </w:r>
            <w:r>
              <w:rPr>
                <w:rFonts w:ascii="宋体"/>
                <w:szCs w:val="24"/>
              </w:rPr>
              <w:t>0.2</w:t>
            </w:r>
            <w:r>
              <w:rPr>
                <w:rFonts w:hint="eastAsia" w:ascii="宋体"/>
                <w:szCs w:val="24"/>
              </w:rPr>
              <w:t>分；②资金的拨付有完整的审批程序和手续计</w:t>
            </w:r>
            <w:r>
              <w:rPr>
                <w:rFonts w:ascii="宋体"/>
                <w:szCs w:val="24"/>
              </w:rPr>
              <w:t>0.2</w:t>
            </w:r>
            <w:r>
              <w:rPr>
                <w:rFonts w:hint="eastAsia" w:ascii="宋体"/>
                <w:szCs w:val="24"/>
              </w:rPr>
              <w:t>分；③项目的重大开支经过评估论证计</w:t>
            </w:r>
            <w:r>
              <w:rPr>
                <w:rFonts w:ascii="宋体"/>
                <w:szCs w:val="24"/>
              </w:rPr>
              <w:t>0.2</w:t>
            </w:r>
            <w:r>
              <w:rPr>
                <w:rFonts w:hint="eastAsia" w:ascii="宋体"/>
                <w:szCs w:val="24"/>
              </w:rPr>
              <w:t>分；④符合部门预算批复的用途计</w:t>
            </w:r>
            <w:r>
              <w:rPr>
                <w:rFonts w:ascii="宋体"/>
                <w:szCs w:val="24"/>
              </w:rPr>
              <w:t>0.2</w:t>
            </w:r>
            <w:r>
              <w:rPr>
                <w:rFonts w:hint="eastAsia" w:ascii="宋体"/>
                <w:szCs w:val="24"/>
              </w:rPr>
              <w:t>分；⑤不存在截留、挤占、挪用、虚列支出等情况计</w:t>
            </w:r>
            <w:r>
              <w:rPr>
                <w:rFonts w:ascii="宋体"/>
                <w:szCs w:val="24"/>
              </w:rPr>
              <w:t>0.2</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预决算信</w:t>
            </w:r>
          </w:p>
          <w:p>
            <w:pPr>
              <w:widowControl w:val="0"/>
              <w:topLinePunct/>
              <w:spacing w:line="280" w:lineRule="exact"/>
              <w:jc w:val="center"/>
              <w:rPr>
                <w:rFonts w:ascii="宋体"/>
                <w:szCs w:val="24"/>
              </w:rPr>
            </w:pPr>
            <w:r>
              <w:rPr>
                <w:rFonts w:hint="eastAsia" w:ascii="宋体"/>
                <w:szCs w:val="24"/>
              </w:rPr>
              <w:t>息公开性（</w:t>
            </w:r>
            <w:r>
              <w:rPr>
                <w:rFonts w:ascii="宋体"/>
                <w:szCs w:val="24"/>
              </w:rPr>
              <w:t>1</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部门是否按照政府信息公开有关规定公开相关预决算信息，用以反映和考核部门预决算管理的公开透明情况。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①按规定内容公开预决算信息计</w:t>
            </w:r>
            <w:r>
              <w:rPr>
                <w:rFonts w:ascii="宋体"/>
                <w:szCs w:val="24"/>
              </w:rPr>
              <w:t>0.5</w:t>
            </w:r>
            <w:r>
              <w:rPr>
                <w:rFonts w:hint="eastAsia" w:ascii="宋体"/>
                <w:szCs w:val="24"/>
              </w:rPr>
              <w:t>分；②按规定时限公开预决算信息计</w:t>
            </w:r>
            <w:r>
              <w:rPr>
                <w:rFonts w:ascii="宋体"/>
                <w:szCs w:val="24"/>
              </w:rPr>
              <w:t>0.5</w:t>
            </w:r>
            <w:r>
              <w:rPr>
                <w:rFonts w:hint="eastAsia" w:ascii="宋体"/>
                <w:szCs w:val="24"/>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基础信息</w:t>
            </w:r>
          </w:p>
          <w:p>
            <w:pPr>
              <w:widowControl w:val="0"/>
              <w:topLinePunct/>
              <w:spacing w:line="280" w:lineRule="exact"/>
              <w:jc w:val="center"/>
              <w:rPr>
                <w:rFonts w:ascii="宋体"/>
                <w:szCs w:val="24"/>
              </w:rPr>
            </w:pPr>
            <w:r>
              <w:rPr>
                <w:rFonts w:hint="eastAsia" w:ascii="宋体"/>
                <w:szCs w:val="24"/>
              </w:rPr>
              <w:t>完善性（</w:t>
            </w:r>
            <w:r>
              <w:rPr>
                <w:rFonts w:ascii="宋体"/>
                <w:szCs w:val="24"/>
              </w:rPr>
              <w:t>1</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部门基础信息是否完善，用以反映和考核基础信息对预算管理工作的支撑情况。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①基础数据信息和会计信息资料真实计</w:t>
            </w:r>
            <w:r>
              <w:rPr>
                <w:rFonts w:ascii="宋体"/>
                <w:szCs w:val="24"/>
              </w:rPr>
              <w:t>0.4</w:t>
            </w:r>
            <w:r>
              <w:rPr>
                <w:rFonts w:hint="eastAsia" w:ascii="宋体"/>
                <w:szCs w:val="24"/>
              </w:rPr>
              <w:t>分；②基础数据信息和会计信息资料完整计</w:t>
            </w:r>
            <w:r>
              <w:rPr>
                <w:rFonts w:ascii="宋体"/>
                <w:szCs w:val="24"/>
              </w:rPr>
              <w:t>0.3</w:t>
            </w:r>
            <w:r>
              <w:rPr>
                <w:rFonts w:hint="eastAsia" w:ascii="宋体"/>
                <w:szCs w:val="24"/>
              </w:rPr>
              <w:t>分；③基础数据信息和会计信息资料准确计</w:t>
            </w:r>
            <w:r>
              <w:rPr>
                <w:rFonts w:ascii="宋体"/>
                <w:szCs w:val="24"/>
              </w:rPr>
              <w:t>0.3</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pPr>
              <w:spacing w:line="280" w:lineRule="exact"/>
            </w:pP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资产</w:t>
            </w:r>
            <w:r>
              <w:rPr>
                <w:rFonts w:ascii="宋体"/>
                <w:szCs w:val="24"/>
              </w:rPr>
              <w:br w:type="textWrapping"/>
            </w:r>
            <w:r>
              <w:rPr>
                <w:rFonts w:hint="eastAsia" w:ascii="宋体"/>
                <w:szCs w:val="24"/>
              </w:rPr>
              <w:t>管理</w:t>
            </w:r>
          </w:p>
          <w:p>
            <w:pPr>
              <w:widowControl w:val="0"/>
              <w:topLinePunct/>
              <w:spacing w:line="280" w:lineRule="exact"/>
              <w:jc w:val="center"/>
              <w:rPr>
                <w:rFonts w:ascii="宋体"/>
                <w:szCs w:val="24"/>
              </w:rPr>
            </w:pPr>
            <w:r>
              <w:rPr>
                <w:rFonts w:hint="eastAsia" w:ascii="宋体"/>
                <w:szCs w:val="24"/>
              </w:rPr>
              <w:t>（</w:t>
            </w:r>
            <w:r>
              <w:rPr>
                <w:rFonts w:ascii="宋体"/>
                <w:szCs w:val="24"/>
              </w:rPr>
              <w:t>5</w:t>
            </w:r>
            <w:r>
              <w:rPr>
                <w:rFonts w:hint="eastAsia" w:ascii="宋体"/>
                <w:szCs w:val="24"/>
              </w:rPr>
              <w:t>分）</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管理制度</w:t>
            </w:r>
          </w:p>
          <w:p>
            <w:pPr>
              <w:widowControl w:val="0"/>
              <w:topLinePunct/>
              <w:spacing w:line="280" w:lineRule="exact"/>
              <w:jc w:val="center"/>
              <w:rPr>
                <w:rFonts w:ascii="宋体"/>
                <w:szCs w:val="24"/>
              </w:rPr>
            </w:pPr>
            <w:r>
              <w:rPr>
                <w:rFonts w:hint="eastAsia" w:ascii="宋体"/>
                <w:szCs w:val="24"/>
              </w:rPr>
              <w:t>健全性（</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部门为加强资产管理、规范资产管理行为而制定的管理制度是否健全完整，用以反映和考核部门资产管理制度对完成主要职责或促进社会发展的保障情况。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①制定或具有资产管理制度计</w:t>
            </w:r>
            <w:r>
              <w:rPr>
                <w:rFonts w:ascii="宋体"/>
                <w:szCs w:val="24"/>
              </w:rPr>
              <w:t>1</w:t>
            </w:r>
            <w:r>
              <w:rPr>
                <w:rFonts w:hint="eastAsia" w:ascii="宋体"/>
                <w:szCs w:val="24"/>
              </w:rPr>
              <w:t>分；②相关资金管理制度合法、合规、完整计</w:t>
            </w:r>
            <w:r>
              <w:rPr>
                <w:rFonts w:ascii="宋体"/>
                <w:szCs w:val="24"/>
              </w:rPr>
              <w:t>0.5</w:t>
            </w:r>
            <w:r>
              <w:rPr>
                <w:rFonts w:hint="eastAsia" w:ascii="宋体"/>
                <w:szCs w:val="24"/>
              </w:rPr>
              <w:t>分；③相关资产管理制度得到有效执行计</w:t>
            </w:r>
            <w:r>
              <w:rPr>
                <w:rFonts w:ascii="宋体"/>
                <w:szCs w:val="24"/>
              </w:rPr>
              <w:t>0.5</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资产管理</w:t>
            </w:r>
          </w:p>
          <w:p>
            <w:pPr>
              <w:widowControl w:val="0"/>
              <w:topLinePunct/>
              <w:spacing w:line="280" w:lineRule="exact"/>
              <w:jc w:val="center"/>
              <w:rPr>
                <w:rFonts w:ascii="宋体"/>
                <w:szCs w:val="24"/>
              </w:rPr>
            </w:pPr>
            <w:r>
              <w:rPr>
                <w:rFonts w:hint="eastAsia" w:ascii="宋体"/>
                <w:szCs w:val="24"/>
              </w:rPr>
              <w:t>安全性（</w:t>
            </w:r>
            <w:r>
              <w:rPr>
                <w:rFonts w:ascii="宋体"/>
                <w:szCs w:val="24"/>
              </w:rPr>
              <w:t>2</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761"/>
                <w:tab w:val="left" w:pos="2604"/>
              </w:tabs>
              <w:topLinePunct/>
              <w:spacing w:line="280" w:lineRule="exact"/>
              <w:jc w:val="center"/>
              <w:rPr>
                <w:rFonts w:ascii="宋体"/>
                <w:szCs w:val="24"/>
              </w:rPr>
            </w:pPr>
            <w:r>
              <w:rPr>
                <w:rFonts w:ascii="宋体"/>
                <w:szCs w:val="24"/>
              </w:rPr>
              <w:t>2</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761"/>
                <w:tab w:val="left" w:pos="2604"/>
              </w:tabs>
              <w:topLinePunct/>
              <w:spacing w:line="280" w:lineRule="exact"/>
              <w:rPr>
                <w:rFonts w:ascii="宋体"/>
                <w:szCs w:val="24"/>
              </w:rPr>
            </w:pPr>
            <w:r>
              <w:rPr>
                <w:rFonts w:hint="eastAsia" w:ascii="宋体"/>
                <w:szCs w:val="24"/>
              </w:rPr>
              <w:t>部门的资产是否保存完整、使用合规、配置合理、处置规范、收入及时足额上缴，用以反映和考核部门资产安全运行情况。</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①资产保存完整计</w:t>
            </w:r>
            <w:r>
              <w:rPr>
                <w:rFonts w:ascii="宋体"/>
                <w:szCs w:val="24"/>
              </w:rPr>
              <w:t>0.4</w:t>
            </w:r>
            <w:r>
              <w:rPr>
                <w:rFonts w:hint="eastAsia" w:ascii="宋体"/>
                <w:szCs w:val="24"/>
              </w:rPr>
              <w:t>分；②资产配置合理计</w:t>
            </w:r>
            <w:r>
              <w:rPr>
                <w:rFonts w:ascii="宋体"/>
                <w:szCs w:val="24"/>
              </w:rPr>
              <w:t>0.4</w:t>
            </w:r>
            <w:r>
              <w:rPr>
                <w:rFonts w:hint="eastAsia" w:ascii="宋体"/>
                <w:szCs w:val="24"/>
              </w:rPr>
              <w:t>分；③资产处置规范计</w:t>
            </w:r>
            <w:r>
              <w:rPr>
                <w:rFonts w:ascii="宋体"/>
                <w:szCs w:val="24"/>
              </w:rPr>
              <w:t>0.4</w:t>
            </w:r>
            <w:r>
              <w:rPr>
                <w:rFonts w:hint="eastAsia" w:ascii="宋体"/>
                <w:szCs w:val="24"/>
              </w:rPr>
              <w:t>分；④资产账务管理合规、帐实相符计</w:t>
            </w:r>
            <w:r>
              <w:rPr>
                <w:rFonts w:ascii="宋体"/>
                <w:szCs w:val="24"/>
              </w:rPr>
              <w:t>0.4</w:t>
            </w:r>
            <w:r>
              <w:rPr>
                <w:rFonts w:hint="eastAsia" w:ascii="宋体"/>
                <w:szCs w:val="24"/>
              </w:rPr>
              <w:t>分；⑤资产有偿使用及处置收入及时足额上缴计</w:t>
            </w:r>
            <w:r>
              <w:rPr>
                <w:rFonts w:ascii="宋体"/>
                <w:szCs w:val="24"/>
              </w:rPr>
              <w:t>0.4</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固定资产</w:t>
            </w:r>
          </w:p>
          <w:p>
            <w:pPr>
              <w:widowControl w:val="0"/>
              <w:topLinePunct/>
              <w:spacing w:line="280" w:lineRule="exact"/>
              <w:jc w:val="center"/>
              <w:rPr>
                <w:rFonts w:ascii="宋体"/>
                <w:szCs w:val="24"/>
              </w:rPr>
            </w:pPr>
            <w:r>
              <w:rPr>
                <w:rFonts w:hint="eastAsia" w:ascii="宋体"/>
                <w:szCs w:val="24"/>
              </w:rPr>
              <w:t>利用率（</w:t>
            </w:r>
            <w:r>
              <w:rPr>
                <w:rFonts w:ascii="宋体"/>
                <w:szCs w:val="24"/>
              </w:rPr>
              <w:t>1</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1</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部门实际在用固定资产总额与所有固定资产总额的比率，用以反映和考核部门固定资产使用效率程度。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固定资产利用率</w:t>
            </w:r>
            <w:r>
              <w:rPr>
                <w:rFonts w:ascii="宋体"/>
                <w:szCs w:val="24"/>
              </w:rPr>
              <w:t>=</w:t>
            </w:r>
            <w:r>
              <w:rPr>
                <w:rFonts w:hint="eastAsia" w:ascii="宋体"/>
                <w:szCs w:val="24"/>
              </w:rPr>
              <w:t>（实际在用固定资产总额</w:t>
            </w:r>
            <w:r>
              <w:rPr>
                <w:rFonts w:ascii="宋体"/>
                <w:szCs w:val="24"/>
              </w:rPr>
              <w:t>/</w:t>
            </w:r>
            <w:r>
              <w:rPr>
                <w:rFonts w:hint="eastAsia" w:ascii="宋体"/>
                <w:szCs w:val="24"/>
              </w:rPr>
              <w:t>所有固定资产总额）×</w:t>
            </w:r>
            <w:r>
              <w:rPr>
                <w:rFonts w:ascii="宋体"/>
                <w:szCs w:val="24"/>
              </w:rPr>
              <w:t>100%</w:t>
            </w:r>
            <w:r>
              <w:rPr>
                <w:rFonts w:hint="eastAsia" w:ascii="宋体"/>
                <w:szCs w:val="24"/>
              </w:rPr>
              <w:t>。利用率为</w:t>
            </w:r>
            <w:r>
              <w:rPr>
                <w:rFonts w:ascii="宋体"/>
                <w:szCs w:val="24"/>
              </w:rPr>
              <w:t>100%</w:t>
            </w:r>
            <w:r>
              <w:rPr>
                <w:rFonts w:hint="eastAsia" w:ascii="宋体"/>
                <w:szCs w:val="24"/>
              </w:rPr>
              <w:t>的计</w:t>
            </w:r>
            <w:r>
              <w:rPr>
                <w:rFonts w:ascii="宋体"/>
                <w:szCs w:val="24"/>
              </w:rPr>
              <w:t>1</w:t>
            </w:r>
            <w:r>
              <w:rPr>
                <w:rFonts w:hint="eastAsia" w:ascii="宋体"/>
                <w:szCs w:val="24"/>
              </w:rPr>
              <w:t>分，每降</w:t>
            </w:r>
            <w:r>
              <w:rPr>
                <w:rFonts w:ascii="宋体"/>
                <w:szCs w:val="24"/>
              </w:rPr>
              <w:t>1</w:t>
            </w:r>
            <w:r>
              <w:rPr>
                <w:rFonts w:hint="eastAsia" w:ascii="宋体"/>
                <w:szCs w:val="24"/>
              </w:rPr>
              <w:t>个百分点扣</w:t>
            </w:r>
            <w:r>
              <w:rPr>
                <w:rFonts w:ascii="宋体"/>
                <w:szCs w:val="24"/>
              </w:rPr>
              <w:t>0.1</w:t>
            </w:r>
            <w:r>
              <w:rPr>
                <w:rFonts w:hint="eastAsia" w:ascii="宋体"/>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pPr>
              <w:widowControl w:val="0"/>
              <w:topLinePunct/>
              <w:spacing w:line="280" w:lineRule="exact"/>
              <w:jc w:val="center"/>
              <w:rPr>
                <w:rFonts w:ascii="宋体"/>
                <w:szCs w:val="24"/>
              </w:rPr>
            </w:pPr>
            <w:r>
              <w:rPr>
                <w:rFonts w:hint="eastAsia" w:ascii="宋体"/>
                <w:szCs w:val="24"/>
              </w:rPr>
              <w:t>产</w:t>
            </w:r>
            <w:r>
              <w:rPr>
                <w:rFonts w:ascii="宋体"/>
                <w:szCs w:val="24"/>
              </w:rPr>
              <w:t xml:space="preserve">   </w:t>
            </w:r>
            <w:r>
              <w:rPr>
                <w:rFonts w:hint="eastAsia" w:ascii="宋体"/>
                <w:szCs w:val="24"/>
              </w:rPr>
              <w:t>出（</w:t>
            </w:r>
            <w:r>
              <w:rPr>
                <w:rFonts w:ascii="宋体"/>
                <w:szCs w:val="24"/>
              </w:rPr>
              <w:t>30</w:t>
            </w:r>
            <w:r>
              <w:rPr>
                <w:rFonts w:hint="eastAsia" w:ascii="宋体"/>
                <w:szCs w:val="24"/>
              </w:rPr>
              <w:t>分）</w:t>
            </w: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职责</w:t>
            </w:r>
            <w:r>
              <w:rPr>
                <w:rFonts w:ascii="宋体"/>
                <w:szCs w:val="24"/>
              </w:rPr>
              <w:br w:type="textWrapping"/>
            </w:r>
            <w:r>
              <w:rPr>
                <w:rFonts w:hint="eastAsia" w:ascii="宋体"/>
                <w:szCs w:val="24"/>
              </w:rPr>
              <w:t>履行</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实际完成率（</w:t>
            </w:r>
            <w:r>
              <w:rPr>
                <w:rFonts w:ascii="宋体"/>
                <w:szCs w:val="24"/>
              </w:rPr>
              <w:t>8</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hAnsi="宋体" w:eastAsia="微软雅黑"/>
                <w:szCs w:val="24"/>
              </w:rPr>
            </w:pPr>
            <w:r>
              <w:rPr>
                <w:rFonts w:ascii="宋体"/>
                <w:szCs w:val="24"/>
              </w:rPr>
              <w:t>8</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部门履行职责而实际完成工作数与计划工作数的比率，用以反映和考核部门履职工作任务目标的实现程度。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实际完成率得分</w:t>
            </w:r>
            <w:r>
              <w:rPr>
                <w:rFonts w:ascii="宋体"/>
                <w:szCs w:val="24"/>
              </w:rPr>
              <w:t>=</w:t>
            </w:r>
            <w:r>
              <w:rPr>
                <w:rFonts w:hint="eastAsia" w:ascii="宋体"/>
                <w:szCs w:val="24"/>
              </w:rPr>
              <w:t>完成市委市政府绩效考核得分或上级主管部门考核指标得分</w:t>
            </w:r>
            <w:r>
              <w:rPr>
                <w:rFonts w:ascii="宋体"/>
                <w:szCs w:val="24"/>
              </w:rPr>
              <w:t>/</w:t>
            </w:r>
            <w:r>
              <w:rPr>
                <w:rFonts w:hint="eastAsia" w:ascii="宋体"/>
                <w:szCs w:val="24"/>
              </w:rPr>
              <w:t>指标分值</w:t>
            </w:r>
            <w:r>
              <w:rPr>
                <w:rFonts w:ascii="宋体"/>
                <w:szCs w:val="24"/>
              </w:rPr>
              <w:t>*8</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完成及时率（</w:t>
            </w:r>
            <w:r>
              <w:rPr>
                <w:rFonts w:ascii="宋体"/>
                <w:szCs w:val="24"/>
              </w:rPr>
              <w:t>4</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4</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部门在规定时限内及时完成的实际工作数与计划工作数的比率</w:t>
            </w:r>
            <w:r>
              <w:rPr>
                <w:rFonts w:ascii="宋体"/>
                <w:szCs w:val="24"/>
              </w:rPr>
              <w:t>,</w:t>
            </w:r>
            <w:r>
              <w:rPr>
                <w:rFonts w:hint="eastAsia" w:ascii="宋体"/>
                <w:szCs w:val="24"/>
              </w:rPr>
              <w:t>用以反映和考核部门履职时效目标的实现程度。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完成及时率</w:t>
            </w:r>
            <w:r>
              <w:rPr>
                <w:rFonts w:ascii="宋体"/>
                <w:szCs w:val="24"/>
              </w:rPr>
              <w:t>=</w:t>
            </w:r>
            <w:r>
              <w:rPr>
                <w:rFonts w:hint="eastAsia" w:ascii="宋体"/>
                <w:szCs w:val="24"/>
              </w:rPr>
              <w:t>（及时完成实际工作数</w:t>
            </w:r>
            <w:r>
              <w:rPr>
                <w:rFonts w:ascii="宋体"/>
                <w:szCs w:val="24"/>
              </w:rPr>
              <w:t>/</w:t>
            </w:r>
            <w:r>
              <w:rPr>
                <w:rFonts w:hint="eastAsia" w:ascii="宋体"/>
                <w:szCs w:val="24"/>
              </w:rPr>
              <w:t>计划工作数）×</w:t>
            </w:r>
            <w:r>
              <w:rPr>
                <w:rFonts w:ascii="宋体"/>
                <w:szCs w:val="24"/>
              </w:rPr>
              <w:t>100%</w:t>
            </w:r>
            <w:r>
              <w:rPr>
                <w:rFonts w:hint="eastAsia" w:ascii="宋体"/>
                <w:szCs w:val="24"/>
              </w:rPr>
              <w:t>。</w:t>
            </w:r>
            <w:r>
              <w:rPr>
                <w:rFonts w:ascii="宋体"/>
                <w:szCs w:val="24"/>
              </w:rPr>
              <w:t>1-4</w:t>
            </w:r>
            <w:r>
              <w:rPr>
                <w:rFonts w:hint="eastAsia" w:ascii="宋体"/>
                <w:szCs w:val="24"/>
              </w:rPr>
              <w:t>季度各得</w:t>
            </w:r>
            <w:r>
              <w:rPr>
                <w:rFonts w:ascii="宋体"/>
                <w:szCs w:val="24"/>
              </w:rPr>
              <w:t>1</w:t>
            </w:r>
            <w:r>
              <w:rPr>
                <w:rFonts w:hint="eastAsia" w:ascii="宋体"/>
                <w:szCs w:val="24"/>
              </w:rPr>
              <w:t>分</w:t>
            </w:r>
            <w:r>
              <w:rPr>
                <w:rFonts w:ascii="宋体"/>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质量达标率（</w:t>
            </w:r>
            <w:r>
              <w:rPr>
                <w:rFonts w:ascii="宋体"/>
                <w:szCs w:val="24"/>
              </w:rPr>
              <w:t>8</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8</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达到质量标准（绩效标准值）的实际工作数与计划工作数的比率</w:t>
            </w:r>
            <w:r>
              <w:rPr>
                <w:rFonts w:ascii="宋体"/>
                <w:szCs w:val="24"/>
              </w:rPr>
              <w:t>,</w:t>
            </w:r>
            <w:r>
              <w:rPr>
                <w:rFonts w:hint="eastAsia" w:ascii="宋体"/>
                <w:szCs w:val="24"/>
              </w:rPr>
              <w:t>用以反映和考核部门履职质量目标的实现程度。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质量达标率</w:t>
            </w:r>
            <w:r>
              <w:rPr>
                <w:rFonts w:ascii="宋体"/>
                <w:szCs w:val="24"/>
              </w:rPr>
              <w:t>=</w:t>
            </w:r>
            <w:r>
              <w:rPr>
                <w:rFonts w:hint="eastAsia" w:ascii="宋体"/>
                <w:szCs w:val="24"/>
              </w:rPr>
              <w:t>（质量达标实际工作数</w:t>
            </w:r>
            <w:r>
              <w:rPr>
                <w:rFonts w:ascii="宋体"/>
                <w:szCs w:val="24"/>
              </w:rPr>
              <w:t>/</w:t>
            </w:r>
            <w:r>
              <w:rPr>
                <w:rFonts w:hint="eastAsia" w:ascii="宋体"/>
                <w:szCs w:val="24"/>
              </w:rPr>
              <w:t>计划工作数）×</w:t>
            </w:r>
            <w:r>
              <w:rPr>
                <w:rFonts w:ascii="宋体"/>
                <w:szCs w:val="24"/>
              </w:rPr>
              <w:t>100%</w:t>
            </w:r>
            <w:r>
              <w:rPr>
                <w:rFonts w:hint="eastAsia" w:ascii="宋体"/>
                <w:szCs w:val="24"/>
              </w:rPr>
              <w:t>。实际得分</w:t>
            </w:r>
            <w:r>
              <w:rPr>
                <w:rFonts w:ascii="宋体"/>
                <w:szCs w:val="24"/>
              </w:rPr>
              <w:t>=</w:t>
            </w:r>
            <w:r>
              <w:rPr>
                <w:rFonts w:hint="eastAsia" w:ascii="宋体"/>
                <w:szCs w:val="24"/>
              </w:rPr>
              <w:t>达标率</w:t>
            </w:r>
            <w:r>
              <w:rPr>
                <w:rFonts w:ascii="宋体"/>
                <w:szCs w:val="24"/>
              </w:rPr>
              <w:t>*8</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重点工作</w:t>
            </w:r>
          </w:p>
          <w:p>
            <w:pPr>
              <w:widowControl w:val="0"/>
              <w:topLinePunct/>
              <w:spacing w:line="280" w:lineRule="exact"/>
              <w:jc w:val="center"/>
              <w:rPr>
                <w:rFonts w:ascii="宋体"/>
                <w:szCs w:val="24"/>
              </w:rPr>
            </w:pPr>
            <w:r>
              <w:rPr>
                <w:rFonts w:hint="eastAsia" w:ascii="宋体"/>
                <w:szCs w:val="24"/>
              </w:rPr>
              <w:t>办结率（</w:t>
            </w:r>
            <w:r>
              <w:rPr>
                <w:rFonts w:ascii="宋体"/>
                <w:szCs w:val="24"/>
              </w:rPr>
              <w:t>10</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8</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部门年度重点工作实际完成数与交办或下达数的比率，用以反映部门对重点工作的办理落实程度。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szCs w:val="24"/>
              </w:rPr>
              <w:t>重点工作办结率</w:t>
            </w:r>
            <w:r>
              <w:rPr>
                <w:rFonts w:ascii="宋体"/>
                <w:szCs w:val="24"/>
              </w:rPr>
              <w:t>=</w:t>
            </w:r>
            <w:r>
              <w:rPr>
                <w:rFonts w:hint="eastAsia" w:ascii="宋体"/>
                <w:szCs w:val="24"/>
              </w:rPr>
              <w:t>（重点工作实际完成数</w:t>
            </w:r>
            <w:r>
              <w:rPr>
                <w:rFonts w:ascii="宋体"/>
                <w:szCs w:val="24"/>
              </w:rPr>
              <w:t>/</w:t>
            </w:r>
            <w:r>
              <w:rPr>
                <w:rFonts w:hint="eastAsia" w:ascii="宋体"/>
                <w:szCs w:val="24"/>
              </w:rPr>
              <w:t>交办或下达数）×</w:t>
            </w:r>
            <w:r>
              <w:rPr>
                <w:rFonts w:ascii="宋体"/>
                <w:szCs w:val="24"/>
              </w:rPr>
              <w:t>100%</w:t>
            </w:r>
            <w:r>
              <w:rPr>
                <w:rFonts w:hint="eastAsia" w:ascii="宋体"/>
                <w:szCs w:val="24"/>
              </w:rPr>
              <w:t>。实际得分</w:t>
            </w:r>
            <w:r>
              <w:rPr>
                <w:rFonts w:ascii="宋体"/>
                <w:szCs w:val="24"/>
              </w:rPr>
              <w:t>=</w:t>
            </w:r>
            <w:r>
              <w:rPr>
                <w:rFonts w:hint="eastAsia" w:ascii="宋体"/>
                <w:szCs w:val="24"/>
              </w:rPr>
              <w:t>办结率</w:t>
            </w:r>
            <w:r>
              <w:rPr>
                <w:rFonts w:ascii="宋体"/>
                <w:szCs w:val="24"/>
              </w:rPr>
              <w:t>*10</w:t>
            </w:r>
            <w:r>
              <w:rPr>
                <w:rFonts w:hint="eastAsia" w:asci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textDirection w:val="tbRlV"/>
            <w:vAlign w:val="center"/>
          </w:tcPr>
          <w:p>
            <w:pPr>
              <w:widowControl w:val="0"/>
              <w:topLinePunct/>
              <w:spacing w:line="280" w:lineRule="exact"/>
              <w:jc w:val="center"/>
              <w:rPr>
                <w:rFonts w:ascii="宋体"/>
                <w:szCs w:val="24"/>
              </w:rPr>
            </w:pPr>
            <w:r>
              <w:rPr>
                <w:rFonts w:hint="eastAsia" w:ascii="宋体"/>
                <w:szCs w:val="24"/>
              </w:rPr>
              <w:t>效</w:t>
            </w:r>
            <w:r>
              <w:rPr>
                <w:rFonts w:ascii="宋体"/>
                <w:szCs w:val="24"/>
              </w:rPr>
              <w:t xml:space="preserve">   </w:t>
            </w:r>
            <w:r>
              <w:rPr>
                <w:rFonts w:hint="eastAsia" w:ascii="宋体"/>
                <w:szCs w:val="24"/>
              </w:rPr>
              <w:t>果（</w:t>
            </w:r>
            <w:r>
              <w:rPr>
                <w:rFonts w:ascii="宋体"/>
                <w:szCs w:val="24"/>
              </w:rPr>
              <w:t>20</w:t>
            </w:r>
            <w:r>
              <w:rPr>
                <w:rFonts w:hint="eastAsia" w:ascii="宋体"/>
                <w:szCs w:val="24"/>
              </w:rPr>
              <w:t>分）</w:t>
            </w:r>
          </w:p>
        </w:tc>
        <w:tc>
          <w:tcPr>
            <w:tcW w:w="551"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履职</w:t>
            </w:r>
            <w:r>
              <w:rPr>
                <w:rFonts w:ascii="宋体"/>
                <w:szCs w:val="24"/>
              </w:rPr>
              <w:br w:type="textWrapping"/>
            </w:r>
            <w:r>
              <w:rPr>
                <w:rFonts w:hint="eastAsia" w:ascii="宋体"/>
                <w:szCs w:val="24"/>
              </w:rPr>
              <w:t>效益（</w:t>
            </w:r>
            <w:r>
              <w:rPr>
                <w:rFonts w:ascii="宋体"/>
                <w:szCs w:val="24"/>
              </w:rPr>
              <w:t>20</w:t>
            </w:r>
            <w:r>
              <w:rPr>
                <w:rFonts w:hint="eastAsia" w:ascii="宋体"/>
                <w:szCs w:val="24"/>
              </w:rPr>
              <w:t>分）</w:t>
            </w: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经济效益（</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部门履行职责对经济发展所带来的直接或间接影响。</w:t>
            </w:r>
          </w:p>
        </w:tc>
        <w:tc>
          <w:tcPr>
            <w:tcW w:w="4095" w:type="dxa"/>
            <w:vMerge w:val="restart"/>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cs="宋体"/>
                <w:kern w:val="0"/>
              </w:rPr>
              <w:t>按经济效益实现程度计算得分（</w:t>
            </w:r>
            <w:r>
              <w:rPr>
                <w:rFonts w:ascii="宋体" w:cs="宋体"/>
                <w:kern w:val="0"/>
              </w:rPr>
              <w:t>5</w:t>
            </w:r>
            <w:r>
              <w:rPr>
                <w:rFonts w:hint="eastAsia" w:ascii="宋体" w:cs="宋体"/>
                <w:kern w:val="0"/>
              </w:rPr>
              <w:t>分）；按社会效益实现程度计算得分（</w:t>
            </w:r>
            <w:r>
              <w:rPr>
                <w:rFonts w:ascii="宋体" w:cs="宋体"/>
                <w:kern w:val="0"/>
              </w:rPr>
              <w:t>5</w:t>
            </w:r>
            <w:r>
              <w:rPr>
                <w:rFonts w:hint="eastAsia" w:ascii="宋体" w:cs="宋体"/>
                <w:kern w:val="0"/>
              </w:rPr>
              <w:t>分）；按生态效益实现程度计算得分（</w:t>
            </w:r>
            <w:r>
              <w:rPr>
                <w:rFonts w:ascii="宋体" w:cs="宋体"/>
                <w:kern w:val="0"/>
              </w:rPr>
              <w:t>5</w:t>
            </w:r>
            <w:r>
              <w:rPr>
                <w:rFonts w:hint="eastAsia" w:asci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社会效益（</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部门履行职责对社会发展所带来的直接或间接影响。</w:t>
            </w:r>
          </w:p>
        </w:tc>
        <w:tc>
          <w:tcPr>
            <w:tcW w:w="4095"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1"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生态效益（</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部门履行职责对生态环境所带来的直接或间接影响。</w:t>
            </w:r>
          </w:p>
        </w:tc>
        <w:tc>
          <w:tcPr>
            <w:tcW w:w="4095"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trPr>
        <w:tc>
          <w:tcPr>
            <w:tcW w:w="528"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551" w:type="dxa"/>
            <w:vMerge w:val="continue"/>
            <w:tcBorders>
              <w:top w:val="single" w:color="auto" w:sz="4" w:space="0"/>
              <w:left w:val="single" w:color="auto" w:sz="4" w:space="0"/>
              <w:bottom w:val="single" w:color="auto" w:sz="4" w:space="0"/>
              <w:right w:val="single" w:color="auto" w:sz="4" w:space="0"/>
            </w:tcBorders>
            <w:noWrap/>
            <w:vAlign w:val="center"/>
          </w:tcPr>
          <w:p>
            <w:pPr>
              <w:spacing w:line="280" w:lineRule="exact"/>
            </w:pPr>
          </w:p>
        </w:tc>
        <w:tc>
          <w:tcPr>
            <w:tcW w:w="911"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jc w:val="center"/>
              <w:rPr>
                <w:rFonts w:ascii="宋体"/>
                <w:szCs w:val="24"/>
              </w:rPr>
            </w:pPr>
            <w:r>
              <w:rPr>
                <w:rFonts w:hint="eastAsia" w:ascii="宋体"/>
                <w:szCs w:val="24"/>
              </w:rPr>
              <w:t>社会公众</w:t>
            </w:r>
          </w:p>
          <w:p>
            <w:pPr>
              <w:widowControl w:val="0"/>
              <w:topLinePunct/>
              <w:spacing w:line="280" w:lineRule="exact"/>
              <w:jc w:val="center"/>
              <w:rPr>
                <w:rFonts w:ascii="宋体"/>
                <w:szCs w:val="24"/>
              </w:rPr>
            </w:pPr>
            <w:r>
              <w:rPr>
                <w:rFonts w:hint="eastAsia" w:ascii="宋体"/>
                <w:szCs w:val="24"/>
              </w:rPr>
              <w:t>或服务对</w:t>
            </w:r>
          </w:p>
          <w:p>
            <w:pPr>
              <w:widowControl w:val="0"/>
              <w:topLinePunct/>
              <w:spacing w:line="280" w:lineRule="exact"/>
              <w:jc w:val="center"/>
              <w:rPr>
                <w:rFonts w:ascii="宋体"/>
                <w:szCs w:val="24"/>
              </w:rPr>
            </w:pPr>
            <w:r>
              <w:rPr>
                <w:rFonts w:hint="eastAsia" w:ascii="宋体"/>
                <w:szCs w:val="24"/>
              </w:rPr>
              <w:t>象满意度（</w:t>
            </w:r>
            <w:r>
              <w:rPr>
                <w:rFonts w:ascii="宋体"/>
                <w:szCs w:val="24"/>
              </w:rPr>
              <w:t>5</w:t>
            </w:r>
            <w:r>
              <w:rPr>
                <w:rFonts w:hint="eastAsia" w:ascii="宋体"/>
                <w:szCs w:val="24"/>
              </w:rPr>
              <w:t>分）</w:t>
            </w:r>
          </w:p>
        </w:tc>
        <w:tc>
          <w:tcPr>
            <w:tcW w:w="6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jc w:val="center"/>
              <w:rPr>
                <w:rFonts w:ascii="宋体"/>
                <w:szCs w:val="24"/>
              </w:rPr>
            </w:pPr>
            <w:r>
              <w:rPr>
                <w:rFonts w:ascii="宋体"/>
                <w:szCs w:val="24"/>
              </w:rPr>
              <w:t>5</w:t>
            </w:r>
          </w:p>
        </w:tc>
        <w:tc>
          <w:tcPr>
            <w:tcW w:w="247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abs>
                <w:tab w:val="left" w:pos="2604"/>
              </w:tabs>
              <w:topLinePunct/>
              <w:spacing w:line="280" w:lineRule="exact"/>
              <w:rPr>
                <w:rFonts w:ascii="宋体"/>
                <w:szCs w:val="24"/>
              </w:rPr>
            </w:pPr>
            <w:r>
              <w:rPr>
                <w:rFonts w:hint="eastAsia" w:ascii="宋体"/>
                <w:szCs w:val="24"/>
              </w:rPr>
              <w:t>社会公众或部门的服务对象对部门履职效果的满意程度。</w:t>
            </w:r>
          </w:p>
        </w:tc>
        <w:tc>
          <w:tcPr>
            <w:tcW w:w="4095"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val="0"/>
              <w:topLinePunct/>
              <w:spacing w:line="280" w:lineRule="exact"/>
              <w:rPr>
                <w:rFonts w:ascii="宋体"/>
                <w:szCs w:val="24"/>
              </w:rPr>
            </w:pPr>
            <w:r>
              <w:rPr>
                <w:rFonts w:hint="eastAsia" w:ascii="宋体" w:cs="宋体"/>
                <w:kern w:val="0"/>
              </w:rPr>
              <w:t>按收集到的服务对象的满意率计算得分（</w:t>
            </w:r>
            <w:r>
              <w:rPr>
                <w:rFonts w:ascii="宋体" w:cs="宋体"/>
                <w:kern w:val="0"/>
              </w:rPr>
              <w:t>5</w:t>
            </w:r>
            <w:r>
              <w:rPr>
                <w:rFonts w:hint="eastAsia" w:asci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28" w:type="dxa"/>
            <w:tcBorders>
              <w:top w:val="single" w:color="auto" w:sz="4" w:space="0"/>
              <w:left w:val="single" w:color="auto" w:sz="4" w:space="0"/>
              <w:bottom w:val="single" w:color="auto" w:sz="4" w:space="0"/>
              <w:right w:val="single" w:color="auto" w:sz="4" w:space="0"/>
            </w:tcBorders>
            <w:noWrap/>
            <w:vAlign w:val="center"/>
          </w:tcPr>
          <w:p>
            <w:pPr>
              <w:widowControl w:val="0"/>
              <w:topLinePunct/>
              <w:spacing w:line="280" w:lineRule="exact"/>
              <w:jc w:val="center"/>
              <w:rPr>
                <w:rFonts w:ascii="宋体"/>
                <w:szCs w:val="24"/>
              </w:rPr>
            </w:pPr>
            <w:r>
              <w:rPr>
                <w:rFonts w:ascii="宋体"/>
                <w:szCs w:val="24"/>
              </w:rPr>
              <w:t>总分</w:t>
            </w:r>
          </w:p>
        </w:tc>
        <w:tc>
          <w:tcPr>
            <w:tcW w:w="551" w:type="dxa"/>
            <w:tcBorders>
              <w:top w:val="single" w:color="auto" w:sz="4" w:space="0"/>
              <w:left w:val="single" w:color="auto" w:sz="4" w:space="0"/>
              <w:bottom w:val="single" w:color="auto" w:sz="4" w:space="0"/>
              <w:right w:val="single" w:color="auto" w:sz="4" w:space="0"/>
            </w:tcBorders>
            <w:noWrap/>
            <w:vAlign w:val="center"/>
          </w:tcPr>
          <w:p>
            <w:pPr>
              <w:widowControl w:val="0"/>
              <w:topLinePunct/>
              <w:spacing w:line="280" w:lineRule="exact"/>
              <w:jc w:val="center"/>
              <w:rPr>
                <w:rFonts w:ascii="宋体"/>
                <w:szCs w:val="24"/>
              </w:rPr>
            </w:pPr>
          </w:p>
        </w:tc>
        <w:tc>
          <w:tcPr>
            <w:tcW w:w="911" w:type="dxa"/>
            <w:tcBorders>
              <w:top w:val="single" w:color="auto" w:sz="4" w:space="0"/>
              <w:left w:val="single" w:color="auto" w:sz="4" w:space="0"/>
              <w:bottom w:val="single" w:color="auto" w:sz="4" w:space="0"/>
              <w:right w:val="single" w:color="auto" w:sz="4" w:space="0"/>
            </w:tcBorders>
            <w:noWrap/>
            <w:vAlign w:val="center"/>
          </w:tcPr>
          <w:p>
            <w:pPr>
              <w:widowControl w:val="0"/>
              <w:topLinePunct/>
              <w:spacing w:line="280" w:lineRule="exact"/>
              <w:jc w:val="center"/>
              <w:rPr>
                <w:rFonts w:ascii="宋体"/>
                <w:szCs w:val="24"/>
              </w:rPr>
            </w:pPr>
          </w:p>
        </w:tc>
        <w:tc>
          <w:tcPr>
            <w:tcW w:w="675" w:type="dxa"/>
            <w:tcBorders>
              <w:top w:val="single" w:color="auto" w:sz="4" w:space="0"/>
              <w:left w:val="single" w:color="auto" w:sz="4" w:space="0"/>
              <w:bottom w:val="single" w:color="auto" w:sz="4" w:space="0"/>
              <w:right w:val="single" w:color="auto" w:sz="4" w:space="0"/>
            </w:tcBorders>
            <w:noWrap/>
            <w:vAlign w:val="center"/>
          </w:tcPr>
          <w:p>
            <w:pPr>
              <w:widowControl w:val="0"/>
              <w:tabs>
                <w:tab w:val="left" w:pos="2604"/>
              </w:tabs>
              <w:topLinePunct/>
              <w:spacing w:line="280" w:lineRule="exact"/>
              <w:jc w:val="center"/>
              <w:rPr>
                <w:rFonts w:ascii="宋体"/>
                <w:szCs w:val="24"/>
              </w:rPr>
            </w:pPr>
            <w:r>
              <w:rPr>
                <w:rFonts w:ascii="宋体"/>
                <w:szCs w:val="24"/>
              </w:rPr>
              <w:t>97</w:t>
            </w:r>
          </w:p>
        </w:tc>
        <w:tc>
          <w:tcPr>
            <w:tcW w:w="2475" w:type="dxa"/>
            <w:tcBorders>
              <w:top w:val="single" w:color="auto" w:sz="4" w:space="0"/>
              <w:left w:val="single" w:color="auto" w:sz="4" w:space="0"/>
              <w:bottom w:val="single" w:color="auto" w:sz="4" w:space="0"/>
              <w:right w:val="single" w:color="auto" w:sz="4" w:space="0"/>
            </w:tcBorders>
            <w:noWrap/>
            <w:vAlign w:val="center"/>
          </w:tcPr>
          <w:p>
            <w:pPr>
              <w:widowControl w:val="0"/>
              <w:tabs>
                <w:tab w:val="left" w:pos="2604"/>
              </w:tabs>
              <w:topLinePunct/>
              <w:spacing w:line="280" w:lineRule="exact"/>
              <w:rPr>
                <w:rFonts w:ascii="宋体"/>
                <w:szCs w:val="24"/>
              </w:rPr>
            </w:pPr>
          </w:p>
        </w:tc>
        <w:tc>
          <w:tcPr>
            <w:tcW w:w="4095" w:type="dxa"/>
            <w:tcBorders>
              <w:top w:val="single" w:color="auto" w:sz="4" w:space="0"/>
              <w:left w:val="single" w:color="auto" w:sz="4" w:space="0"/>
              <w:bottom w:val="single" w:color="auto" w:sz="4" w:space="0"/>
              <w:right w:val="single" w:color="auto" w:sz="4" w:space="0"/>
            </w:tcBorders>
            <w:noWrap/>
            <w:vAlign w:val="center"/>
          </w:tcPr>
          <w:p>
            <w:pPr>
              <w:widowControl w:val="0"/>
              <w:topLinePunct/>
              <w:spacing w:line="280" w:lineRule="exact"/>
              <w:rPr>
                <w:rFonts w:ascii="宋体" w:cs="宋体"/>
                <w:kern w:val="0"/>
              </w:rPr>
            </w:pPr>
          </w:p>
        </w:tc>
      </w:tr>
    </w:tbl>
    <w:p>
      <w:pPr>
        <w:keepNext/>
        <w:keepLines/>
        <w:widowControl w:val="0"/>
        <w:topLinePunct/>
        <w:spacing w:line="80" w:lineRule="exact"/>
        <w:ind w:firstLine="641"/>
        <w:rPr>
          <w:rFonts w:eastAsia="Times New Roman"/>
          <w:b/>
          <w:sz w:val="32"/>
          <w:szCs w:val="24"/>
          <w:highlight w:val="white"/>
          <w:lang w:val="zh-CN"/>
        </w:rPr>
      </w:pPr>
    </w:p>
    <w:sectPr>
      <w:footerReference r:id="rId3" w:type="default"/>
      <w:pgSz w:w="12240" w:h="15840"/>
      <w:pgMar w:top="2098" w:right="1474" w:bottom="1985" w:left="1588" w:header="72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10633-1509-4BEC-8CF0-872CBA307B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C3FB7B7F-98D8-42E8-B0B9-3ADA38C92348}"/>
  </w:font>
  <w:font w:name="方正小标宋简体">
    <w:panose1 w:val="02000000000000000000"/>
    <w:charset w:val="86"/>
    <w:family w:val="auto"/>
    <w:pitch w:val="default"/>
    <w:sig w:usb0="00000001" w:usb1="080E0000" w:usb2="00000000" w:usb3="00000000" w:csb0="00040000" w:csb1="00000000"/>
    <w:embedRegular r:id="rId3" w:fontKey="{716B4C37-A8C2-4418-8F38-FAAE13F6344B}"/>
  </w:font>
  <w:font w:name="仿宋">
    <w:panose1 w:val="02010609060101010101"/>
    <w:charset w:val="86"/>
    <w:family w:val="modern"/>
    <w:pitch w:val="default"/>
    <w:sig w:usb0="800002BF" w:usb1="38CF7CFA" w:usb2="00000016" w:usb3="00000000" w:csb0="00040001" w:csb1="00000000"/>
    <w:embedRegular r:id="rId4" w:fontKey="{85B4355B-795E-423C-B303-7FDD5526D309}"/>
  </w:font>
  <w:font w:name="微软雅黑">
    <w:panose1 w:val="020B0503020204020204"/>
    <w:charset w:val="86"/>
    <w:family w:val="swiss"/>
    <w:pitch w:val="default"/>
    <w:sig w:usb0="80000287" w:usb1="2ACF3C50" w:usb2="00000016" w:usb3="00000000" w:csb0="0004001F" w:csb1="00000000"/>
    <w:embedRegular r:id="rId5" w:fontKey="{340319A6-C21D-43C7-B3A0-8DC4F0403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968018"/>
      <w:docPartObj>
        <w:docPartGallery w:val="AutoText"/>
      </w:docPartObj>
    </w:sdtPr>
    <w:sdtContent>
      <w:p>
        <w:pPr>
          <w:pStyle w:val="6"/>
          <w:jc w:val="center"/>
        </w:pPr>
        <w:r>
          <w:fldChar w:fldCharType="begin"/>
        </w:r>
        <w:r>
          <w:instrText xml:space="preserve">PAGE   \* MERGEFORMAT</w:instrText>
        </w:r>
        <w:r>
          <w:fldChar w:fldCharType="separate"/>
        </w:r>
        <w:r>
          <w:rPr>
            <w:lang w:val="zh-CN"/>
          </w:rPr>
          <w:t>14</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compat>
    <w:spaceForUL/>
    <w:balanceSingleByteDoubleByteWidth/>
    <w:ulTrailSpace/>
    <w:doNotExpandShiftReturn/>
    <w:adjustLineHeightInTable/>
    <w:useFELayout/>
    <w:compatSetting w:name="compatibilityMode" w:uri="http://schemas.microsoft.com/office/word" w:val="12"/>
  </w:compat>
  <w:rsids>
    <w:rsidRoot w:val="00A06B92"/>
    <w:rsid w:val="00361684"/>
    <w:rsid w:val="00445B6C"/>
    <w:rsid w:val="00676BBD"/>
    <w:rsid w:val="006A5C00"/>
    <w:rsid w:val="00844614"/>
    <w:rsid w:val="00A06B92"/>
    <w:rsid w:val="00AC7343"/>
    <w:rsid w:val="00B927CB"/>
    <w:rsid w:val="00C85400"/>
    <w:rsid w:val="00CA2367"/>
    <w:rsid w:val="4648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uiPriority w:val="0"/>
    <w:pPr>
      <w:ind w:left="1680"/>
    </w:pPr>
  </w:style>
  <w:style w:type="paragraph" w:styleId="6">
    <w:name w:val="footer"/>
    <w:basedOn w:val="1"/>
    <w:link w:val="14"/>
    <w:uiPriority w:val="99"/>
    <w:pPr>
      <w:tabs>
        <w:tab w:val="center" w:pos="4153"/>
        <w:tab w:val="right" w:pos="8306"/>
      </w:tabs>
      <w:snapToGrid w:val="0"/>
      <w:jc w:val="left"/>
    </w:pPr>
    <w:rPr>
      <w:sz w:val="18"/>
      <w:szCs w:val="24"/>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24"/>
    </w:rPr>
  </w:style>
  <w:style w:type="paragraph" w:styleId="8">
    <w:name w:val="Normal (Web)"/>
    <w:basedOn w:val="1"/>
    <w:uiPriority w:val="0"/>
    <w:pPr>
      <w:spacing w:before="100" w:beforeAutospacing="1" w:after="100" w:afterAutospacing="1"/>
      <w:jc w:val="left"/>
    </w:pPr>
    <w:rPr>
      <w:rFonts w:ascii="宋体" w:cs="宋体"/>
      <w:kern w:val="0"/>
      <w:sz w:val="24"/>
      <w:szCs w:val="24"/>
    </w:rPr>
  </w:style>
  <w:style w:type="character" w:styleId="11">
    <w:name w:val="page number"/>
    <w:basedOn w:val="10"/>
    <w:uiPriority w:val="0"/>
  </w:style>
  <w:style w:type="paragraph" w:styleId="12">
    <w:name w:val="List Paragraph"/>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3">
    <w:name w:val="Default"/>
    <w:next w:val="5"/>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4">
    <w:name w:val="页脚 Char"/>
    <w:basedOn w:val="10"/>
    <w:link w:val="6"/>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2097</Words>
  <Characters>11959</Characters>
  <Lines>99</Lines>
  <Paragraphs>28</Paragraphs>
  <TotalTime>166</TotalTime>
  <ScaleCrop>false</ScaleCrop>
  <LinksUpToDate>false</LinksUpToDate>
  <CharactersWithSpaces>14028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2021-10-26T06:50:00Z</dcterms:created>
  <dc:creator>Administrator</dc:creator>
  <cp:lastModifiedBy>丫丫</cp:lastModifiedBy>
  <dcterms:modified xsi:type="dcterms:W3CDTF">2024-09-10T07:43:10Z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7A3C028D4A364586A7E3D7D088170E0E</vt:lpwstr>
  </property>
</Properties>
</file>