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ascii="仿宋_GB2312" w:eastAsia="仿宋_GB2312"/>
          <w:sz w:val="32"/>
          <w:szCs w:val="32"/>
          <w:highlight w:val="white"/>
        </w:rPr>
      </w:pP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2020年度益阳市赫山区林业局部门决算</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jc w:val="center"/>
        <w:rPr>
          <w:rFonts w:ascii="黑体" w:hAnsi="黑体" w:eastAsia="黑体"/>
          <w:sz w:val="32"/>
          <w:szCs w:val="32"/>
          <w:highlight w:val="white"/>
        </w:rPr>
      </w:pPr>
      <w:r>
        <w:rPr>
          <w:rFonts w:hint="eastAsia" w:ascii="黑体" w:hAnsi="黑体" w:eastAsia="黑体"/>
          <w:sz w:val="32"/>
          <w:szCs w:val="32"/>
          <w:highlight w:val="white"/>
        </w:rPr>
        <w:t>目 录</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第一部分</w:t>
      </w:r>
      <w:r>
        <w:rPr>
          <w:rFonts w:ascii="黑体" w:hAnsi="黑体" w:eastAsia="黑体"/>
          <w:sz w:val="32"/>
          <w:szCs w:val="32"/>
        </w:rPr>
        <w:t xml:space="preserve">  </w:t>
      </w:r>
      <w:r>
        <w:rPr>
          <w:rFonts w:hint="eastAsia" w:ascii="黑体" w:hAnsi="黑体" w:eastAsia="黑体"/>
          <w:sz w:val="32"/>
          <w:szCs w:val="32"/>
        </w:rPr>
        <w:t>益阳市赫山区林业</w:t>
      </w:r>
      <w:bookmarkStart w:id="0" w:name="_GoBack"/>
      <w:bookmarkEnd w:id="0"/>
      <w:r>
        <w:rPr>
          <w:rFonts w:hint="eastAsia" w:ascii="黑体" w:hAnsi="黑体" w:eastAsia="黑体"/>
          <w:sz w:val="32"/>
          <w:szCs w:val="32"/>
        </w:rPr>
        <w:t>局概况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一、部门职责</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二、机构设置</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第二部分  2020年度部门决算表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八、政府性基金预算财政拨款收入支出决算表</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九、国有资本经营预算财政拨款收入支出决算表</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第三部分  2020年度部门决算情况说明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二、收入决算情况说明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四、财政拨款收入支出决算总体情况说明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五、一般公共预算财政拨款支出决算情况说明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六、一般公共预算财政拨款基本支出决算情况说明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八、政府性基金预算收入支出决算情况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九、国有资本经营预算财政拨款支出决算情况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十、关于机关运行经费支出说明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十一、一般性支出情况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十二、关于政府采购支出说明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十三、关于国有资产占用情况说明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十四、关于2020年度预算绩效情况的说明</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第四部分  名词解释</w:t>
      </w:r>
    </w:p>
    <w:p>
      <w:pPr>
        <w:widowControl w:val="0"/>
        <w:spacing w:line="560" w:lineRule="exact"/>
        <w:ind w:firstLine="640" w:firstLineChars="200"/>
        <w:rPr>
          <w:rFonts w:ascii="黑体" w:hAnsi="黑体" w:eastAsia="黑体"/>
          <w:sz w:val="32"/>
          <w:szCs w:val="32"/>
        </w:rPr>
      </w:pPr>
      <w:r>
        <w:rPr>
          <w:rFonts w:hint="eastAsia" w:ascii="黑体" w:hAnsi="黑体" w:eastAsia="黑体"/>
          <w:sz w:val="32"/>
          <w:szCs w:val="32"/>
        </w:rPr>
        <w:t>第五部分  附件</w:t>
      </w:r>
    </w:p>
    <w:p>
      <w:pPr>
        <w:jc w:val="left"/>
        <w:rPr>
          <w:rFonts w:ascii="仿宋_GB2312" w:eastAsia="仿宋_GB2312"/>
          <w:sz w:val="32"/>
          <w:szCs w:val="32"/>
          <w:highlight w:val="white"/>
        </w:rPr>
      </w:pPr>
      <w:r>
        <w:rPr>
          <w:rFonts w:ascii="仿宋_GB2312" w:eastAsia="仿宋_GB2312"/>
          <w:sz w:val="32"/>
          <w:szCs w:val="32"/>
          <w:highlight w:val="white"/>
        </w:rPr>
        <w:br w:type="page"/>
      </w: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第一部分：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益阳市赫山区林业局概况</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一、部门职责</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一）贯彻执行国家和上级政府关于林业发展和生态环境建设及森林保护的方针、政策、法律、法规；拟定全区林业生态建设发展战略、中长期规划并组织实施；承担国家现代林业示范建设、林业生态文明建设的有关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二）负责全区林业和草原生态保护修复和造林绿化工作，以植树种草等生物措施防治水土流失；组织、指导、监督全民义务植树、造林绿化工作，承担区绿化委员会的具体工作；组织指导各类生态公益林和商品林的培育工作，负责指导林木种苗、林木花卉发展与培育。</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三）组织编制、审核森林采伐限额并监督执行，监督木材凭证采伐和审核发放采伐许可证；负责征占用林地初审，主管森林资源有偿使用并监督林地开发利用；组织协调山林权属纠纷调处；负责林木种子生产、经营许可管理工作；负责本区陆生野生动植物的保护管理和珍稀、濒危物种进出口管理；拟定及调整本区保护的野生动植物名录，经批准后执行。</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（四）负责组织协调林业有害生物的防治、检疫和预测预报工作；组织协调调处破坏森林资源和野生动植物资源的案件；协调林业产业与地方和部门之间的关系以及出现的问题。</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（五）负责落实综合防灾减灾规划相关要求，组织编制森林火灾防治规划和防护标准并指导实施，指导开展防火巡护、火源管理、防火设施建设等工作。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六）指导和监督林业系统财务工作，负责国家林业资金的投放使用和监督本区林业资金的使用管理，负责绿化费、野生动植物资源保护费、植被恢复费的征缴和使用；负责提出林业固定资产投资规模和方向，区财政性资金安排建议；按规定的权限，审批、核准、申报区规划内和年度计划内重点林业建设项目。</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七）推进林业改革，维护农民经营林业的合法权益；落实农村林业发展、维护农民经营林业合法权益的政策措施，指导监督农村林地承包经营和林地流转，指导、协调林权纠纷调处和林地承包合同纠纷仲裁；指导集体林场、森林公园及基层林业工作机构的建设和管理。</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八）拟定全区林业生产发展政策，合理调整林业产业发展布局，促进林业产业协调发展。监督检查各产业对森林、湿地和陆生野生动植物资源的开发利用；拟定林业资源优化配置政策，按照国家和省、市、区有关规定，组织指导林产品质量监督，森林资源开发的有关工作;指导山区综合开发，负责油茶等经济树种的开发利用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（九）配合区人民政府有关部门做好水土保持、农村能源发展、森林生态旅游资源的开发利用、丘岗山地综合开发等涉林方面的有关工作。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指导监督管理各类自然地保护，拟订全区自然保护区、风景名胜区、世界自然遗产、世界自然与文化双重遗产、地质遗迹、矿业遗迹、地质公园等各类自然保护地的政策措施；负责各类自然保护地管理，提出新建、调整各类各级自然保护地的审核建议并按程序报批；承担世界自然遗产项目和世界自然与文化双重遗产项目的申报；负责生物多样性保护相关工作。</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（十一）负责指导全区林业队伍的建设。</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（十二）完成区委、区政府交办的其他任务。</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二、机构设置</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（一）内设机构设置</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益阳市赫山区林业局单位内设机构包括：办公室、造林绿化股（区退耕还林办公室）、森林资源管理股、自然保护地管理股（野生动植物保护股）、政策法规股（政务服务股）、规划财务股、产业发展与科技股、人事教育股。</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（二）决算单位构成</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益阳市赫山区林业局单位2020年部门决算汇总公开单位构成包括：林业局部门本级。</w:t>
      </w:r>
    </w:p>
    <w:p>
      <w:pPr>
        <w:widowControl w:val="0"/>
        <w:spacing w:line="560" w:lineRule="exact"/>
        <w:ind w:firstLine="640" w:firstLineChars="200"/>
        <w:rPr>
          <w:rFonts w:ascii="仿宋_GB2312" w:eastAsia="仿宋_GB2312"/>
          <w:sz w:val="32"/>
          <w:szCs w:val="32"/>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w:t>
      </w:r>
      <w:r>
        <w:rPr>
          <w:rFonts w:ascii="黑体" w:hAnsi="黑体" w:eastAsia="黑体"/>
          <w:sz w:val="32"/>
          <w:szCs w:val="32"/>
          <w:highlight w:val="white"/>
        </w:rPr>
        <w:t>二部分：</w:t>
      </w:r>
    </w:p>
    <w:p>
      <w:pPr>
        <w:widowControl w:val="0"/>
        <w:spacing w:line="560" w:lineRule="exact"/>
        <w:jc w:val="center"/>
        <w:rPr>
          <w:rFonts w:ascii="方正小标宋简体" w:eastAsia="方正小标宋简体"/>
          <w:sz w:val="38"/>
          <w:szCs w:val="38"/>
          <w:highlight w:val="white"/>
        </w:rPr>
      </w:pPr>
      <w:r>
        <w:rPr>
          <w:rFonts w:hint="eastAsia" w:ascii="方正小标宋简体" w:eastAsia="方正小标宋简体"/>
          <w:sz w:val="38"/>
          <w:szCs w:val="38"/>
          <w:highlight w:val="white"/>
        </w:rPr>
        <w:t>益阳市赫山区林业局2020年度部门决算表（见附表）</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第三部分：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益阳市赫山区林业局2020年度部门决算情况说明</w:t>
      </w:r>
    </w:p>
    <w:p>
      <w:pPr>
        <w:widowControl w:val="0"/>
        <w:spacing w:line="560" w:lineRule="exact"/>
        <w:ind w:firstLine="640" w:firstLineChars="200"/>
        <w:rPr>
          <w:rFonts w:ascii="黑体" w:hAnsi="黑体" w:eastAsia="黑体"/>
          <w:sz w:val="32"/>
          <w:szCs w:val="32"/>
          <w:highlight w:val="white"/>
        </w:rPr>
      </w:pP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一、收入支出决算总体情况说明</w:t>
      </w:r>
    </w:p>
    <w:p>
      <w:pPr>
        <w:widowControl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2020年度收入3679.08万元，年初结转和结余847.37万元，收入总计4526.45万元，与2019年度收入相比，收入增加755.79万元，增长25.85%，主要原因是：因新冠肺炎疫情防控增加禁食陆生野生动物退出补偿资金800.89万元。</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本年支出3722.04万元，年末结转和结余804.40万元，支出总计4526.45万元，较2019年支出增加了550.07万元，增长17.34%，主要原因是项目支出增加。</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w:t>
      </w:r>
      <w:r>
        <w:rPr>
          <w:rFonts w:ascii="黑体" w:hAnsi="黑体" w:eastAsia="黑体"/>
          <w:sz w:val="32"/>
          <w:szCs w:val="32"/>
          <w:highlight w:val="white"/>
        </w:rPr>
        <w:t>、</w:t>
      </w:r>
      <w:r>
        <w:rPr>
          <w:rFonts w:hint="eastAsia" w:ascii="黑体" w:hAnsi="黑体" w:eastAsia="黑体"/>
          <w:sz w:val="32"/>
          <w:szCs w:val="32"/>
          <w:highlight w:val="white"/>
        </w:rPr>
        <w:t>收入决算情况说明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本年收入合计4526.45万元，其中：一般公共预算财政拨款收入3679.08万元，占81.28%，年初结转和结余847.37万元，占18.72%。</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w:t>
      </w:r>
      <w:r>
        <w:rPr>
          <w:rFonts w:ascii="黑体" w:hAnsi="黑体" w:eastAsia="黑体"/>
          <w:sz w:val="32"/>
          <w:szCs w:val="32"/>
          <w:highlight w:val="white"/>
        </w:rPr>
        <w:t>、</w:t>
      </w:r>
      <w:r>
        <w:rPr>
          <w:rFonts w:hint="eastAsia" w:ascii="黑体" w:hAnsi="黑体" w:eastAsia="黑体"/>
          <w:sz w:val="32"/>
          <w:szCs w:val="32"/>
          <w:highlight w:val="white"/>
        </w:rPr>
        <w:t>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本年支出3,722.04万元，其中：基本支出1,078.25万元，占28.97%；项目支出2643.79万元，占71.03%，年末结转和结余804.40万元，支出总计4526.45万元。</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 xml:space="preserve">四、财政拨款收入支出决算总体情况说明 </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收入总计3679.08万元，较2019年增加755.79万元，增长25.85%，主要原因是：因新冠肺炎疫情防控增加禁食陆生野生动物退出补偿资金800.89万元。本年财政拨款支出总计3722.04万元，较2019年增加550.07万元，增长17.34%。主要原因是：项目支出增加，基本支出减少。</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w:t>
      </w:r>
      <w:r>
        <w:rPr>
          <w:rFonts w:ascii="黑体" w:hAnsi="黑体" w:eastAsia="黑体"/>
          <w:sz w:val="32"/>
          <w:szCs w:val="32"/>
          <w:highlight w:val="white"/>
        </w:rPr>
        <w:t>、</w:t>
      </w:r>
      <w:r>
        <w:rPr>
          <w:rFonts w:hint="eastAsia" w:ascii="黑体" w:hAnsi="黑体" w:eastAsia="黑体"/>
          <w:sz w:val="32"/>
          <w:szCs w:val="32"/>
          <w:highlight w:val="white"/>
        </w:rPr>
        <w:t>一般公共预算财政拨款支出决算情况说明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（一）财政拨款支出决算总体情况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3722.04万元，占本年支出合计的100%。与2019年度相比，财政拨款支出增加550.07万元，增长17.34%,主要原因是：因新冠疫情防控工作增加禁食陆生野生动物退出补偿资金800.89万元；因乡镇林业站转隶，林业局人员减少，人员经费下降。</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（二）财政拨款支出决算结构情况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3722.04万元，主要用于以下方面：科学技术（类）支出1.2万元，占0.03%；社会保障和就业（类）支出76.92万元，占2.07%；卫生健康（类）支出62.21万元，占1.67%；节能环保（类）支出280.52万元，占7.54%；农林水（类）支出3234.35万元，占86.9%；住房保障（类）支出56.84万元，占1.53%；灾害防治及应急管理（类）支出10万元，占0.27%。</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（三）财政拨款支出决算具体情况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2020年度财政拨款支出年初预算为1108.78万元，支出决算为3,722.04万元，完成年初预算的297.9%。决算数大于预算数的原因是：调整预算增加了2613.26万元。</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六、一般公共预算财政拨款基本支出决算情况说明</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rPr>
        <w:t>2020年度财政拨款基本支出1,078.25万元，其中:人员经费858.12万元，占基本支出的79.58%，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177.11万元，占基本支出的16.43%，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七、一般公共预算财政拨款“三公”经费支出决算情况说明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（一）“三公”经费财政拨款支出决算总体情况说明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2020年度“三公”经费财政拨款支出预算为30万元，支出决算为1.8万元,完成预算的6%，其中：</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其中：无因公出国（境）费支出预算与决算。</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公务用车购置费及运行维护费支出预算为10万元，支出决算为1.28万元,完成预算的12.8%。减少的主要原因是是认真贯彻落实</w:t>
      </w:r>
      <w:r>
        <w:rPr>
          <w:rFonts w:hint="eastAsia" w:ascii="仿宋_GB2312" w:eastAsia="仿宋_GB2312"/>
          <w:sz w:val="32"/>
          <w:szCs w:val="32"/>
          <w:highlight w:val="white"/>
          <w:lang w:eastAsia="zh-CN"/>
        </w:rPr>
        <w:t>中央八项规定</w:t>
      </w:r>
      <w:r>
        <w:rPr>
          <w:rFonts w:hint="eastAsia" w:ascii="仿宋_GB2312" w:eastAsia="仿宋_GB2312"/>
          <w:sz w:val="32"/>
          <w:szCs w:val="32"/>
          <w:highlight w:val="white"/>
        </w:rPr>
        <w:t>精神和厉行节约要求，从严控制“三公”经费开支，全年实际支出比预算有所节约。</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公务接待费支出预算为20万元，支出决算为0.51万元,完成预算的2.55%，决算数小于预算数的主要原因是是认真贯彻落实</w:t>
      </w:r>
      <w:r>
        <w:rPr>
          <w:rFonts w:hint="eastAsia" w:ascii="仿宋_GB2312" w:eastAsia="仿宋_GB2312"/>
          <w:sz w:val="32"/>
          <w:szCs w:val="32"/>
          <w:highlight w:val="white"/>
          <w:lang w:eastAsia="zh-CN"/>
        </w:rPr>
        <w:t>中央八项规定</w:t>
      </w:r>
      <w:r>
        <w:rPr>
          <w:rFonts w:hint="eastAsia" w:ascii="仿宋_GB2312" w:eastAsia="仿宋_GB2312"/>
          <w:sz w:val="32"/>
          <w:szCs w:val="32"/>
          <w:highlight w:val="white"/>
        </w:rPr>
        <w:t>精神和厉行节约要求，从严控制“三公”经费开支，全年实际支出比预算有所节约。</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（二）“三公”经费财政拨款支出决算具体情况说明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度“三公”经费财政拨款支出决算中，因公出国（境）费支出决算0万元，公务用车购置费及运行维护费支出决算1.28万元，占71.11%；公务接待费支出决算0.51万元，占28.33%。其中：公务用车购置及运行费支出决算为1.28万元，其中：公务用车运行支出1.28万元。主要是按规定保留的公务用车的燃料费、维修费、过桥过路费、保险费、安全奖励费用等支出。截至2020年12月31日，机关单位开支财政拨款的公务用车保有量为1辆。公务接待费支出决算为0.51万元，其中：其他国内公务接待支出0.51万元。主要用于与有关单位交流工作情况及接受相关部门检查指导工作发生的接待支出。益阳市赫山区林业局2020年共接待国内公务接待批次4个、接待人次60人次（不包括陪同人员）。</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八、政府性基金预算收入支出决算情况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2020年本单位没有使用政府性基金预算财政拨款安排的收支。</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九、国有资本经营预算财政拨款收入支出决算情况</w:t>
      </w:r>
    </w:p>
    <w:p>
      <w:pPr>
        <w:widowControl w:val="0"/>
        <w:spacing w:line="560" w:lineRule="exact"/>
        <w:ind w:firstLine="640" w:firstLineChars="200"/>
        <w:rPr>
          <w:rFonts w:ascii="仿宋_GB2312" w:eastAsia="仿宋_GB2312"/>
          <w:sz w:val="32"/>
          <w:szCs w:val="32"/>
        </w:rPr>
      </w:pPr>
      <w:r>
        <w:rPr>
          <w:rFonts w:hint="eastAsia" w:ascii="仿宋_GB2312" w:eastAsia="仿宋_GB2312"/>
          <w:sz w:val="32"/>
          <w:szCs w:val="32"/>
          <w:highlight w:val="white"/>
        </w:rPr>
        <w:t>2020年本单位无国有资本经营财政拨款，也没有国有资本经营支出。</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十、关于机关运行经费支出说明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益阳市赫山区林业局2020年机关运行经费支出220.13万元。比年初预算数减少114.17万元。减少34.15%，主要原因是：厉行节约加强机关运行经费管理，机关运行费用有所节约；</w:t>
      </w:r>
      <w:r>
        <w:rPr>
          <w:rFonts w:hint="eastAsia" w:ascii="仿宋_GB2312" w:eastAsia="仿宋_GB2312"/>
          <w:sz w:val="32"/>
          <w:szCs w:val="32"/>
        </w:rPr>
        <w:t>乡镇林业站转隶，林业局人员减少。</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十一、一般性支出情况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本部门开支会议费5.36万元，用于召开2020年常益张（常德、益阳、张家界）林业有害生物联防联治会议及林业站森林防火会议，联防联治会议人数116人，内容为常益张边界重大林业有害生物联防联治工作；林业站森林防火会议8次。开支培训费0万元；举办节庆、晚会、论坛、赛事活动开支0万元。</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十二、关于政府采购支出说明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益阳市赫山区林业局2020年度政府采购支出总额0.02万元，其中：政府采购货物支出0.01万元；政府采购工程支出0.01万元；政府采购服务支出0.01万元； 授予中小企业合同金额0.02万元，占政府采购支出总额的100%， 其中：授予小微企业合同金额0.02万元，占政府采购支出总额的100%。</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十三、关于国有资产占有情况说明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截至2020年12月31日，益阳市赫山区林业局共有车辆1辆。其中：执法执勤用车1辆。年末无单价50万元以上通用设备，年末无单价100万元以上专用设备。</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十四、关于2020年度预算绩效情况的说明</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我局成立了局长为组长，业务分管领导为副组长，业务股室负责人为成员的绩效评价工作小组，主要负责林业局部门绩效自评工作的组织领导和具体实施。根据年初设定的绩效目标我们制定了切实可行的评价方案。根据各业务股室提交的工作计划、工作总结等资料，评价小组现场进行询查和核实，根据确定的评价指标、评价标准和评价方法统一打分，形成自评结论。部门整体支出绩效自评报告及其他按要求应公开的绩效信息均按要求在部门门户网站对外公开，接受社会监督。经相关业务股室全面综合评价，我局2020年度部门整体支出绩效自评分为93分，评价等级为“优”。</w:t>
      </w:r>
    </w:p>
    <w:p>
      <w:pPr>
        <w:widowControl w:val="0"/>
        <w:spacing w:line="560" w:lineRule="exact"/>
        <w:ind w:firstLine="640" w:firstLineChars="200"/>
        <w:rPr>
          <w:rFonts w:ascii="仿宋_GB2312" w:eastAsia="仿宋_GB2312"/>
          <w:sz w:val="32"/>
          <w:szCs w:val="32"/>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第四部分：</w:t>
      </w:r>
    </w:p>
    <w:p>
      <w:pPr>
        <w:widowControl w:val="0"/>
        <w:spacing w:line="560" w:lineRule="exact"/>
        <w:jc w:val="center"/>
        <w:rPr>
          <w:rFonts w:ascii="方正小标宋简体" w:eastAsia="方正小标宋简体"/>
          <w:sz w:val="42"/>
          <w:szCs w:val="42"/>
          <w:highlight w:val="white"/>
        </w:rPr>
      </w:pPr>
      <w:r>
        <w:rPr>
          <w:rFonts w:hint="eastAsia" w:ascii="方正小标宋简体" w:eastAsia="方正小标宋简体"/>
          <w:sz w:val="42"/>
          <w:szCs w:val="42"/>
          <w:highlight w:val="white"/>
        </w:rPr>
        <w:t>名词解释</w:t>
      </w:r>
    </w:p>
    <w:p>
      <w:pPr>
        <w:widowControl w:val="0"/>
        <w:spacing w:line="560" w:lineRule="exact"/>
        <w:ind w:firstLine="640" w:firstLineChars="200"/>
        <w:rPr>
          <w:rFonts w:ascii="仿宋_GB2312" w:eastAsia="仿宋_GB2312"/>
          <w:sz w:val="32"/>
          <w:szCs w:val="32"/>
          <w:highlight w:val="white"/>
        </w:rPr>
      </w:pP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财政拨款收入：指本级财政当年拨付的资金。上年结转和结余：指以前年度尚未完成、结转到本年按有关规定继续使用的资金。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年末结转和结余资金：指本年度或以前年度预算安排、因客观条件发生变化无法按原计划实施，需要延迟到以后年度按有关规定继续使用的资金。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科学技术支出（类）：是指用于科学技术方面的支出，包括保障机构正常运转、完成日常和特定的工作任务或事业发展目标的支出。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卫生健康支出（类）：是指用于医疗卫生与计划生育方面的支出，包括保障机构正常运转、完成日常和特定的工作任务或事业发展目标的支出。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节能环保支出（类）：是指用于节能环保支出，包括保障机构正常运转、完成日常和特定的工作任务或事业发展目标的支出。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农林水支出（类）：是指用于农林水事务支出，包括保障机构正常运转、完成日常和特定的工作任务或事业发展目标的支出。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住房保障支出（类）：是指用于住房方面的支出，包括保障机构正常运转、完成日常和特定的工作任务或事业发展目标的支出。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灾害防治及应急管理支出（类）：是指用于反映政府用于自然灾害防治、安全生产监管及应急管理等方面的支出，包括保障机构正常运转、完成日常和特定的工作任务或事业发展目标的支出。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基本支出：指保障机构正常运转、完成支日常工作任务而发生的人员支出和公用支出。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项目支出：指在基本支出之外为完成特定行政任务和事业发展目标所发生的支出。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工资福利支出：反映单位开支的在职职工和编制外长期聘用人员的各类劳动报酬，以及为上述人员缴纳的各项社会保险费等。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津贴补贴：反映经国家批准建立的机关事业单位艰苦边远地区津贴、机关工作人员地区附加津贴、机关工作人员岗位津贴、事业单位工作人员特殊岗位津贴补贴等。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奖金：反映机关工作人员年终一次性奖金。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伙食补助费：反映单位发给职工的伙食补助费，如误餐补助等。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绩效工资：反映事业单位工作人员的绩效工资。</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机关事业单位基本养老保险缴费：反映机关事业单位缴纳的基本养老保险费。由单位代扣的工作人员基本养老保险缴费，不在此科目反映。</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职业年金缴费：反映机关事业单位实际缴纳的职业年金支出。由单位代扣的工作人员职业年金缴费，不在此科目反映。</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职工基本医疗保险缴费：反映单位为职工缴纳的基本医疗保险费。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其他社会保障缴费：反映单位为职工缴纳的基本医疗、失业、工伤、生育等社会保险费，残疾人就业保障金，军队（含武警）为军人缴纳的伤亡、退役医疗等社会保险费。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住房公积金：反映行政事业单位按人力资源和社会保障部、财政部规定的基本工资和津贴补贴以及规定比例为职工缴纳的住房公积金。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医疗费：反映未参加医疗保险单位的医疗经费和单位按规定为职工支出的其他医疗费用。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商品和服务支出：反映单位购买商品和服务的支出（不包括用于购置固定资产的支出、战略性和应急储备支出）。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办公费：反映单位购买按财务会计制度规定不符合固定资产确认标准的日常办公用品、书报杂志等支出。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印刷费：反映单位的印刷费支出。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水费：反映单位支付的水费、污水处理费等支出。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邮电费：反映单位的电费支出。邮电费：反映单位开支的信函、包裹、货物等物品的邮寄费及电话费、电报费、传真费、网络通讯费等。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物业管理费：反映单位开支的办公用房以及未实行职工住宅物业服务改革的在职职工和离退休人员宿舍等的物业管理费，包括综合治理、绿化、卫生等方面的支出。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差旅费：反映单位工作人员出差发生的城市间交通费、住宿费、伙食补贴费和市内交通费。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维修(护)费：反映单位日常开支的固定资产（不包括车船等交通工具）修理和维护费用，网络信息系统运行与维护费用，以及按规定提取的修购基金。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会议费：反映会议中按规定开支的住宿费、伙食费、会议室租金、交通费、文件印刷费、医药费等。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公务接待费：反映单位按规定开支的各类公务接待（含外宾接待）费用。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劳务费：反映支付给单位和个人的劳务费用，如临时聘用人员、钟点工工资，稿费、翻译费，评审费等。委托业务费：反映因委托外单位办理业务而支付的委托业务费。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工会经费：反映单位按规定提取的工会经费。</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公务用车运行维护费：反映单位按规定保留的公务用车燃料费、维修费、过桥过路费、保险费、安全奖励费用等支出。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其他交通费用：反映单位除公务用车运行维护费以外的其他交通费用。如公务交通补贴，租车费用、出租车费用，飞机、船舶等的燃料费、维修费、保险费等。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其他商品和服务支出：反映上述科目未包括的日常公用支出。如行政赔偿费和诉讼费、国内组织的会员费、来访费、广告宣传、其他劳务费及离休人员特需费、公用经费等。</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对个人和家庭的补助：反映政府用于对个人和家庭的补助支出。</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退休费：反映行政事业单位和军队移交政府安置的退休人员的退休费和其他补贴。</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抚恤金：反映按规定开支的烈士遗属、牺牲病故人员遗属的一次性和定期抚恤金，伤残人员的抚恤金，离退休人员等其他人员的各项抚恤金。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pPr>
        <w:widowControl w:val="0"/>
        <w:spacing w:line="560" w:lineRule="exact"/>
        <w:ind w:firstLine="624" w:firstLineChars="200"/>
        <w:rPr>
          <w:rFonts w:ascii="仿宋_GB2312" w:eastAsia="仿宋_GB2312"/>
          <w:sz w:val="32"/>
          <w:szCs w:val="32"/>
          <w:highlight w:val="white"/>
        </w:rPr>
      </w:pPr>
      <w:r>
        <w:rPr>
          <w:rFonts w:hint="eastAsia" w:ascii="仿宋_GB2312" w:eastAsia="仿宋_GB2312"/>
          <w:spacing w:val="-4"/>
          <w:sz w:val="32"/>
          <w:szCs w:val="32"/>
          <w:highlight w:val="white"/>
        </w:rPr>
        <w:t>奖励金：反映政府各部门的奖励支出，如对个体私营经济的奖励、计划生育目标责任奖励、独生子女父母奖励等。办公设备购置：反映用于购置并按财务会计制度规定纳入固定资产核算范围的办公家具和办公设备的支出，以及按规定提取的修购基金。信息网络及软件购置更新：反映政府用于信息网络方面的支出。如计算机硬件、软件购置、开发、应用支出等，如果购建的计算机硬件、软件等不符合财务会计制度规定的固定资产确认标准的，不在此科目反映</w:t>
      </w:r>
      <w:r>
        <w:rPr>
          <w:rFonts w:hint="eastAsia" w:ascii="仿宋_GB2312" w:eastAsia="仿宋_GB2312"/>
          <w:sz w:val="32"/>
          <w:szCs w:val="32"/>
          <w:highlight w:val="white"/>
        </w:rPr>
        <w:t>。</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widowControl w:val="0"/>
        <w:spacing w:line="560" w:lineRule="exact"/>
        <w:ind w:firstLine="640" w:firstLineChars="200"/>
        <w:rPr>
          <w:rFonts w:ascii="仿宋_GB2312" w:eastAsia="仿宋_GB2312"/>
          <w:sz w:val="32"/>
          <w:szCs w:val="32"/>
        </w:rPr>
      </w:pPr>
    </w:p>
    <w:p>
      <w:pPr>
        <w:widowControl w:val="0"/>
        <w:spacing w:line="560" w:lineRule="exact"/>
        <w:rPr>
          <w:rFonts w:ascii="黑体" w:hAnsi="黑体" w:eastAsia="黑体"/>
          <w:sz w:val="32"/>
          <w:szCs w:val="32"/>
          <w:highlight w:val="white"/>
        </w:rPr>
      </w:pPr>
      <w:r>
        <w:rPr>
          <w:rFonts w:hint="eastAsia" w:ascii="黑体" w:hAnsi="黑体" w:eastAsia="黑体"/>
          <w:sz w:val="32"/>
          <w:szCs w:val="32"/>
          <w:highlight w:val="white"/>
        </w:rPr>
        <w:t>第五部分：附件</w:t>
      </w:r>
    </w:p>
    <w:p>
      <w:pPr>
        <w:widowControl w:val="0"/>
        <w:spacing w:line="560" w:lineRule="exact"/>
        <w:jc w:val="center"/>
        <w:rPr>
          <w:rFonts w:ascii="方正小标宋简体" w:eastAsia="方正小标宋简体"/>
          <w:sz w:val="42"/>
          <w:szCs w:val="42"/>
        </w:rPr>
      </w:pPr>
      <w:r>
        <w:rPr>
          <w:rFonts w:hint="eastAsia" w:ascii="方正小标宋简体" w:eastAsia="方正小标宋简体"/>
          <w:sz w:val="42"/>
          <w:szCs w:val="42"/>
        </w:rPr>
        <w:t>区林业局2020年度部门整体支出绩效评价报告</w:t>
      </w:r>
    </w:p>
    <w:p>
      <w:pPr>
        <w:widowControl w:val="0"/>
        <w:spacing w:line="560" w:lineRule="exact"/>
        <w:ind w:firstLine="640" w:firstLineChars="200"/>
        <w:rPr>
          <w:rFonts w:ascii="仿宋_GB2312" w:eastAsia="仿宋_GB2312"/>
          <w:sz w:val="32"/>
          <w:szCs w:val="32"/>
        </w:rPr>
      </w:pP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rPr>
        <w:t>根</w:t>
      </w:r>
      <w:r>
        <w:rPr>
          <w:rFonts w:hint="eastAsia" w:ascii="仿宋_GB2312" w:eastAsia="仿宋_GB2312"/>
          <w:sz w:val="32"/>
          <w:szCs w:val="32"/>
          <w:highlight w:val="white"/>
        </w:rPr>
        <w:t>据《益阳市赫山区财政局关于做好2020年度预算绩效自评工作的通知》（益赫财绩〔2021〕1号）文件精神，我局对2020年度部门整体支出绩效进行了全面的综合评价。部门整体支出重点评价津贴补贴政策落实情况、资产管理情况、三公经费控制及预算决算公开情况、存量资金管理情况、</w:t>
      </w:r>
      <w:r>
        <w:rPr>
          <w:rFonts w:hint="eastAsia" w:ascii="仿宋_GB2312" w:eastAsia="仿宋_GB2312"/>
          <w:sz w:val="32"/>
          <w:szCs w:val="32"/>
          <w:highlight w:val="white"/>
          <w:lang w:eastAsia="zh-CN"/>
        </w:rPr>
        <w:t>区委区政府</w:t>
      </w:r>
      <w:r>
        <w:rPr>
          <w:rFonts w:hint="eastAsia" w:ascii="仿宋_GB2312" w:eastAsia="仿宋_GB2312"/>
          <w:sz w:val="32"/>
          <w:szCs w:val="32"/>
          <w:highlight w:val="white"/>
        </w:rPr>
        <w:t>年度绩效目标个性指标完成情况和其他应该重点评价的内容等。经相关业务股室全面综合评价，我局2020年度部门整体支出绩效自评分为93分，评价等级为“优”。现将自评情况汇报如下：</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一、部门基本情况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益阳市赫山区林业局属区政府工作部门，为正科级，编办核定我局及所属事业单位全额编制39名，2020年年末实有在职人数46名，其中全额人员44名，自收自支2名。</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二、一般公共预算支出情况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部门整体支出情况：2020年年初结转结余资金8473666.88元。2020年部门整体收入36790802元，其中一般公共预算财政拨款收入36790802元。部门整体支出37220441.76元，其中基本支出10782529.90元，项目支出26437911.86元。部门年末结转结余资金8044027.12元，其中基本支出结转结余资金8044027.12元，较上年减少429639.76元，结转结余率为24.71%。部门本年预算批复数32553946元，预算完成数37220441.76元，预算执行率为114.33%。</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（一）基本支出情况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基本支出10782529.90元，其中人员支出8581230.42元，占基本支出79.58%；公用经费支出2201299.48元，占基本支出20.42%，基本支出主要是为保障行政机关管理工作正常运转而发生的必要费用。局机关遵循厉行节约的原则，严控 “三公”经费支出，2020年 “三公”经费支出17968.29元，较上年减少36132.74元， “三公经费”控制率为5.9%。2020年公用经费支出2201299.48元，较上年减少1226122.33元，公用经费控制率为48.29%，机关运行成本较上年有所减少。</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（二）项目支出情况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项目支出26437911.86元,其中行政事业类项目支出26437911.86元。林业专项资金主要用于造林、森林培育、森林防火、森林资源管理、林业监督与执法、林业有害生物防治、野生动物退出补偿等方面。</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我局严格按照局机关《财务管理制度》等各项内部控制制度执行财务管理，资金使用按照会审程序办理，资金支出执行区财政国库集中支付制度,会计核算严格按照政府会计准则执行，确保了资金支出的规范化、合理化、制度化。资产管理严格按照财务制度进行管理。固定资产严格按照 《益阳市赫山区财政局关于转发〈益阳市2020年政府集中采购目录及政府采购限额标准〉的通知》（益赫财采〔2020〕1号）文件依法依规按程序办理政府采购进行配置。固定资产处置按流程办理审批手续后进行处置。部门预决算公开严格按照预决算文件要求执行，在财政局批复后20个工作日内在林业局门户网站及时公开，接受社会的监督。全年预算资金按规定管理使用，较好的完成了全年预算目标任务。</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三、部门整体支出绩效情况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（一）部门整体支出绩效目标任务</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全年完成营造林任务3.6万亩其中人工造林1.1万亩，封山育林2.9万亩，退化林修复，森林抚育3万亩。通过大力实施营造林工程，不断增加区内森林面积和资源总量，提高林分质量，提高绿化率，保持区内森林覆盖率稳定。</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2.全区义务植树160万株，全民义务植树52万人，全民义务植树尽责率达95%以上。</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确保林地保有量达3.86万公顷；保持林地面积保有率100%。保护现有公益林面积，管护公益林25.15万亩，管护率达到100%。控制我区木材采伐量，年森林采伐消耗控制在0.75万立方米以内，确保生长量大于采伐量。确保森林覆盖率达32.5%，保持森林覆盖率稳定率100%。提高活立木蓄积量，确保活立木蓄积达到177万立方米，比2019年同比增长4%。</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4.加强林业有害生物防治，确保林业有害生物成灾率控制在3.3‰以下，无公害防治率达到80%以上，测报准确率达90%以上，种苗产地检疫率达100%，松材线虫病监测普查率100%，疫区感病枯死松树控制在万分之一以内。积极预防林业有害生物，减少我区林木资源受害面积，最大限度保护现有林木资源。</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5.加强森林防火工作，确保森林火灾受害率控制在0.9‰以内。最大限度地减少森林火灾的发生面积和次数，确保不发生重特大森林火灾及人员伤亡事故，确保森林资源和人民生命财产安全。</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6.立项争资1860万元。通过积极争取上级林业项目资金，进一步助推我区林业产业发展。</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（二）部门整体支出绩效目标任务完成情况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2020年我局在区委区政府的坚强领导下，在全局干职工的共同努力下，不断深化林业改革，加强森林资源管护，加快林业产业转型升级，全区林业经济健康、持续、协调发展，成效显著，各项目标任务全面高效完成，得到了省、市、区的充分肯定。2020年林业局部门整体支出绩效目标任务完成情况如下：</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1.2020年全年完成营造林任务10.4万亩，其中人工造林1.1万亩，任务完成率为100%。全区农村人居环境整治美丽村庄建设造林绿化三年任务己完成，绿化美化村庄数113个，占全区村（社区）总数的70%。获国家、省级认定的绿化美化村庄59个自然村，达到森林村庄标准村数54个，其中八字哨镇的高粱坪村、泥江口镇的大桥村、新市渡镇的自搭桥村、龙光桥街道办事处的锣鼓村获得了国家林业和草原局授予的“国家森林乡村”称号。</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2.全民参与义务植树任务人数52.8万人，尽责率达85%。</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3.全区林地面积38617.3公顷，林地保有量稳定率100%。公益林管护面积25.05万亩（省级核减0.1万亩），管护率达100%。林木采伐面积66.79公顷，采伐蓄积4861.46立方米,年森林采伐消耗控制在0.75万立方米以内，确保了林木生长量大于采伐量。全区森林覆盖率为35.2%，比上年提高0.21个百分点,森林覆盖率稳定率100%；森林总蓄积量达到184.1万立方米，年增长率达4%。</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4.全区林业有害生物发生面积12740亩, 成灾率为3.1‰，林业有害生物成灾率控制在3.3‰以下。</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5.全区共发生森林火灾山火8起，过火面积69.6亩,森林火灾受害率控制在0.9‰以内。</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6.全年完成立项争资1875.6万元，完成了计划任务的100.84%。</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四、绩效评价工作情况</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（一）绩效评价目的</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加强和改进新形势下赫山林业工作，进一步理清部门职责，规范林业资金管理，强化资金使用效益意识，提升林业资金管理水平。</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（二）绩效评价工作过程</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我局成立了局长为组长，业务分管领导为副组长，业务股室负责人为成员的绩效评价工作小组，主要负责林业局部门绩效自评工作的组织领导和具体实施。根据年初设定的绩效目标我们制定了切实可行的评价方案。根据各业务股室提交的工作计划、工作总结等资料，评价小组现场进行询查和核实，根据确定的评价指标、评价标准和评价方法统一打分，形成自评结论。部门整体支出绩效自评报告及其他按要求应公开的绩效信息均按要求在部门门户网站对外公开，接受社会监督。</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五、存在的问题及原因分析</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单位部分项目资金支付进度滞后,影响部门预算执行力度。</w:t>
      </w:r>
    </w:p>
    <w:p>
      <w:pPr>
        <w:widowControl w:val="0"/>
        <w:spacing w:line="560" w:lineRule="exact"/>
        <w:ind w:firstLine="640" w:firstLineChars="200"/>
        <w:rPr>
          <w:rFonts w:ascii="黑体" w:hAnsi="黑体" w:eastAsia="黑体"/>
          <w:sz w:val="32"/>
          <w:szCs w:val="32"/>
          <w:highlight w:val="white"/>
        </w:rPr>
      </w:pPr>
      <w:r>
        <w:rPr>
          <w:rFonts w:hint="eastAsia" w:ascii="黑体" w:hAnsi="黑体" w:eastAsia="黑体"/>
          <w:sz w:val="32"/>
          <w:szCs w:val="32"/>
          <w:highlight w:val="white"/>
        </w:rPr>
        <w:t>六、下一步改进措施</w:t>
      </w:r>
    </w:p>
    <w:p>
      <w:pPr>
        <w:widowControl w:val="0"/>
        <w:spacing w:line="560" w:lineRule="exact"/>
        <w:ind w:firstLine="640" w:firstLineChars="200"/>
        <w:rPr>
          <w:rFonts w:ascii="仿宋_GB2312" w:eastAsia="仿宋_GB2312"/>
          <w:sz w:val="32"/>
          <w:szCs w:val="32"/>
          <w:highlight w:val="white"/>
        </w:rPr>
      </w:pPr>
      <w:r>
        <w:rPr>
          <w:rFonts w:hint="eastAsia" w:ascii="仿宋_GB2312" w:eastAsia="仿宋_GB2312"/>
          <w:sz w:val="32"/>
          <w:szCs w:val="32"/>
          <w:highlight w:val="white"/>
        </w:rPr>
        <w:t>规范项目资金管理，加快项目资金支出进度，提高专项资金的使用效益。</w:t>
      </w:r>
    </w:p>
    <w:p>
      <w:pPr>
        <w:spacing w:beforeLines="50" w:afterLines="50"/>
        <w:jc w:val="center"/>
        <w:rPr>
          <w:rFonts w:ascii="方正小标宋简体" w:eastAsia="方正小标宋简体"/>
          <w:sz w:val="36"/>
          <w:szCs w:val="24"/>
        </w:rPr>
      </w:pPr>
      <w:r>
        <w:rPr>
          <w:rFonts w:ascii="方正小标宋简体" w:eastAsia="方正小标宋简体" w:cs="方正小标宋简体"/>
          <w:sz w:val="36"/>
          <w:szCs w:val="36"/>
        </w:rPr>
        <w:t>2020</w:t>
      </w:r>
      <w:r>
        <w:rPr>
          <w:rFonts w:hint="eastAsia" w:ascii="方正小标宋简体" w:eastAsia="方正小标宋简体" w:cs="方正小标宋简体"/>
          <w:sz w:val="36"/>
          <w:szCs w:val="36"/>
        </w:rPr>
        <w:t>年度部门整体支出绩效自评指标计分表</w:t>
      </w:r>
    </w:p>
    <w:tbl>
      <w:tblPr>
        <w:tblStyle w:val="6"/>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02"/>
        <w:gridCol w:w="737"/>
        <w:gridCol w:w="982"/>
        <w:gridCol w:w="737"/>
        <w:gridCol w:w="3095"/>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tcMar>
              <w:top w:w="10" w:type="dxa"/>
              <w:left w:w="10" w:type="dxa"/>
              <w:bottom w:w="0" w:type="dxa"/>
              <w:right w:w="10" w:type="dxa"/>
            </w:tcMar>
            <w:vAlign w:val="center"/>
          </w:tcPr>
          <w:p>
            <w:pPr>
              <w:spacing w:line="240" w:lineRule="exact"/>
              <w:jc w:val="center"/>
              <w:rPr>
                <w:rFonts w:ascii="宋体"/>
                <w:b/>
                <w:szCs w:val="24"/>
              </w:rPr>
            </w:pPr>
            <w:r>
              <w:rPr>
                <w:rFonts w:hint="eastAsia" w:ascii="宋体" w:hAnsi="宋体" w:cs="宋体"/>
                <w:b/>
                <w:szCs w:val="24"/>
              </w:rPr>
              <w:t>一级</w:t>
            </w:r>
            <w:r>
              <w:rPr>
                <w:rFonts w:ascii="宋体"/>
                <w:b/>
                <w:szCs w:val="24"/>
              </w:rPr>
              <w:br w:type="textWrapping"/>
            </w:r>
            <w:r>
              <w:rPr>
                <w:rFonts w:hint="eastAsia" w:ascii="宋体" w:hAnsi="宋体" w:cs="宋体"/>
                <w:b/>
                <w:szCs w:val="24"/>
              </w:rPr>
              <w:t>指标</w:t>
            </w:r>
          </w:p>
        </w:tc>
        <w:tc>
          <w:tcPr>
            <w:tcW w:w="375" w:type="pct"/>
            <w:tcMar>
              <w:top w:w="10" w:type="dxa"/>
              <w:left w:w="10" w:type="dxa"/>
              <w:bottom w:w="0" w:type="dxa"/>
              <w:right w:w="10" w:type="dxa"/>
            </w:tcMar>
            <w:vAlign w:val="center"/>
          </w:tcPr>
          <w:p>
            <w:pPr>
              <w:spacing w:line="240" w:lineRule="exact"/>
              <w:ind w:right="-174" w:rightChars="-83"/>
              <w:jc w:val="center"/>
              <w:rPr>
                <w:rFonts w:ascii="宋体"/>
                <w:b/>
                <w:szCs w:val="24"/>
              </w:rPr>
            </w:pPr>
            <w:r>
              <w:rPr>
                <w:rFonts w:hint="eastAsia" w:ascii="宋体" w:hAnsi="宋体" w:cs="宋体"/>
                <w:b/>
                <w:szCs w:val="24"/>
              </w:rPr>
              <w:t>二级</w:t>
            </w:r>
          </w:p>
          <w:p>
            <w:pPr>
              <w:spacing w:line="240" w:lineRule="exact"/>
              <w:ind w:right="-174" w:rightChars="-83"/>
              <w:jc w:val="center"/>
              <w:rPr>
                <w:rFonts w:ascii="宋体"/>
                <w:b/>
                <w:szCs w:val="24"/>
              </w:rPr>
            </w:pPr>
            <w:r>
              <w:rPr>
                <w:rFonts w:hint="eastAsia" w:ascii="宋体" w:hAnsi="宋体" w:cs="宋体"/>
                <w:b/>
                <w:szCs w:val="24"/>
              </w:rPr>
              <w:t>指标</w:t>
            </w:r>
          </w:p>
        </w:tc>
        <w:tc>
          <w:tcPr>
            <w:tcW w:w="500" w:type="pct"/>
            <w:tcMar>
              <w:top w:w="10" w:type="dxa"/>
              <w:left w:w="10" w:type="dxa"/>
              <w:bottom w:w="0" w:type="dxa"/>
              <w:right w:w="10" w:type="dxa"/>
            </w:tcMar>
            <w:vAlign w:val="center"/>
          </w:tcPr>
          <w:p>
            <w:pPr>
              <w:spacing w:line="240" w:lineRule="exact"/>
              <w:jc w:val="center"/>
              <w:rPr>
                <w:rFonts w:ascii="宋体"/>
                <w:b/>
                <w:szCs w:val="24"/>
              </w:rPr>
            </w:pPr>
            <w:r>
              <w:rPr>
                <w:rFonts w:hint="eastAsia" w:ascii="宋体" w:hAnsi="宋体" w:cs="宋体"/>
                <w:b/>
                <w:szCs w:val="24"/>
              </w:rPr>
              <w:t>三级</w:t>
            </w:r>
          </w:p>
          <w:p>
            <w:pPr>
              <w:spacing w:line="240" w:lineRule="exact"/>
              <w:jc w:val="center"/>
              <w:rPr>
                <w:rFonts w:ascii="宋体"/>
                <w:b/>
                <w:szCs w:val="24"/>
              </w:rPr>
            </w:pPr>
            <w:r>
              <w:rPr>
                <w:rFonts w:hint="eastAsia" w:ascii="宋体" w:hAnsi="宋体" w:cs="宋体"/>
                <w:b/>
                <w:szCs w:val="24"/>
              </w:rPr>
              <w:t>指标</w:t>
            </w:r>
          </w:p>
        </w:tc>
        <w:tc>
          <w:tcPr>
            <w:tcW w:w="375" w:type="pct"/>
            <w:vAlign w:val="center"/>
          </w:tcPr>
          <w:p>
            <w:pPr>
              <w:spacing w:line="240" w:lineRule="exact"/>
              <w:ind w:left="105" w:leftChars="50" w:right="105" w:rightChars="50"/>
              <w:jc w:val="center"/>
              <w:rPr>
                <w:rFonts w:ascii="宋体"/>
                <w:b/>
                <w:szCs w:val="24"/>
              </w:rPr>
            </w:pPr>
            <w:r>
              <w:rPr>
                <w:rFonts w:hint="eastAsia" w:ascii="宋体" w:hAnsi="宋体" w:cs="宋体"/>
                <w:b/>
                <w:szCs w:val="24"/>
              </w:rPr>
              <w:t>自评分</w:t>
            </w:r>
          </w:p>
        </w:tc>
        <w:tc>
          <w:tcPr>
            <w:tcW w:w="1576" w:type="pct"/>
            <w:tcMar>
              <w:top w:w="10" w:type="dxa"/>
              <w:left w:w="10" w:type="dxa"/>
              <w:bottom w:w="0" w:type="dxa"/>
              <w:right w:w="10" w:type="dxa"/>
            </w:tcMar>
            <w:vAlign w:val="center"/>
          </w:tcPr>
          <w:p>
            <w:pPr>
              <w:spacing w:line="240" w:lineRule="exact"/>
              <w:ind w:left="105" w:leftChars="50" w:right="105" w:rightChars="50"/>
              <w:jc w:val="center"/>
              <w:rPr>
                <w:rFonts w:ascii="宋体"/>
                <w:b/>
                <w:szCs w:val="24"/>
              </w:rPr>
            </w:pPr>
            <w:r>
              <w:rPr>
                <w:rFonts w:hint="eastAsia" w:ascii="宋体" w:hAnsi="宋体" w:cs="宋体"/>
                <w:b/>
                <w:szCs w:val="24"/>
              </w:rPr>
              <w:t>指标解释</w:t>
            </w:r>
          </w:p>
        </w:tc>
        <w:tc>
          <w:tcPr>
            <w:tcW w:w="1867" w:type="pct"/>
            <w:tcMar>
              <w:top w:w="10" w:type="dxa"/>
              <w:left w:w="10" w:type="dxa"/>
              <w:bottom w:w="0" w:type="dxa"/>
              <w:right w:w="10" w:type="dxa"/>
            </w:tcMar>
            <w:vAlign w:val="center"/>
          </w:tcPr>
          <w:p>
            <w:pPr>
              <w:spacing w:line="240" w:lineRule="exact"/>
              <w:ind w:left="105" w:leftChars="50" w:right="105" w:rightChars="50"/>
              <w:jc w:val="center"/>
              <w:rPr>
                <w:rFonts w:ascii="宋体"/>
                <w:b/>
                <w:szCs w:val="24"/>
              </w:rPr>
            </w:pPr>
            <w:r>
              <w:rPr>
                <w:rFonts w:hint="eastAsia" w:ascii="宋体" w:hAnsi="宋体" w:cs="宋体"/>
                <w:b/>
                <w:szCs w:val="24"/>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8"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szCs w:val="24"/>
              </w:rPr>
            </w:pPr>
            <w:r>
              <w:rPr>
                <w:rFonts w:hint="eastAsia" w:ascii="宋体" w:hAnsi="宋体" w:cs="宋体"/>
                <w:szCs w:val="24"/>
              </w:rPr>
              <w:t>投</w:t>
            </w:r>
            <w:r>
              <w:rPr>
                <w:rFonts w:ascii="宋体" w:hAnsi="宋体" w:cs="宋体"/>
                <w:szCs w:val="24"/>
              </w:rPr>
              <w:t xml:space="preserve">   </w:t>
            </w:r>
            <w:r>
              <w:rPr>
                <w:rFonts w:hint="eastAsia" w:ascii="宋体" w:hAnsi="宋体" w:cs="宋体"/>
                <w:szCs w:val="24"/>
              </w:rPr>
              <w:t>入（</w:t>
            </w:r>
            <w:r>
              <w:rPr>
                <w:rFonts w:ascii="宋体" w:hAnsi="宋体" w:cs="宋体"/>
                <w:szCs w:val="24"/>
              </w:rPr>
              <w:t>20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目标</w:t>
            </w:r>
            <w:r>
              <w:rPr>
                <w:rFonts w:ascii="宋体"/>
                <w:szCs w:val="24"/>
              </w:rPr>
              <w:br w:type="textWrapping"/>
            </w:r>
            <w:r>
              <w:rPr>
                <w:rFonts w:hint="eastAsia" w:ascii="宋体" w:hAnsi="宋体" w:cs="宋体"/>
                <w:szCs w:val="24"/>
              </w:rPr>
              <w:t>设定（</w:t>
            </w:r>
            <w:r>
              <w:rPr>
                <w:rFonts w:ascii="宋体" w:hAnsi="宋体" w:cs="宋体"/>
                <w:szCs w:val="24"/>
              </w:rPr>
              <w:t>5</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绩效目标</w:t>
            </w:r>
          </w:p>
          <w:p>
            <w:pPr>
              <w:spacing w:line="240" w:lineRule="exact"/>
              <w:jc w:val="center"/>
              <w:rPr>
                <w:rFonts w:ascii="宋体"/>
                <w:szCs w:val="24"/>
              </w:rPr>
            </w:pPr>
            <w:r>
              <w:rPr>
                <w:rFonts w:hint="eastAsia" w:ascii="宋体" w:hAnsi="宋体" w:cs="宋体"/>
                <w:szCs w:val="24"/>
              </w:rPr>
              <w:t>合理性（</w:t>
            </w:r>
            <w:r>
              <w:rPr>
                <w:rFonts w:ascii="宋体" w:hAnsi="宋体" w:cs="宋体"/>
                <w:szCs w:val="24"/>
              </w:rPr>
              <w:t>2</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①是否符合国家法律法规、国民经济和社会发展总体规划；</w:t>
            </w:r>
            <w:r>
              <w:rPr>
                <w:rFonts w:ascii="宋体"/>
                <w:szCs w:val="24"/>
              </w:rPr>
              <w:br w:type="textWrapping"/>
            </w:r>
            <w:r>
              <w:rPr>
                <w:rFonts w:hint="eastAsia" w:ascii="宋体" w:hAnsi="宋体" w:cs="宋体"/>
                <w:szCs w:val="24"/>
              </w:rPr>
              <w:t>②是否符合部门“三定”方案确定的职责；</w:t>
            </w:r>
            <w:r>
              <w:rPr>
                <w:rFonts w:ascii="宋体"/>
                <w:szCs w:val="24"/>
              </w:rPr>
              <w:br w:type="textWrapping"/>
            </w:r>
            <w:r>
              <w:rPr>
                <w:rFonts w:hint="eastAsia" w:ascii="宋体" w:hAnsi="宋体" w:cs="宋体"/>
                <w:szCs w:val="24"/>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65" w:hRule="atLeast"/>
          <w:jc w:val="center"/>
        </w:trPr>
        <w:tc>
          <w:tcPr>
            <w:tcW w:w="307" w:type="pct"/>
            <w:vMerge w:val="continue"/>
            <w:vAlign w:val="center"/>
          </w:tcPr>
          <w:p>
            <w:pPr>
              <w:spacing w:line="240" w:lineRule="exact"/>
              <w:rPr>
                <w:rFonts w:ascii="宋体"/>
                <w:szCs w:val="24"/>
              </w:rPr>
            </w:pPr>
          </w:p>
        </w:tc>
        <w:tc>
          <w:tcPr>
            <w:tcW w:w="375" w:type="pct"/>
            <w:vMerge w:val="continue"/>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绩效指标</w:t>
            </w:r>
          </w:p>
          <w:p>
            <w:pPr>
              <w:spacing w:line="240" w:lineRule="exact"/>
              <w:jc w:val="center"/>
              <w:rPr>
                <w:rFonts w:ascii="宋体"/>
                <w:szCs w:val="24"/>
              </w:rPr>
            </w:pPr>
            <w:r>
              <w:rPr>
                <w:rFonts w:hint="eastAsia" w:ascii="宋体" w:hAnsi="宋体" w:cs="宋体"/>
                <w:szCs w:val="24"/>
              </w:rPr>
              <w:t>明确性（</w:t>
            </w:r>
            <w:r>
              <w:rPr>
                <w:rFonts w:ascii="宋体" w:hAnsi="宋体" w:cs="宋体"/>
                <w:szCs w:val="24"/>
              </w:rPr>
              <w:t>3</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①是否将部门整体的绩效目标细化分解为具体的工作任务；</w:t>
            </w:r>
            <w:r>
              <w:rPr>
                <w:rFonts w:ascii="宋体"/>
                <w:szCs w:val="24"/>
              </w:rPr>
              <w:br w:type="textWrapping"/>
            </w:r>
            <w:r>
              <w:rPr>
                <w:rFonts w:hint="eastAsia" w:ascii="宋体" w:hAnsi="宋体" w:cs="宋体"/>
                <w:szCs w:val="24"/>
              </w:rPr>
              <w:t>②是否通过清晰、可衡量的指标值予以体现。</w:t>
            </w:r>
            <w:r>
              <w:rPr>
                <w:rFonts w:ascii="宋体" w:hAnsi="宋体" w:cs="宋体"/>
                <w:szCs w:val="24"/>
              </w:rPr>
              <w:t xml:space="preserve">    </w:t>
            </w:r>
            <w:r>
              <w:rPr>
                <w:rFonts w:hint="eastAsia" w:ascii="宋体" w:hAnsi="宋体" w:cs="宋体"/>
                <w:szCs w:val="24"/>
              </w:rPr>
              <w:t>③是否与部门年度的任务数或计划数相对应；</w:t>
            </w:r>
            <w:r>
              <w:rPr>
                <w:rFonts w:ascii="宋体"/>
                <w:szCs w:val="24"/>
              </w:rPr>
              <w:br w:type="textWrapping"/>
            </w:r>
            <w:r>
              <w:rPr>
                <w:rFonts w:hint="eastAsia" w:ascii="宋体" w:hAnsi="宋体" w:cs="宋体"/>
                <w:szCs w:val="24"/>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6" w:hRule="atLeast"/>
          <w:jc w:val="center"/>
        </w:trPr>
        <w:tc>
          <w:tcPr>
            <w:tcW w:w="307" w:type="pct"/>
            <w:vMerge w:val="continue"/>
            <w:vAlign w:val="center"/>
          </w:tcPr>
          <w:p>
            <w:pPr>
              <w:spacing w:line="240" w:lineRule="exact"/>
              <w:rPr>
                <w:rFonts w:ascii="宋体"/>
                <w:szCs w:val="24"/>
              </w:rPr>
            </w:pPr>
          </w:p>
        </w:tc>
        <w:tc>
          <w:tcPr>
            <w:tcW w:w="375" w:type="pct"/>
            <w:vMerge w:val="restar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预算</w:t>
            </w:r>
            <w:r>
              <w:rPr>
                <w:rFonts w:ascii="宋体"/>
                <w:szCs w:val="24"/>
              </w:rPr>
              <w:br w:type="textWrapping"/>
            </w:r>
            <w:r>
              <w:rPr>
                <w:rFonts w:hint="eastAsia" w:ascii="宋体" w:hAnsi="宋体" w:cs="宋体"/>
                <w:szCs w:val="24"/>
              </w:rPr>
              <w:t>配置（</w:t>
            </w:r>
            <w:r>
              <w:rPr>
                <w:rFonts w:ascii="宋体" w:hAnsi="宋体" w:cs="宋体"/>
                <w:szCs w:val="24"/>
              </w:rPr>
              <w:t>15</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在职人员</w:t>
            </w:r>
          </w:p>
          <w:p>
            <w:pPr>
              <w:spacing w:line="240" w:lineRule="exact"/>
              <w:jc w:val="center"/>
              <w:rPr>
                <w:rFonts w:ascii="宋体"/>
                <w:szCs w:val="24"/>
              </w:rPr>
            </w:pPr>
            <w:r>
              <w:rPr>
                <w:rFonts w:hint="eastAsia" w:ascii="宋体" w:hAnsi="宋体" w:cs="宋体"/>
                <w:szCs w:val="24"/>
              </w:rPr>
              <w:t>控制率（</w:t>
            </w:r>
            <w:r>
              <w:rPr>
                <w:rFonts w:ascii="宋体" w:hAnsi="宋体" w:cs="宋体"/>
                <w:szCs w:val="24"/>
              </w:rPr>
              <w:t>5</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olor w:val="000000"/>
                <w:szCs w:val="24"/>
              </w:rPr>
            </w:pPr>
            <w:r>
              <w:rPr>
                <w:rFonts w:ascii="宋体" w:cs="宋体"/>
                <w:color w:val="000000"/>
                <w:szCs w:val="24"/>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在职人员控制率</w:t>
            </w:r>
            <w:r>
              <w:rPr>
                <w:rFonts w:ascii="宋体" w:hAnsi="宋体" w:cs="宋体"/>
                <w:szCs w:val="24"/>
              </w:rPr>
              <w:t>=</w:t>
            </w:r>
            <w:r>
              <w:rPr>
                <w:rFonts w:hint="eastAsia" w:ascii="宋体" w:hAnsi="宋体" w:cs="宋体"/>
                <w:szCs w:val="24"/>
              </w:rPr>
              <w:t>（在职人员数</w:t>
            </w:r>
            <w:r>
              <w:rPr>
                <w:rFonts w:ascii="宋体" w:hAnsi="宋体" w:cs="宋体"/>
                <w:szCs w:val="24"/>
              </w:rPr>
              <w:t>/</w:t>
            </w:r>
            <w:r>
              <w:rPr>
                <w:rFonts w:hint="eastAsia" w:ascii="宋体" w:hAnsi="宋体" w:cs="宋体"/>
                <w:szCs w:val="24"/>
              </w:rPr>
              <w:t>编制数）×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在职人员数：部门实际在职人数，以财政部确定的部门决算编制口径为准。</w:t>
            </w:r>
            <w:r>
              <w:rPr>
                <w:rFonts w:ascii="宋体"/>
                <w:szCs w:val="24"/>
              </w:rPr>
              <w:br w:type="textWrapping"/>
            </w:r>
            <w:r>
              <w:rPr>
                <w:rFonts w:hint="eastAsia" w:ascii="宋体" w:hAnsi="宋体" w:cs="宋体"/>
                <w:szCs w:val="24"/>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vAlign w:val="center"/>
          </w:tcPr>
          <w:p>
            <w:pPr>
              <w:spacing w:line="240" w:lineRule="exact"/>
              <w:rPr>
                <w:rFonts w:ascii="宋体"/>
                <w:szCs w:val="24"/>
              </w:rPr>
            </w:pPr>
          </w:p>
        </w:tc>
        <w:tc>
          <w:tcPr>
            <w:tcW w:w="375" w:type="pct"/>
            <w:vMerge w:val="continue"/>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“三公经费”</w:t>
            </w:r>
          </w:p>
          <w:p>
            <w:pPr>
              <w:spacing w:line="240" w:lineRule="exact"/>
              <w:jc w:val="center"/>
              <w:rPr>
                <w:rFonts w:ascii="宋体"/>
                <w:szCs w:val="24"/>
              </w:rPr>
            </w:pPr>
            <w:r>
              <w:rPr>
                <w:rFonts w:hint="eastAsia" w:ascii="宋体" w:hAnsi="宋体" w:cs="宋体"/>
                <w:szCs w:val="24"/>
              </w:rPr>
              <w:t>变动率（</w:t>
            </w:r>
            <w:r>
              <w:rPr>
                <w:rFonts w:ascii="宋体" w:hAnsi="宋体" w:cs="宋体"/>
                <w:szCs w:val="24"/>
              </w:rPr>
              <w:t>5</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“三公经费”变动率</w:t>
            </w:r>
            <w:r>
              <w:rPr>
                <w:rFonts w:ascii="宋体" w:hAnsi="宋体" w:cs="宋体"/>
                <w:szCs w:val="24"/>
              </w:rPr>
              <w:t>=[</w:t>
            </w:r>
            <w:r>
              <w:rPr>
                <w:rFonts w:hint="eastAsia" w:ascii="宋体" w:hAnsi="宋体" w:cs="宋体"/>
                <w:szCs w:val="24"/>
              </w:rPr>
              <w:t>（本年度“三公经费”总额</w:t>
            </w:r>
            <w:r>
              <w:rPr>
                <w:rFonts w:ascii="宋体" w:cs="宋体"/>
                <w:szCs w:val="24"/>
              </w:rPr>
              <w:t>-</w:t>
            </w:r>
            <w:r>
              <w:rPr>
                <w:rFonts w:hint="eastAsia" w:ascii="宋体" w:hAnsi="宋体" w:cs="宋体"/>
                <w:szCs w:val="24"/>
              </w:rPr>
              <w:t>上年度“三公经费”总额）</w:t>
            </w:r>
            <w:r>
              <w:rPr>
                <w:rFonts w:ascii="宋体" w:hAnsi="宋体" w:cs="宋体"/>
                <w:szCs w:val="24"/>
              </w:rPr>
              <w:t>/</w:t>
            </w:r>
            <w:r>
              <w:rPr>
                <w:rFonts w:hint="eastAsia" w:ascii="宋体" w:hAnsi="宋体" w:cs="宋体"/>
                <w:szCs w:val="24"/>
              </w:rPr>
              <w:t>上年度“三公经费”总额</w:t>
            </w:r>
            <w:r>
              <w:rPr>
                <w:rFonts w:ascii="宋体" w:hAnsi="宋体" w:cs="宋体"/>
                <w:szCs w:val="24"/>
              </w:rPr>
              <w:t>]</w:t>
            </w:r>
            <w:r>
              <w:rPr>
                <w:rFonts w:hint="eastAsia" w:ascii="宋体" w:hAnsi="宋体" w:cs="宋体"/>
                <w:szCs w:val="24"/>
              </w:rPr>
              <w:t>×</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4" w:hRule="atLeast"/>
          <w:jc w:val="center"/>
        </w:trPr>
        <w:tc>
          <w:tcPr>
            <w:tcW w:w="307" w:type="pct"/>
            <w:vMerge w:val="continue"/>
            <w:vAlign w:val="center"/>
          </w:tcPr>
          <w:p>
            <w:pPr>
              <w:spacing w:line="240" w:lineRule="exact"/>
              <w:rPr>
                <w:rFonts w:ascii="宋体"/>
                <w:szCs w:val="24"/>
              </w:rPr>
            </w:pPr>
          </w:p>
        </w:tc>
        <w:tc>
          <w:tcPr>
            <w:tcW w:w="375" w:type="pct"/>
            <w:vMerge w:val="continue"/>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重点支出</w:t>
            </w:r>
          </w:p>
          <w:p>
            <w:pPr>
              <w:spacing w:line="240" w:lineRule="exact"/>
              <w:jc w:val="center"/>
              <w:rPr>
                <w:rFonts w:ascii="宋体"/>
                <w:szCs w:val="24"/>
              </w:rPr>
            </w:pPr>
            <w:r>
              <w:rPr>
                <w:rFonts w:hint="eastAsia" w:ascii="宋体" w:hAnsi="宋体" w:cs="宋体"/>
                <w:szCs w:val="24"/>
              </w:rPr>
              <w:t>安排率（</w:t>
            </w:r>
            <w:r>
              <w:rPr>
                <w:rFonts w:ascii="宋体" w:hAnsi="宋体" w:cs="宋体"/>
                <w:szCs w:val="24"/>
              </w:rPr>
              <w:t>5</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重点支出安排率</w:t>
            </w:r>
            <w:r>
              <w:rPr>
                <w:rFonts w:ascii="宋体" w:hAnsi="宋体" w:cs="宋体"/>
                <w:szCs w:val="24"/>
              </w:rPr>
              <w:t>=</w:t>
            </w:r>
            <w:r>
              <w:rPr>
                <w:rFonts w:hint="eastAsia" w:ascii="宋体" w:hAnsi="宋体" w:cs="宋体"/>
                <w:szCs w:val="24"/>
              </w:rPr>
              <w:t>（重点预算支出</w:t>
            </w:r>
            <w:r>
              <w:rPr>
                <w:rFonts w:ascii="宋体" w:hAnsi="宋体" w:cs="宋体"/>
                <w:szCs w:val="24"/>
              </w:rPr>
              <w:t>/</w:t>
            </w:r>
            <w:r>
              <w:rPr>
                <w:rFonts w:hint="eastAsia" w:ascii="宋体" w:hAnsi="宋体" w:cs="宋体"/>
                <w:szCs w:val="24"/>
              </w:rPr>
              <w:t>预算总支出）×</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重点预算支出：部门年度预算安排的，与本部门履职和发展密切相关、具有明显社会和经济影响、党委政府关心或社会比较关注的预算支出支出总额。</w:t>
            </w:r>
            <w:r>
              <w:rPr>
                <w:rFonts w:ascii="宋体"/>
                <w:szCs w:val="24"/>
              </w:rPr>
              <w:br w:type="textWrapping"/>
            </w:r>
            <w:r>
              <w:rPr>
                <w:rFonts w:hint="eastAsia" w:ascii="宋体" w:hAnsi="宋体" w:cs="宋体"/>
                <w:szCs w:val="24"/>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szCs w:val="24"/>
              </w:rPr>
            </w:pPr>
            <w:r>
              <w:rPr>
                <w:rFonts w:hint="eastAsia" w:ascii="宋体" w:hAnsi="宋体" w:cs="宋体"/>
                <w:szCs w:val="24"/>
              </w:rPr>
              <w:t>过</w:t>
            </w:r>
            <w:r>
              <w:rPr>
                <w:rFonts w:ascii="宋体" w:hAnsi="宋体" w:cs="宋体"/>
                <w:szCs w:val="24"/>
              </w:rPr>
              <w:t xml:space="preserve">   </w:t>
            </w:r>
            <w:r>
              <w:rPr>
                <w:rFonts w:hint="eastAsia" w:ascii="宋体" w:hAnsi="宋体" w:cs="宋体"/>
                <w:szCs w:val="24"/>
              </w:rPr>
              <w:t>程（</w:t>
            </w:r>
            <w:r>
              <w:rPr>
                <w:rFonts w:ascii="宋体" w:hAnsi="宋体" w:cs="宋体"/>
                <w:szCs w:val="24"/>
              </w:rPr>
              <w:t>30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预算</w:t>
            </w:r>
            <w:r>
              <w:rPr>
                <w:rFonts w:ascii="宋体"/>
                <w:szCs w:val="24"/>
              </w:rPr>
              <w:br w:type="textWrapping"/>
            </w:r>
            <w:r>
              <w:rPr>
                <w:rFonts w:hint="eastAsia" w:ascii="宋体" w:hAnsi="宋体" w:cs="宋体"/>
                <w:szCs w:val="24"/>
              </w:rPr>
              <w:t>执行（</w:t>
            </w:r>
            <w:r>
              <w:rPr>
                <w:rFonts w:ascii="宋体" w:hAnsi="宋体" w:cs="宋体"/>
                <w:szCs w:val="24"/>
              </w:rPr>
              <w:t>20</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预算</w:t>
            </w:r>
          </w:p>
          <w:p>
            <w:pPr>
              <w:spacing w:line="240" w:lineRule="exact"/>
              <w:jc w:val="center"/>
              <w:rPr>
                <w:rFonts w:ascii="宋体"/>
                <w:szCs w:val="24"/>
              </w:rPr>
            </w:pPr>
            <w:r>
              <w:rPr>
                <w:rFonts w:hint="eastAsia" w:ascii="宋体" w:hAnsi="宋体" w:cs="宋体"/>
                <w:szCs w:val="24"/>
              </w:rPr>
              <w:t>执行率（</w:t>
            </w:r>
            <w:r>
              <w:rPr>
                <w:rFonts w:ascii="宋体" w:hAnsi="宋体" w:cs="宋体"/>
                <w:szCs w:val="24"/>
              </w:rPr>
              <w:t>4</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olor w:val="000000"/>
                <w:szCs w:val="24"/>
              </w:rPr>
            </w:pPr>
            <w:r>
              <w:rPr>
                <w:rFonts w:ascii="宋体" w:cs="宋体"/>
                <w:color w:val="000000"/>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szCs w:val="24"/>
              </w:rPr>
            </w:pPr>
            <w:r>
              <w:rPr>
                <w:rFonts w:hint="eastAsia" w:ascii="宋体" w:hAnsi="宋体" w:cs="宋体"/>
                <w:szCs w:val="24"/>
              </w:rPr>
              <w:t>部门本年度预算完成数与预算数的比率，用以反映和考核部门预算完成程度。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预算执行率</w:t>
            </w:r>
            <w:r>
              <w:rPr>
                <w:rFonts w:ascii="宋体" w:hAnsi="宋体" w:cs="宋体"/>
                <w:szCs w:val="24"/>
              </w:rPr>
              <w:t>=</w:t>
            </w:r>
            <w:r>
              <w:rPr>
                <w:rFonts w:hint="eastAsia" w:ascii="宋体" w:hAnsi="宋体" w:cs="宋体"/>
                <w:szCs w:val="24"/>
              </w:rPr>
              <w:t>（预算执行数</w:t>
            </w:r>
            <w:r>
              <w:rPr>
                <w:rFonts w:ascii="宋体" w:hAnsi="宋体" w:cs="宋体"/>
                <w:szCs w:val="24"/>
              </w:rPr>
              <w:t>/</w:t>
            </w:r>
            <w:r>
              <w:rPr>
                <w:rFonts w:hint="eastAsia" w:ascii="宋体" w:hAnsi="宋体" w:cs="宋体"/>
                <w:szCs w:val="24"/>
              </w:rPr>
              <w:t>预算数）×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预算执行数：部门本年度实际完成的预算数。</w:t>
            </w:r>
            <w:r>
              <w:rPr>
                <w:rFonts w:ascii="宋体"/>
                <w:szCs w:val="24"/>
              </w:rPr>
              <w:br w:type="textWrapping"/>
            </w:r>
            <w:r>
              <w:rPr>
                <w:rFonts w:hint="eastAsia" w:ascii="宋体" w:hAnsi="宋体" w:cs="宋体"/>
                <w:szCs w:val="24"/>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vAlign w:val="center"/>
          </w:tcPr>
          <w:p>
            <w:pPr>
              <w:spacing w:line="240" w:lineRule="exact"/>
              <w:jc w:val="center"/>
              <w:rPr>
                <w:rFonts w:ascii="宋体"/>
                <w:szCs w:val="24"/>
              </w:rPr>
            </w:pPr>
          </w:p>
        </w:tc>
        <w:tc>
          <w:tcPr>
            <w:tcW w:w="375" w:type="pct"/>
            <w:vMerge w:val="continue"/>
            <w:vAlign w:val="center"/>
          </w:tcPr>
          <w:p>
            <w:pPr>
              <w:spacing w:line="240" w:lineRule="exact"/>
              <w:jc w:val="center"/>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预算</w:t>
            </w:r>
          </w:p>
          <w:p>
            <w:pPr>
              <w:spacing w:line="240" w:lineRule="exact"/>
              <w:jc w:val="center"/>
              <w:rPr>
                <w:rFonts w:ascii="宋体"/>
                <w:szCs w:val="24"/>
              </w:rPr>
            </w:pPr>
            <w:r>
              <w:rPr>
                <w:rFonts w:hint="eastAsia" w:ascii="宋体" w:hAnsi="宋体" w:cs="宋体"/>
                <w:szCs w:val="24"/>
              </w:rPr>
              <w:t>调整率（</w:t>
            </w:r>
            <w:r>
              <w:rPr>
                <w:rFonts w:ascii="宋体" w:hAnsi="宋体" w:cs="宋体"/>
                <w:szCs w:val="24"/>
              </w:rPr>
              <w:t>2</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szCs w:val="24"/>
              </w:rPr>
            </w:pPr>
            <w:r>
              <w:rPr>
                <w:rFonts w:hint="eastAsia" w:ascii="宋体" w:hAnsi="宋体" w:cs="宋体"/>
                <w:szCs w:val="24"/>
              </w:rPr>
              <w:t>部门本年度预算调整数与预算数的比率，用以反映和考核部门预算的调整程度。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预算调整率</w:t>
            </w:r>
            <w:r>
              <w:rPr>
                <w:rFonts w:ascii="宋体" w:hAnsi="宋体" w:cs="宋体"/>
                <w:szCs w:val="24"/>
              </w:rPr>
              <w:t>=</w:t>
            </w:r>
            <w:r>
              <w:rPr>
                <w:rFonts w:hint="eastAsia" w:ascii="宋体" w:hAnsi="宋体" w:cs="宋体"/>
                <w:szCs w:val="24"/>
              </w:rPr>
              <w:t>（预算调整数</w:t>
            </w:r>
            <w:r>
              <w:rPr>
                <w:rFonts w:ascii="宋体" w:hAnsi="宋体" w:cs="宋体"/>
                <w:szCs w:val="24"/>
              </w:rPr>
              <w:t>/</w:t>
            </w:r>
            <w:r>
              <w:rPr>
                <w:rFonts w:hint="eastAsia" w:ascii="宋体" w:hAnsi="宋体" w:cs="宋体"/>
                <w:szCs w:val="24"/>
              </w:rPr>
              <w:t>预算数）×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9" w:hRule="atLeast"/>
          <w:jc w:val="center"/>
        </w:trPr>
        <w:tc>
          <w:tcPr>
            <w:tcW w:w="307" w:type="pct"/>
            <w:vMerge w:val="continue"/>
            <w:vAlign w:val="center"/>
          </w:tcPr>
          <w:p>
            <w:pPr>
              <w:spacing w:line="240" w:lineRule="exact"/>
              <w:jc w:val="center"/>
              <w:rPr>
                <w:rFonts w:ascii="宋体"/>
                <w:szCs w:val="24"/>
              </w:rPr>
            </w:pPr>
          </w:p>
        </w:tc>
        <w:tc>
          <w:tcPr>
            <w:tcW w:w="375" w:type="pct"/>
            <w:vMerge w:val="continue"/>
            <w:vAlign w:val="center"/>
          </w:tcPr>
          <w:p>
            <w:pPr>
              <w:spacing w:line="240" w:lineRule="exact"/>
              <w:jc w:val="center"/>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支付</w:t>
            </w:r>
          </w:p>
          <w:p>
            <w:pPr>
              <w:spacing w:line="240" w:lineRule="exact"/>
              <w:jc w:val="center"/>
              <w:rPr>
                <w:rFonts w:ascii="宋体"/>
                <w:szCs w:val="24"/>
              </w:rPr>
            </w:pPr>
            <w:r>
              <w:rPr>
                <w:rFonts w:hint="eastAsia" w:ascii="宋体" w:hAnsi="宋体" w:cs="宋体"/>
                <w:szCs w:val="24"/>
              </w:rPr>
              <w:t>进度率（</w:t>
            </w:r>
            <w:r>
              <w:rPr>
                <w:rFonts w:ascii="宋体" w:hAnsi="宋体" w:cs="宋体"/>
                <w:szCs w:val="24"/>
              </w:rPr>
              <w:t>2</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olor w:val="000000"/>
                <w:szCs w:val="24"/>
              </w:rPr>
            </w:pPr>
            <w:r>
              <w:rPr>
                <w:rFonts w:ascii="宋体" w:cs="宋体"/>
                <w:color w:val="000000"/>
                <w:szCs w:val="24"/>
              </w:rPr>
              <w:t>1</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szCs w:val="24"/>
              </w:rPr>
            </w:pPr>
            <w:r>
              <w:rPr>
                <w:rFonts w:hint="eastAsia" w:ascii="宋体" w:hAnsi="宋体" w:cs="宋体"/>
                <w:szCs w:val="24"/>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支付进度率</w:t>
            </w:r>
            <w:r>
              <w:rPr>
                <w:rFonts w:ascii="宋体" w:hAnsi="宋体" w:cs="宋体"/>
                <w:szCs w:val="24"/>
              </w:rPr>
              <w:t>=</w:t>
            </w:r>
            <w:r>
              <w:rPr>
                <w:rFonts w:hint="eastAsia" w:ascii="宋体" w:hAnsi="宋体" w:cs="宋体"/>
                <w:szCs w:val="24"/>
              </w:rPr>
              <w:t>（实际支付进度</w:t>
            </w:r>
            <w:r>
              <w:rPr>
                <w:rFonts w:ascii="宋体" w:hAnsi="宋体" w:cs="宋体"/>
                <w:szCs w:val="24"/>
              </w:rPr>
              <w:t>/</w:t>
            </w:r>
            <w:r>
              <w:rPr>
                <w:rFonts w:hint="eastAsia" w:ascii="宋体" w:hAnsi="宋体" w:cs="宋体"/>
                <w:szCs w:val="24"/>
              </w:rPr>
              <w:t>既定支付进度）×</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实际支付进度：部门在某一时点的支出预算执行总数与年度支出预算数的比率。</w:t>
            </w:r>
            <w:r>
              <w:rPr>
                <w:rFonts w:ascii="宋体"/>
                <w:szCs w:val="24"/>
              </w:rPr>
              <w:br w:type="textWrapping"/>
            </w:r>
            <w:r>
              <w:rPr>
                <w:rFonts w:hint="eastAsia" w:ascii="宋体" w:hAnsi="宋体" w:cs="宋体"/>
                <w:szCs w:val="24"/>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8"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szCs w:val="24"/>
              </w:rPr>
            </w:pPr>
          </w:p>
        </w:tc>
        <w:tc>
          <w:tcPr>
            <w:tcW w:w="375" w:type="pct"/>
            <w:vMerge w:val="continue"/>
            <w:tcMar>
              <w:top w:w="10" w:type="dxa"/>
              <w:left w:w="10" w:type="dxa"/>
              <w:bottom w:w="0" w:type="dxa"/>
              <w:right w:w="10" w:type="dxa"/>
            </w:tcMar>
            <w:vAlign w:val="center"/>
          </w:tcPr>
          <w:p>
            <w:pPr>
              <w:spacing w:line="240" w:lineRule="exact"/>
              <w:jc w:val="center"/>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color w:val="000000"/>
                <w:szCs w:val="24"/>
              </w:rPr>
            </w:pPr>
            <w:r>
              <w:rPr>
                <w:rFonts w:hint="eastAsia" w:ascii="宋体" w:hAnsi="宋体" w:cs="宋体"/>
                <w:color w:val="000000"/>
                <w:szCs w:val="24"/>
              </w:rPr>
              <w:t>结转</w:t>
            </w:r>
          </w:p>
          <w:p>
            <w:pPr>
              <w:spacing w:line="240" w:lineRule="exact"/>
              <w:jc w:val="center"/>
              <w:rPr>
                <w:rFonts w:ascii="宋体"/>
                <w:color w:val="000000"/>
                <w:szCs w:val="24"/>
              </w:rPr>
            </w:pPr>
            <w:r>
              <w:rPr>
                <w:rFonts w:hint="eastAsia" w:ascii="宋体" w:hAnsi="宋体" w:cs="宋体"/>
                <w:color w:val="000000"/>
                <w:szCs w:val="24"/>
              </w:rPr>
              <w:t>结余率（</w:t>
            </w:r>
            <w:r>
              <w:rPr>
                <w:rFonts w:ascii="宋体" w:hAnsi="宋体" w:cs="宋体"/>
                <w:color w:val="000000"/>
                <w:szCs w:val="24"/>
              </w:rPr>
              <w:t>2</w:t>
            </w:r>
            <w:r>
              <w:rPr>
                <w:rFonts w:hint="eastAsia" w:ascii="宋体" w:hAnsi="宋体" w:cs="宋体"/>
                <w:color w:val="000000"/>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olor w:val="000000"/>
                <w:szCs w:val="24"/>
              </w:rPr>
            </w:pPr>
            <w:r>
              <w:rPr>
                <w:rFonts w:ascii="宋体" w:cs="宋体"/>
                <w:color w:val="000000"/>
                <w:szCs w:val="24"/>
              </w:rPr>
              <w:t>1</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szCs w:val="24"/>
              </w:rPr>
            </w:pPr>
            <w:r>
              <w:rPr>
                <w:rFonts w:hint="eastAsia" w:ascii="宋体" w:hAnsi="宋体" w:cs="宋体"/>
                <w:szCs w:val="24"/>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结转结余率</w:t>
            </w:r>
            <w:r>
              <w:rPr>
                <w:rFonts w:ascii="宋体" w:hAnsi="宋体" w:cs="宋体"/>
                <w:szCs w:val="24"/>
              </w:rPr>
              <w:t>=</w:t>
            </w:r>
            <w:r>
              <w:rPr>
                <w:rFonts w:hint="eastAsia" w:ascii="宋体" w:hAnsi="宋体" w:cs="宋体"/>
                <w:szCs w:val="24"/>
              </w:rPr>
              <w:t>结转结余总额</w:t>
            </w:r>
            <w:r>
              <w:rPr>
                <w:rFonts w:ascii="宋体" w:hAnsi="宋体" w:cs="宋体"/>
                <w:szCs w:val="24"/>
              </w:rPr>
              <w:t>/</w:t>
            </w:r>
            <w:r>
              <w:rPr>
                <w:rFonts w:hint="eastAsia" w:ascii="宋体" w:hAnsi="宋体" w:cs="宋体"/>
                <w:szCs w:val="24"/>
              </w:rPr>
              <w:t>支出预算数×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jc w:val="center"/>
        </w:trPr>
        <w:tc>
          <w:tcPr>
            <w:tcW w:w="307" w:type="pct"/>
            <w:vMerge w:val="continue"/>
            <w:vAlign w:val="center"/>
          </w:tcPr>
          <w:p>
            <w:pPr>
              <w:spacing w:line="240" w:lineRule="exact"/>
              <w:jc w:val="center"/>
              <w:rPr>
                <w:rFonts w:ascii="宋体"/>
                <w:szCs w:val="24"/>
              </w:rPr>
            </w:pPr>
          </w:p>
        </w:tc>
        <w:tc>
          <w:tcPr>
            <w:tcW w:w="375" w:type="pct"/>
            <w:vMerge w:val="continue"/>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结转结余</w:t>
            </w:r>
          </w:p>
          <w:p>
            <w:pPr>
              <w:spacing w:line="240" w:lineRule="exact"/>
              <w:jc w:val="center"/>
              <w:rPr>
                <w:rFonts w:ascii="宋体"/>
                <w:szCs w:val="24"/>
              </w:rPr>
            </w:pPr>
            <w:r>
              <w:rPr>
                <w:rFonts w:hint="eastAsia" w:ascii="宋体" w:hAnsi="宋体" w:cs="宋体"/>
                <w:szCs w:val="24"/>
              </w:rPr>
              <w:t>变动率（</w:t>
            </w:r>
            <w:r>
              <w:rPr>
                <w:rFonts w:ascii="宋体" w:hAnsi="宋体" w:cs="宋体"/>
                <w:szCs w:val="24"/>
              </w:rPr>
              <w:t>2</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olor w:val="000000"/>
                <w:szCs w:val="24"/>
              </w:rPr>
            </w:pPr>
            <w:r>
              <w:rPr>
                <w:rFonts w:ascii="宋体" w:cs="宋体"/>
                <w:color w:val="000000"/>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89" w:firstLineChars="46"/>
              <w:rPr>
                <w:rFonts w:ascii="宋体"/>
                <w:spacing w:val="-8"/>
                <w:szCs w:val="24"/>
              </w:rPr>
            </w:pPr>
            <w:r>
              <w:rPr>
                <w:rFonts w:hint="eastAsia" w:ascii="宋体" w:hAnsi="宋体" w:cs="宋体"/>
                <w:spacing w:val="-8"/>
                <w:szCs w:val="24"/>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结转结余变动率</w:t>
            </w:r>
            <w:r>
              <w:rPr>
                <w:rFonts w:ascii="宋体" w:hAnsi="宋体" w:cs="宋体"/>
                <w:szCs w:val="24"/>
              </w:rPr>
              <w:t>=[</w:t>
            </w:r>
            <w:r>
              <w:rPr>
                <w:rFonts w:hint="eastAsia" w:ascii="宋体" w:hAnsi="宋体" w:cs="宋体"/>
                <w:szCs w:val="24"/>
              </w:rPr>
              <w:t>（本年度累计结转结余资金总额</w:t>
            </w:r>
            <w:r>
              <w:rPr>
                <w:rFonts w:ascii="宋体" w:cs="宋体"/>
                <w:szCs w:val="24"/>
              </w:rPr>
              <w:t>-</w:t>
            </w:r>
            <w:r>
              <w:rPr>
                <w:rFonts w:hint="eastAsia" w:ascii="宋体" w:hAnsi="宋体" w:cs="宋体"/>
                <w:szCs w:val="24"/>
              </w:rPr>
              <w:t>上年度累计结转结余资金总额）</w:t>
            </w:r>
            <w:r>
              <w:rPr>
                <w:rFonts w:ascii="宋体" w:hAnsi="宋体" w:cs="宋体"/>
                <w:szCs w:val="24"/>
              </w:rPr>
              <w:t>/</w:t>
            </w:r>
            <w:r>
              <w:rPr>
                <w:rFonts w:hint="eastAsia" w:ascii="宋体" w:hAnsi="宋体" w:cs="宋体"/>
                <w:szCs w:val="24"/>
              </w:rPr>
              <w:t>上年度累计结转结余资金总额</w:t>
            </w:r>
            <w:r>
              <w:rPr>
                <w:rFonts w:ascii="宋体" w:hAnsi="宋体" w:cs="宋体"/>
                <w:szCs w:val="24"/>
              </w:rPr>
              <w:t>]</w:t>
            </w:r>
            <w:r>
              <w:rPr>
                <w:rFonts w:hint="eastAsia" w:ascii="宋体" w:hAnsi="宋体" w:cs="宋体"/>
                <w:szCs w:val="24"/>
              </w:rPr>
              <w:t>×</w:t>
            </w:r>
            <w:r>
              <w:rPr>
                <w:rFonts w:ascii="宋体" w:hAnsi="宋体" w:cs="宋体"/>
                <w:szCs w:val="24"/>
              </w:rPr>
              <w:t>100%</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307" w:type="pct"/>
            <w:vMerge w:val="continue"/>
            <w:vAlign w:val="center"/>
          </w:tcPr>
          <w:p>
            <w:pPr>
              <w:spacing w:line="240" w:lineRule="exact"/>
              <w:jc w:val="center"/>
              <w:rPr>
                <w:rFonts w:ascii="宋体"/>
                <w:szCs w:val="24"/>
              </w:rPr>
            </w:pPr>
          </w:p>
        </w:tc>
        <w:tc>
          <w:tcPr>
            <w:tcW w:w="375" w:type="pct"/>
            <w:vMerge w:val="continue"/>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公用经费</w:t>
            </w:r>
          </w:p>
          <w:p>
            <w:pPr>
              <w:spacing w:line="240" w:lineRule="exact"/>
              <w:jc w:val="center"/>
              <w:rPr>
                <w:rFonts w:ascii="宋体"/>
                <w:szCs w:val="24"/>
              </w:rPr>
            </w:pPr>
            <w:r>
              <w:rPr>
                <w:rFonts w:hint="eastAsia" w:ascii="宋体" w:hAnsi="宋体" w:cs="宋体"/>
                <w:szCs w:val="24"/>
              </w:rPr>
              <w:t>控制率（</w:t>
            </w:r>
            <w:r>
              <w:rPr>
                <w:rFonts w:ascii="宋体" w:hAnsi="宋体" w:cs="宋体"/>
                <w:szCs w:val="24"/>
              </w:rPr>
              <w:t>2</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89" w:firstLineChars="46"/>
              <w:rPr>
                <w:rFonts w:ascii="宋体"/>
                <w:spacing w:val="-8"/>
                <w:szCs w:val="24"/>
              </w:rPr>
            </w:pPr>
            <w:r>
              <w:rPr>
                <w:rFonts w:hint="eastAsia" w:ascii="宋体" w:hAnsi="宋体" w:cs="宋体"/>
                <w:spacing w:val="-8"/>
                <w:szCs w:val="24"/>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公用经费控制率</w:t>
            </w:r>
            <w:r>
              <w:rPr>
                <w:rFonts w:ascii="宋体" w:hAnsi="宋体" w:cs="宋体"/>
                <w:szCs w:val="24"/>
              </w:rPr>
              <w:t>=</w:t>
            </w:r>
            <w:r>
              <w:rPr>
                <w:rFonts w:hint="eastAsia" w:ascii="宋体" w:hAnsi="宋体" w:cs="宋体"/>
                <w:szCs w:val="24"/>
              </w:rPr>
              <w:t>（实际支出公用经费总额</w:t>
            </w:r>
            <w:r>
              <w:rPr>
                <w:rFonts w:ascii="宋体" w:hAnsi="宋体" w:cs="宋体"/>
                <w:szCs w:val="24"/>
              </w:rPr>
              <w:t>/</w:t>
            </w:r>
            <w:r>
              <w:rPr>
                <w:rFonts w:hint="eastAsia" w:ascii="宋体" w:hAnsi="宋体" w:cs="宋体"/>
                <w:szCs w:val="24"/>
              </w:rPr>
              <w:t>预算安排公用经费总额）×</w:t>
            </w:r>
            <w:r>
              <w:rPr>
                <w:rFonts w:ascii="宋体" w:hAnsi="宋体" w:cs="宋体"/>
                <w:szCs w:val="24"/>
              </w:rPr>
              <w:t>100%</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vAlign w:val="center"/>
          </w:tcPr>
          <w:p>
            <w:pPr>
              <w:spacing w:line="240" w:lineRule="exact"/>
              <w:jc w:val="center"/>
              <w:rPr>
                <w:rFonts w:ascii="宋体"/>
                <w:szCs w:val="24"/>
              </w:rPr>
            </w:pPr>
          </w:p>
        </w:tc>
        <w:tc>
          <w:tcPr>
            <w:tcW w:w="375" w:type="pct"/>
            <w:vMerge w:val="continue"/>
            <w:vAlign w:val="center"/>
          </w:tcPr>
          <w:p>
            <w:pPr>
              <w:spacing w:line="240" w:lineRule="exact"/>
              <w:jc w:val="center"/>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“三公经费”控制率（</w:t>
            </w:r>
            <w:r>
              <w:rPr>
                <w:rFonts w:ascii="宋体" w:hAnsi="宋体" w:cs="宋体"/>
                <w:szCs w:val="24"/>
              </w:rPr>
              <w:t>2</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szCs w:val="24"/>
              </w:rPr>
            </w:pPr>
            <w:r>
              <w:rPr>
                <w:rFonts w:hint="eastAsia" w:ascii="宋体" w:hAnsi="宋体" w:cs="宋体"/>
                <w:szCs w:val="24"/>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“三公经费”控制率</w:t>
            </w:r>
            <w:r>
              <w:rPr>
                <w:rFonts w:ascii="宋体" w:hAnsi="宋体" w:cs="宋体"/>
                <w:szCs w:val="24"/>
              </w:rPr>
              <w:t>=</w:t>
            </w:r>
            <w:r>
              <w:rPr>
                <w:rFonts w:hint="eastAsia" w:ascii="宋体" w:hAnsi="宋体" w:cs="宋体"/>
                <w:szCs w:val="24"/>
              </w:rPr>
              <w:t>（“三公经费”实际支出数</w:t>
            </w:r>
            <w:r>
              <w:rPr>
                <w:rFonts w:ascii="宋体" w:hAnsi="宋体" w:cs="宋体"/>
                <w:szCs w:val="24"/>
              </w:rPr>
              <w:t>/</w:t>
            </w:r>
            <w:r>
              <w:rPr>
                <w:rFonts w:hint="eastAsia" w:ascii="宋体" w:hAnsi="宋体" w:cs="宋体"/>
                <w:szCs w:val="24"/>
              </w:rPr>
              <w:t>“三公经费”预算安排数）×</w:t>
            </w:r>
            <w:r>
              <w:rPr>
                <w:rFonts w:ascii="宋体" w:hAnsi="宋体" w:cs="宋体"/>
                <w:szCs w:val="24"/>
              </w:rPr>
              <w:t>100%</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307" w:type="pct"/>
            <w:vMerge w:val="continue"/>
            <w:vAlign w:val="center"/>
          </w:tcPr>
          <w:p>
            <w:pPr>
              <w:spacing w:line="240" w:lineRule="exact"/>
              <w:jc w:val="center"/>
              <w:rPr>
                <w:rFonts w:ascii="宋体"/>
                <w:szCs w:val="24"/>
              </w:rPr>
            </w:pPr>
          </w:p>
        </w:tc>
        <w:tc>
          <w:tcPr>
            <w:tcW w:w="375" w:type="pct"/>
            <w:vMerge w:val="continue"/>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政府采购</w:t>
            </w:r>
          </w:p>
          <w:p>
            <w:pPr>
              <w:spacing w:line="240" w:lineRule="exact"/>
              <w:jc w:val="center"/>
              <w:rPr>
                <w:rFonts w:ascii="宋体"/>
                <w:szCs w:val="24"/>
              </w:rPr>
            </w:pPr>
            <w:r>
              <w:rPr>
                <w:rFonts w:hint="eastAsia" w:ascii="宋体" w:hAnsi="宋体" w:cs="宋体"/>
                <w:szCs w:val="24"/>
              </w:rPr>
              <w:t>执行率（</w:t>
            </w:r>
            <w:r>
              <w:rPr>
                <w:rFonts w:ascii="宋体" w:hAnsi="宋体" w:cs="宋体"/>
                <w:szCs w:val="24"/>
              </w:rPr>
              <w:t>4</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color w:val="000000"/>
                <w:szCs w:val="24"/>
              </w:rPr>
            </w:pPr>
            <w:r>
              <w:rPr>
                <w:rFonts w:ascii="宋体" w:cs="宋体"/>
                <w:color w:val="000000"/>
                <w:szCs w:val="24"/>
              </w:rPr>
              <w:t>2</w:t>
            </w:r>
          </w:p>
        </w:tc>
        <w:tc>
          <w:tcPr>
            <w:tcW w:w="1576" w:type="pct"/>
            <w:tcMar>
              <w:top w:w="10" w:type="dxa"/>
              <w:left w:w="10" w:type="dxa"/>
              <w:bottom w:w="0" w:type="dxa"/>
              <w:right w:w="10" w:type="dxa"/>
            </w:tcMar>
            <w:vAlign w:val="center"/>
          </w:tcPr>
          <w:p>
            <w:pPr>
              <w:tabs>
                <w:tab w:val="left" w:pos="2604"/>
              </w:tabs>
              <w:spacing w:line="220" w:lineRule="exact"/>
              <w:ind w:left="105" w:leftChars="50" w:right="105" w:rightChars="50" w:firstLine="96" w:firstLineChars="46"/>
              <w:rPr>
                <w:rFonts w:ascii="宋体"/>
                <w:szCs w:val="24"/>
              </w:rPr>
            </w:pPr>
            <w:r>
              <w:rPr>
                <w:rFonts w:hint="eastAsia" w:ascii="宋体" w:hAnsi="宋体" w:cs="宋体"/>
                <w:szCs w:val="24"/>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政府采购执行率</w:t>
            </w:r>
            <w:r>
              <w:rPr>
                <w:rFonts w:ascii="宋体" w:hAnsi="宋体" w:cs="宋体"/>
                <w:szCs w:val="24"/>
              </w:rPr>
              <w:t>=</w:t>
            </w:r>
            <w:r>
              <w:rPr>
                <w:rFonts w:hint="eastAsia" w:ascii="宋体" w:hAnsi="宋体" w:cs="宋体"/>
                <w:szCs w:val="24"/>
              </w:rPr>
              <w:t>（实际政府采购金额</w:t>
            </w:r>
            <w:r>
              <w:rPr>
                <w:rFonts w:ascii="宋体" w:hAnsi="宋体" w:cs="宋体"/>
                <w:szCs w:val="24"/>
              </w:rPr>
              <w:t>/</w:t>
            </w:r>
            <w:r>
              <w:rPr>
                <w:rFonts w:hint="eastAsia" w:ascii="宋体" w:hAnsi="宋体" w:cs="宋体"/>
                <w:szCs w:val="24"/>
              </w:rPr>
              <w:t>政府采购预算数）×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政府采购预算：采购机关根据事业发展计划和行政任务编制的、并经过规定程序批准的年度政府采购计划。</w:t>
            </w:r>
            <w:r>
              <w:rPr>
                <w:rFonts w:ascii="宋体" w:hAnsi="宋体" w:cs="宋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9" w:hRule="atLeast"/>
          <w:jc w:val="center"/>
        </w:trPr>
        <w:tc>
          <w:tcPr>
            <w:tcW w:w="307" w:type="pct"/>
            <w:vMerge w:val="restart"/>
            <w:vAlign w:val="center"/>
          </w:tcPr>
          <w:p>
            <w:pPr>
              <w:spacing w:line="240" w:lineRule="exact"/>
              <w:jc w:val="center"/>
              <w:rPr>
                <w:rFonts w:ascii="宋体"/>
                <w:szCs w:val="24"/>
              </w:rPr>
            </w:pPr>
            <w:r>
              <w:rPr>
                <w:rFonts w:hint="eastAsia" w:ascii="宋体" w:hAnsi="宋体" w:cs="宋体"/>
                <w:szCs w:val="24"/>
              </w:rPr>
              <w:t>过</w:t>
            </w:r>
          </w:p>
          <w:p>
            <w:pPr>
              <w:spacing w:line="240" w:lineRule="exact"/>
              <w:jc w:val="center"/>
              <w:rPr>
                <w:rFonts w:ascii="宋体"/>
                <w:szCs w:val="24"/>
              </w:rPr>
            </w:pPr>
            <w:r>
              <w:rPr>
                <w:rFonts w:hint="eastAsia" w:ascii="宋体" w:hAnsi="宋体" w:cs="宋体"/>
                <w:szCs w:val="24"/>
              </w:rPr>
              <w:t>程（</w:t>
            </w:r>
            <w:r>
              <w:rPr>
                <w:rFonts w:ascii="宋体" w:hAnsi="宋体" w:cs="宋体"/>
                <w:szCs w:val="24"/>
              </w:rPr>
              <w:t>30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预算</w:t>
            </w:r>
            <w:r>
              <w:rPr>
                <w:rFonts w:ascii="宋体"/>
                <w:szCs w:val="24"/>
              </w:rPr>
              <w:br w:type="textWrapping"/>
            </w:r>
            <w:r>
              <w:rPr>
                <w:rFonts w:hint="eastAsia" w:ascii="宋体" w:hAnsi="宋体" w:cs="宋体"/>
                <w:szCs w:val="24"/>
              </w:rPr>
              <w:t>管理（</w:t>
            </w:r>
            <w:r>
              <w:rPr>
                <w:rFonts w:ascii="宋体" w:hAnsi="宋体" w:cs="宋体"/>
                <w:szCs w:val="24"/>
              </w:rPr>
              <w:t>5</w:t>
            </w:r>
            <w:r>
              <w:rPr>
                <w:rFonts w:hint="eastAsia" w:ascii="宋体" w:hAnsi="宋体" w:cs="宋体"/>
                <w:szCs w:val="24"/>
              </w:rPr>
              <w:t>分）</w:t>
            </w:r>
          </w:p>
          <w:p>
            <w:pPr>
              <w:spacing w:line="240" w:lineRule="exact"/>
              <w:jc w:val="center"/>
              <w:rPr>
                <w:rFonts w:ascii="宋体"/>
                <w:szCs w:val="24"/>
              </w:rPr>
            </w:pPr>
            <w:r>
              <w:rPr>
                <w:rFonts w:hint="eastAsia" w:ascii="宋体" w:hAnsi="宋体" w:cs="宋体"/>
                <w:szCs w:val="24"/>
              </w:rPr>
              <w:t>）</w:t>
            </w: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管理制度</w:t>
            </w:r>
          </w:p>
          <w:p>
            <w:pPr>
              <w:spacing w:line="240" w:lineRule="exact"/>
              <w:jc w:val="center"/>
              <w:rPr>
                <w:rFonts w:ascii="宋体"/>
                <w:szCs w:val="24"/>
              </w:rPr>
            </w:pPr>
            <w:r>
              <w:rPr>
                <w:rFonts w:hint="eastAsia" w:ascii="宋体" w:hAnsi="宋体" w:cs="宋体"/>
                <w:szCs w:val="24"/>
              </w:rPr>
              <w:t>健全性（</w:t>
            </w:r>
            <w:r>
              <w:rPr>
                <w:rFonts w:ascii="宋体" w:hAnsi="宋体" w:cs="宋体"/>
                <w:szCs w:val="24"/>
              </w:rPr>
              <w:t>2</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①是否已制定或具有预算资金管理办法、内部财务管理制度、会计核算制度等管理制度；</w:t>
            </w:r>
            <w:r>
              <w:rPr>
                <w:rFonts w:ascii="宋体"/>
                <w:szCs w:val="24"/>
              </w:rPr>
              <w:br w:type="textWrapping"/>
            </w:r>
            <w:r>
              <w:rPr>
                <w:rFonts w:hint="eastAsia" w:ascii="宋体" w:hAnsi="宋体" w:cs="宋体"/>
                <w:szCs w:val="24"/>
              </w:rPr>
              <w:t>②相关管理制度是否合法、合规、完整；</w:t>
            </w:r>
            <w:r>
              <w:rPr>
                <w:rFonts w:ascii="宋体"/>
                <w:szCs w:val="24"/>
              </w:rPr>
              <w:br w:type="textWrapping"/>
            </w:r>
            <w:r>
              <w:rPr>
                <w:rFonts w:hint="eastAsia" w:ascii="宋体" w:hAnsi="宋体" w:cs="宋体"/>
                <w:szCs w:val="24"/>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4" w:hRule="atLeast"/>
          <w:jc w:val="center"/>
        </w:trPr>
        <w:tc>
          <w:tcPr>
            <w:tcW w:w="307" w:type="pct"/>
            <w:vMerge w:val="continue"/>
            <w:vAlign w:val="center"/>
          </w:tcPr>
          <w:p>
            <w:pPr>
              <w:spacing w:line="240" w:lineRule="exact"/>
              <w:jc w:val="center"/>
              <w:rPr>
                <w:rFonts w:ascii="宋体"/>
                <w:szCs w:val="24"/>
              </w:rPr>
            </w:pPr>
          </w:p>
        </w:tc>
        <w:tc>
          <w:tcPr>
            <w:tcW w:w="375" w:type="pct"/>
            <w:vMerge w:val="continue"/>
            <w:vAlign w:val="center"/>
          </w:tcPr>
          <w:p>
            <w:pPr>
              <w:spacing w:line="240" w:lineRule="exact"/>
              <w:jc w:val="center"/>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资金使用</w:t>
            </w:r>
          </w:p>
          <w:p>
            <w:pPr>
              <w:spacing w:line="240" w:lineRule="exact"/>
              <w:jc w:val="center"/>
              <w:rPr>
                <w:rFonts w:ascii="宋体"/>
                <w:szCs w:val="24"/>
              </w:rPr>
            </w:pPr>
            <w:r>
              <w:rPr>
                <w:rFonts w:hint="eastAsia" w:ascii="宋体" w:hAnsi="宋体" w:cs="宋体"/>
                <w:szCs w:val="24"/>
              </w:rPr>
              <w:t>合规性（</w:t>
            </w:r>
            <w:r>
              <w:rPr>
                <w:rFonts w:ascii="宋体" w:hAnsi="宋体" w:cs="宋体"/>
                <w:szCs w:val="24"/>
              </w:rPr>
              <w:t>1</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①是否符合国家财经法规和财务管理制度规定以及有关预算支出管理办法的规定；</w:t>
            </w:r>
            <w:r>
              <w:rPr>
                <w:rFonts w:ascii="宋体"/>
                <w:szCs w:val="24"/>
              </w:rPr>
              <w:br w:type="textWrapping"/>
            </w:r>
            <w:r>
              <w:rPr>
                <w:rFonts w:hint="eastAsia" w:ascii="宋体" w:hAnsi="宋体" w:cs="宋体"/>
                <w:szCs w:val="24"/>
              </w:rPr>
              <w:t>②资金的拨付是否有完整的审批程序和手续；</w:t>
            </w:r>
            <w:r>
              <w:rPr>
                <w:rFonts w:ascii="宋体"/>
                <w:szCs w:val="24"/>
              </w:rPr>
              <w:br w:type="textWrapping"/>
            </w:r>
            <w:r>
              <w:rPr>
                <w:rFonts w:hint="eastAsia" w:ascii="宋体" w:hAnsi="宋体" w:cs="宋体"/>
                <w:szCs w:val="24"/>
              </w:rPr>
              <w:t>③预算支出的重大开支是否经过评估论证；</w:t>
            </w:r>
            <w:r>
              <w:rPr>
                <w:rFonts w:ascii="宋体"/>
                <w:szCs w:val="24"/>
              </w:rPr>
              <w:br w:type="textWrapping"/>
            </w:r>
            <w:r>
              <w:rPr>
                <w:rFonts w:hint="eastAsia" w:ascii="宋体" w:hAnsi="宋体" w:cs="宋体"/>
                <w:szCs w:val="24"/>
              </w:rPr>
              <w:t>④是否符合部门预算批复的用途；</w:t>
            </w:r>
            <w:r>
              <w:rPr>
                <w:rFonts w:ascii="宋体"/>
                <w:szCs w:val="24"/>
              </w:rPr>
              <w:br w:type="textWrapping"/>
            </w:r>
            <w:r>
              <w:rPr>
                <w:rFonts w:hint="eastAsia" w:ascii="宋体" w:hAnsi="宋体" w:cs="宋体"/>
                <w:szCs w:val="24"/>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jc w:val="center"/>
        </w:trPr>
        <w:tc>
          <w:tcPr>
            <w:tcW w:w="307" w:type="pct"/>
            <w:vMerge w:val="continue"/>
            <w:vAlign w:val="center"/>
          </w:tcPr>
          <w:p>
            <w:pPr>
              <w:spacing w:line="240" w:lineRule="exact"/>
              <w:jc w:val="center"/>
              <w:rPr>
                <w:rFonts w:ascii="宋体"/>
                <w:szCs w:val="24"/>
              </w:rPr>
            </w:pPr>
          </w:p>
        </w:tc>
        <w:tc>
          <w:tcPr>
            <w:tcW w:w="375" w:type="pct"/>
            <w:vMerge w:val="continue"/>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预决算信</w:t>
            </w:r>
          </w:p>
          <w:p>
            <w:pPr>
              <w:spacing w:line="240" w:lineRule="exact"/>
              <w:jc w:val="center"/>
              <w:rPr>
                <w:rFonts w:ascii="宋体"/>
                <w:szCs w:val="24"/>
              </w:rPr>
            </w:pPr>
            <w:r>
              <w:rPr>
                <w:rFonts w:hint="eastAsia" w:ascii="宋体" w:hAnsi="宋体" w:cs="宋体"/>
                <w:szCs w:val="24"/>
              </w:rPr>
              <w:t>息公开性（</w:t>
            </w:r>
            <w:r>
              <w:rPr>
                <w:rFonts w:ascii="宋体" w:hAnsi="宋体" w:cs="宋体"/>
                <w:szCs w:val="24"/>
              </w:rPr>
              <w:t>1</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①是否按规定内容公开预决算信息；</w:t>
            </w:r>
            <w:r>
              <w:rPr>
                <w:rFonts w:ascii="宋体"/>
                <w:szCs w:val="24"/>
              </w:rPr>
              <w:br w:type="textWrapping"/>
            </w:r>
            <w:r>
              <w:rPr>
                <w:rFonts w:hint="eastAsia" w:ascii="宋体" w:hAnsi="宋体" w:cs="宋体"/>
                <w:szCs w:val="24"/>
              </w:rPr>
              <w:t>②是否按规定时限公开预决算信息。</w:t>
            </w:r>
            <w:r>
              <w:rPr>
                <w:rFonts w:ascii="宋体"/>
                <w:szCs w:val="24"/>
              </w:rPr>
              <w:br w:type="textWrapping"/>
            </w:r>
            <w:r>
              <w:rPr>
                <w:rFonts w:hint="eastAsia" w:ascii="宋体" w:hAnsi="宋体" w:cs="宋体"/>
                <w:szCs w:val="24"/>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2" w:hRule="atLeast"/>
          <w:jc w:val="center"/>
        </w:trPr>
        <w:tc>
          <w:tcPr>
            <w:tcW w:w="307" w:type="pct"/>
            <w:vMerge w:val="continue"/>
            <w:vAlign w:val="center"/>
          </w:tcPr>
          <w:p>
            <w:pPr>
              <w:spacing w:line="240" w:lineRule="exact"/>
              <w:jc w:val="center"/>
              <w:rPr>
                <w:rFonts w:ascii="宋体"/>
                <w:szCs w:val="24"/>
              </w:rPr>
            </w:pPr>
          </w:p>
        </w:tc>
        <w:tc>
          <w:tcPr>
            <w:tcW w:w="375" w:type="pct"/>
            <w:vMerge w:val="continue"/>
            <w:vAlign w:val="center"/>
          </w:tcPr>
          <w:p>
            <w:pPr>
              <w:spacing w:line="240" w:lineRule="exact"/>
              <w:jc w:val="center"/>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基础信息</w:t>
            </w:r>
          </w:p>
          <w:p>
            <w:pPr>
              <w:spacing w:line="240" w:lineRule="exact"/>
              <w:jc w:val="center"/>
              <w:rPr>
                <w:rFonts w:ascii="宋体"/>
                <w:szCs w:val="24"/>
              </w:rPr>
            </w:pPr>
            <w:r>
              <w:rPr>
                <w:rFonts w:hint="eastAsia" w:ascii="宋体" w:hAnsi="宋体" w:cs="宋体"/>
                <w:szCs w:val="24"/>
              </w:rPr>
              <w:t>完善性（</w:t>
            </w:r>
            <w:r>
              <w:rPr>
                <w:rFonts w:ascii="宋体" w:hAnsi="宋体" w:cs="宋体"/>
                <w:szCs w:val="24"/>
              </w:rPr>
              <w:t>1</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部门基础信息是否完善，用以反映和考核基础信息对预算管理工作的支撑情况。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①基础数据信息和会计信息资料是否真实；</w:t>
            </w:r>
            <w:r>
              <w:rPr>
                <w:rFonts w:ascii="宋体"/>
                <w:szCs w:val="24"/>
              </w:rPr>
              <w:br w:type="textWrapping"/>
            </w:r>
            <w:r>
              <w:rPr>
                <w:rFonts w:hint="eastAsia" w:ascii="宋体" w:hAnsi="宋体" w:cs="宋体"/>
                <w:szCs w:val="24"/>
              </w:rPr>
              <w:t>②基础数据信息和会计信息资料是否完整；</w:t>
            </w:r>
            <w:r>
              <w:rPr>
                <w:rFonts w:ascii="宋体"/>
                <w:szCs w:val="24"/>
              </w:rPr>
              <w:br w:type="textWrapping"/>
            </w:r>
            <w:r>
              <w:rPr>
                <w:rFonts w:hint="eastAsia" w:ascii="宋体" w:hAnsi="宋体" w:cs="宋体"/>
                <w:szCs w:val="24"/>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szCs w:val="24"/>
              </w:rPr>
            </w:pPr>
          </w:p>
        </w:tc>
        <w:tc>
          <w:tcPr>
            <w:tcW w:w="375" w:type="pct"/>
            <w:vMerge w:val="restar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资产</w:t>
            </w:r>
            <w:r>
              <w:rPr>
                <w:rFonts w:ascii="宋体"/>
                <w:szCs w:val="24"/>
              </w:rPr>
              <w:br w:type="textWrapping"/>
            </w:r>
            <w:r>
              <w:rPr>
                <w:rFonts w:hint="eastAsia" w:ascii="宋体" w:hAnsi="宋体" w:cs="宋体"/>
                <w:szCs w:val="24"/>
              </w:rPr>
              <w:t>管理（</w:t>
            </w:r>
            <w:r>
              <w:rPr>
                <w:rFonts w:ascii="宋体" w:hAnsi="宋体" w:cs="宋体"/>
                <w:szCs w:val="24"/>
              </w:rPr>
              <w:t>5</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管理制度</w:t>
            </w:r>
          </w:p>
          <w:p>
            <w:pPr>
              <w:spacing w:line="240" w:lineRule="exact"/>
              <w:jc w:val="center"/>
              <w:rPr>
                <w:rFonts w:ascii="宋体"/>
                <w:szCs w:val="24"/>
              </w:rPr>
            </w:pPr>
            <w:r>
              <w:rPr>
                <w:rFonts w:hint="eastAsia" w:ascii="宋体" w:hAnsi="宋体" w:cs="宋体"/>
                <w:szCs w:val="24"/>
              </w:rPr>
              <w:t>健全性（</w:t>
            </w:r>
            <w:r>
              <w:rPr>
                <w:rFonts w:ascii="宋体" w:hAnsi="宋体" w:cs="宋体"/>
                <w:szCs w:val="24"/>
              </w:rPr>
              <w:t>2</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89" w:firstLineChars="46"/>
              <w:rPr>
                <w:rFonts w:ascii="宋体"/>
                <w:spacing w:val="-8"/>
                <w:szCs w:val="24"/>
              </w:rPr>
            </w:pPr>
            <w:r>
              <w:rPr>
                <w:rFonts w:hint="eastAsia" w:ascii="宋体" w:hAnsi="宋体" w:cs="宋体"/>
                <w:spacing w:val="-8"/>
                <w:szCs w:val="24"/>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pacing w:val="-8"/>
                <w:szCs w:val="24"/>
              </w:rPr>
            </w:pPr>
            <w:r>
              <w:rPr>
                <w:rFonts w:hint="eastAsia" w:ascii="宋体" w:hAnsi="宋体" w:cs="宋体"/>
                <w:spacing w:val="-8"/>
                <w:szCs w:val="24"/>
              </w:rPr>
              <w:t>评价要点：</w:t>
            </w:r>
            <w:r>
              <w:rPr>
                <w:rFonts w:ascii="宋体"/>
                <w:spacing w:val="-8"/>
                <w:szCs w:val="24"/>
              </w:rPr>
              <w:br w:type="textWrapping"/>
            </w:r>
            <w:r>
              <w:rPr>
                <w:rFonts w:hint="eastAsia" w:ascii="宋体" w:hAnsi="宋体" w:cs="宋体"/>
                <w:spacing w:val="-8"/>
                <w:szCs w:val="24"/>
              </w:rPr>
              <w:t>①是否已制定或具有资产管理制度；</w:t>
            </w:r>
            <w:r>
              <w:rPr>
                <w:rFonts w:ascii="宋体" w:hAnsi="宋体" w:cs="宋体"/>
                <w:spacing w:val="-8"/>
                <w:szCs w:val="24"/>
              </w:rPr>
              <w:t xml:space="preserve">           </w:t>
            </w:r>
            <w:r>
              <w:rPr>
                <w:rFonts w:hint="eastAsia" w:ascii="宋体" w:hAnsi="宋体" w:cs="宋体"/>
                <w:spacing w:val="-8"/>
                <w:szCs w:val="24"/>
              </w:rPr>
              <w:t>②相关资金管理制度是否合法、合规、完整；</w:t>
            </w:r>
            <w:r>
              <w:rPr>
                <w:rFonts w:ascii="宋体"/>
                <w:spacing w:val="-8"/>
                <w:szCs w:val="24"/>
              </w:rPr>
              <w:br w:type="textWrapping"/>
            </w:r>
            <w:r>
              <w:rPr>
                <w:rFonts w:hint="eastAsia" w:ascii="宋体" w:hAnsi="宋体" w:cs="宋体"/>
                <w:spacing w:val="-8"/>
                <w:szCs w:val="24"/>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vAlign w:val="center"/>
          </w:tcPr>
          <w:p>
            <w:pPr>
              <w:spacing w:line="240" w:lineRule="exact"/>
              <w:jc w:val="center"/>
              <w:rPr>
                <w:rFonts w:ascii="宋体"/>
                <w:szCs w:val="24"/>
              </w:rPr>
            </w:pPr>
          </w:p>
        </w:tc>
        <w:tc>
          <w:tcPr>
            <w:tcW w:w="375" w:type="pct"/>
            <w:vMerge w:val="continue"/>
            <w:vAlign w:val="center"/>
          </w:tcPr>
          <w:p>
            <w:pPr>
              <w:spacing w:line="240" w:lineRule="exact"/>
              <w:jc w:val="center"/>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资产管理</w:t>
            </w:r>
          </w:p>
          <w:p>
            <w:pPr>
              <w:spacing w:line="240" w:lineRule="exact"/>
              <w:jc w:val="center"/>
              <w:rPr>
                <w:rFonts w:ascii="宋体"/>
                <w:szCs w:val="24"/>
              </w:rPr>
            </w:pPr>
            <w:r>
              <w:rPr>
                <w:rFonts w:hint="eastAsia" w:ascii="宋体" w:hAnsi="宋体" w:cs="宋体"/>
                <w:szCs w:val="24"/>
              </w:rPr>
              <w:t>安全性（</w:t>
            </w:r>
            <w:r>
              <w:rPr>
                <w:rFonts w:ascii="宋体" w:hAnsi="宋体" w:cs="宋体"/>
                <w:szCs w:val="24"/>
              </w:rPr>
              <w:t>2</w:t>
            </w:r>
            <w:r>
              <w:rPr>
                <w:rFonts w:hint="eastAsia" w:ascii="宋体" w:hAnsi="宋体" w:cs="宋体"/>
                <w:szCs w:val="24"/>
              </w:rPr>
              <w:t>分）</w:t>
            </w:r>
          </w:p>
        </w:tc>
        <w:tc>
          <w:tcPr>
            <w:tcW w:w="375" w:type="pct"/>
            <w:vAlign w:val="center"/>
          </w:tcPr>
          <w:p>
            <w:pPr>
              <w:tabs>
                <w:tab w:val="left" w:pos="761"/>
                <w:tab w:val="left" w:pos="2604"/>
              </w:tabs>
              <w:spacing w:line="240" w:lineRule="exact"/>
              <w:ind w:left="105" w:leftChars="50" w:right="105" w:rightChars="50" w:firstLine="96" w:firstLineChars="46"/>
              <w:jc w:val="center"/>
              <w:rPr>
                <w:rFonts w:ascii="宋体"/>
                <w:szCs w:val="24"/>
              </w:rPr>
            </w:pPr>
            <w:r>
              <w:rPr>
                <w:rFonts w:ascii="宋体" w:cs="宋体"/>
                <w:szCs w:val="24"/>
              </w:rPr>
              <w:t>2</w:t>
            </w:r>
          </w:p>
        </w:tc>
        <w:tc>
          <w:tcPr>
            <w:tcW w:w="1576" w:type="pct"/>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pPr>
              <w:spacing w:line="220" w:lineRule="exact"/>
              <w:ind w:left="105" w:leftChars="50" w:right="105" w:rightChars="50"/>
              <w:rPr>
                <w:rFonts w:ascii="宋体"/>
                <w:szCs w:val="24"/>
              </w:rPr>
            </w:pPr>
            <w:r>
              <w:rPr>
                <w:rFonts w:hint="eastAsia" w:ascii="宋体" w:hAnsi="宋体" w:cs="宋体"/>
                <w:szCs w:val="24"/>
              </w:rPr>
              <w:t>评价要点：</w:t>
            </w:r>
            <w:r>
              <w:rPr>
                <w:rFonts w:ascii="宋体"/>
                <w:szCs w:val="24"/>
              </w:rPr>
              <w:br w:type="textWrapping"/>
            </w:r>
            <w:r>
              <w:rPr>
                <w:rFonts w:hint="eastAsia" w:ascii="宋体" w:hAnsi="宋体" w:cs="宋体"/>
                <w:szCs w:val="24"/>
              </w:rPr>
              <w:t>①资产保存是否完整；</w:t>
            </w:r>
            <w:r>
              <w:rPr>
                <w:rFonts w:ascii="宋体"/>
                <w:szCs w:val="24"/>
              </w:rPr>
              <w:br w:type="textWrapping"/>
            </w:r>
            <w:r>
              <w:rPr>
                <w:rFonts w:hint="eastAsia" w:ascii="宋体" w:hAnsi="宋体" w:cs="宋体"/>
                <w:szCs w:val="24"/>
              </w:rPr>
              <w:t>②资产配置是否合理；</w:t>
            </w:r>
            <w:r>
              <w:rPr>
                <w:rFonts w:ascii="宋体"/>
                <w:szCs w:val="24"/>
              </w:rPr>
              <w:br w:type="textWrapping"/>
            </w:r>
            <w:r>
              <w:rPr>
                <w:rFonts w:hint="eastAsia" w:ascii="宋体" w:hAnsi="宋体" w:cs="宋体"/>
                <w:szCs w:val="24"/>
              </w:rPr>
              <w:t>③资产处置是否规范；</w:t>
            </w:r>
            <w:r>
              <w:rPr>
                <w:rFonts w:ascii="宋体"/>
                <w:szCs w:val="24"/>
              </w:rPr>
              <w:br w:type="textWrapping"/>
            </w:r>
            <w:r>
              <w:rPr>
                <w:rFonts w:hint="eastAsia" w:ascii="宋体" w:hAnsi="宋体" w:cs="宋体"/>
                <w:szCs w:val="24"/>
              </w:rPr>
              <w:t>④资产账务管理是否合规，是否帐实相符；</w:t>
            </w:r>
            <w:r>
              <w:rPr>
                <w:rFonts w:ascii="宋体"/>
                <w:szCs w:val="24"/>
              </w:rPr>
              <w:br w:type="textWrapping"/>
            </w:r>
            <w:r>
              <w:rPr>
                <w:rFonts w:hint="eastAsia" w:ascii="宋体" w:hAnsi="宋体" w:cs="宋体"/>
                <w:szCs w:val="24"/>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vAlign w:val="center"/>
          </w:tcPr>
          <w:p>
            <w:pPr>
              <w:spacing w:line="240" w:lineRule="exact"/>
              <w:rPr>
                <w:rFonts w:ascii="宋体"/>
                <w:szCs w:val="24"/>
              </w:rPr>
            </w:pPr>
          </w:p>
        </w:tc>
        <w:tc>
          <w:tcPr>
            <w:tcW w:w="375" w:type="pct"/>
            <w:vMerge w:val="continue"/>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固定资产</w:t>
            </w:r>
          </w:p>
          <w:p>
            <w:pPr>
              <w:spacing w:line="240" w:lineRule="exact"/>
              <w:jc w:val="center"/>
              <w:rPr>
                <w:rFonts w:ascii="宋体"/>
                <w:szCs w:val="24"/>
              </w:rPr>
            </w:pPr>
            <w:r>
              <w:rPr>
                <w:rFonts w:hint="eastAsia" w:ascii="宋体" w:hAnsi="宋体" w:cs="宋体"/>
                <w:szCs w:val="24"/>
              </w:rPr>
              <w:t>利用率（</w:t>
            </w:r>
            <w:r>
              <w:rPr>
                <w:rFonts w:ascii="宋体" w:hAnsi="宋体" w:cs="宋体"/>
                <w:szCs w:val="24"/>
              </w:rPr>
              <w:t>1</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1</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szCs w:val="24"/>
              </w:rPr>
            </w:pPr>
            <w:r>
              <w:rPr>
                <w:rFonts w:hint="eastAsia" w:ascii="宋体" w:hAnsi="宋体" w:cs="宋体"/>
                <w:szCs w:val="24"/>
              </w:rPr>
              <w:t>固定资产利用率</w:t>
            </w:r>
            <w:r>
              <w:rPr>
                <w:rFonts w:ascii="宋体" w:hAnsi="宋体" w:cs="宋体"/>
                <w:szCs w:val="24"/>
              </w:rPr>
              <w:t>=</w:t>
            </w:r>
            <w:r>
              <w:rPr>
                <w:rFonts w:hint="eastAsia" w:ascii="宋体" w:hAnsi="宋体" w:cs="宋体"/>
                <w:szCs w:val="24"/>
              </w:rPr>
              <w:t>（实际在用固定资产总额</w:t>
            </w:r>
            <w:r>
              <w:rPr>
                <w:rFonts w:ascii="宋体" w:hAnsi="宋体" w:cs="宋体"/>
                <w:szCs w:val="24"/>
              </w:rPr>
              <w:t>/</w:t>
            </w:r>
            <w:r>
              <w:rPr>
                <w:rFonts w:hint="eastAsia" w:ascii="宋体" w:hAnsi="宋体" w:cs="宋体"/>
                <w:szCs w:val="24"/>
              </w:rPr>
              <w:t>所有固定资产总额）×</w:t>
            </w:r>
            <w:r>
              <w:rPr>
                <w:rFonts w:ascii="宋体" w:hAnsi="宋体" w:cs="宋体"/>
                <w:szCs w:val="24"/>
              </w:rPr>
              <w:t>100%</w:t>
            </w:r>
            <w:r>
              <w:rPr>
                <w:rFonts w:hint="eastAsia" w:ascii="宋体" w:hAnsi="宋体" w:cs="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szCs w:val="24"/>
              </w:rPr>
            </w:pPr>
            <w:r>
              <w:rPr>
                <w:rFonts w:hint="eastAsia" w:ascii="宋体" w:hAnsi="宋体" w:cs="宋体"/>
                <w:szCs w:val="24"/>
              </w:rPr>
              <w:t>产</w:t>
            </w:r>
            <w:r>
              <w:rPr>
                <w:rFonts w:ascii="宋体" w:hAnsi="宋体" w:cs="宋体"/>
                <w:szCs w:val="24"/>
              </w:rPr>
              <w:t xml:space="preserve">   </w:t>
            </w:r>
            <w:r>
              <w:rPr>
                <w:rFonts w:hint="eastAsia" w:ascii="宋体" w:hAnsi="宋体" w:cs="宋体"/>
                <w:szCs w:val="24"/>
              </w:rPr>
              <w:t>出（</w:t>
            </w:r>
            <w:r>
              <w:rPr>
                <w:rFonts w:ascii="宋体" w:hAnsi="宋体" w:cs="宋体"/>
                <w:szCs w:val="24"/>
              </w:rPr>
              <w:t>30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职责</w:t>
            </w:r>
            <w:r>
              <w:rPr>
                <w:rFonts w:ascii="宋体"/>
                <w:szCs w:val="24"/>
              </w:rPr>
              <w:br w:type="textWrapping"/>
            </w:r>
            <w:r>
              <w:rPr>
                <w:rFonts w:hint="eastAsia" w:ascii="宋体" w:hAnsi="宋体" w:cs="宋体"/>
                <w:szCs w:val="24"/>
              </w:rPr>
              <w:t>履行（</w:t>
            </w:r>
            <w:r>
              <w:rPr>
                <w:rFonts w:ascii="宋体" w:hAnsi="宋体" w:cs="宋体"/>
                <w:szCs w:val="24"/>
              </w:rPr>
              <w:t>30</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实际</w:t>
            </w:r>
          </w:p>
          <w:p>
            <w:pPr>
              <w:spacing w:line="240" w:lineRule="exact"/>
              <w:jc w:val="center"/>
              <w:rPr>
                <w:rFonts w:ascii="宋体"/>
                <w:szCs w:val="24"/>
              </w:rPr>
            </w:pPr>
            <w:r>
              <w:rPr>
                <w:rFonts w:hint="eastAsia" w:ascii="宋体" w:hAnsi="宋体" w:cs="宋体"/>
                <w:szCs w:val="24"/>
              </w:rPr>
              <w:t>完成率（</w:t>
            </w:r>
            <w:r>
              <w:rPr>
                <w:rFonts w:ascii="宋体" w:hAnsi="宋体" w:cs="宋体"/>
                <w:szCs w:val="24"/>
              </w:rPr>
              <w:t>8</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szCs w:val="24"/>
              </w:rPr>
            </w:pPr>
            <w:r>
              <w:rPr>
                <w:rFonts w:hint="eastAsia" w:ascii="宋体" w:hAnsi="宋体" w:cs="宋体"/>
                <w:szCs w:val="24"/>
              </w:rPr>
              <w:t>实际完成率</w:t>
            </w:r>
            <w:r>
              <w:rPr>
                <w:rFonts w:ascii="宋体" w:hAnsi="宋体" w:cs="宋体"/>
                <w:szCs w:val="24"/>
              </w:rPr>
              <w:t>=</w:t>
            </w:r>
            <w:r>
              <w:rPr>
                <w:rFonts w:hint="eastAsia" w:ascii="宋体" w:hAnsi="宋体" w:cs="宋体"/>
                <w:szCs w:val="24"/>
              </w:rPr>
              <w:t>（实际完成工作数</w:t>
            </w:r>
            <w:r>
              <w:rPr>
                <w:rFonts w:ascii="宋体" w:hAnsi="宋体" w:cs="宋体"/>
                <w:szCs w:val="24"/>
              </w:rPr>
              <w:t>/</w:t>
            </w:r>
            <w:r>
              <w:rPr>
                <w:rFonts w:hint="eastAsia" w:ascii="宋体" w:hAnsi="宋体" w:cs="宋体"/>
                <w:szCs w:val="24"/>
              </w:rPr>
              <w:t>计划工作数）×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实际完成工作数：一定时期（年度或规划期）内部门实际完成工作任务的数量。</w:t>
            </w:r>
            <w:r>
              <w:rPr>
                <w:rFonts w:ascii="宋体"/>
                <w:szCs w:val="24"/>
              </w:rPr>
              <w:br w:type="textWrapping"/>
            </w:r>
            <w:r>
              <w:rPr>
                <w:rFonts w:hint="eastAsia" w:ascii="宋体" w:hAnsi="宋体" w:cs="宋体"/>
                <w:szCs w:val="24"/>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textDirection w:val="tbRlV"/>
            <w:vAlign w:val="center"/>
          </w:tcPr>
          <w:p>
            <w:pPr>
              <w:spacing w:line="240" w:lineRule="exact"/>
              <w:ind w:left="113"/>
              <w:jc w:val="center"/>
              <w:rPr>
                <w:rFonts w:ascii="宋体"/>
                <w:szCs w:val="24"/>
              </w:rPr>
            </w:pPr>
          </w:p>
        </w:tc>
        <w:tc>
          <w:tcPr>
            <w:tcW w:w="375" w:type="pct"/>
            <w:vMerge w:val="continue"/>
            <w:vAlign w:val="center"/>
          </w:tcPr>
          <w:p>
            <w:pPr>
              <w:spacing w:line="240" w:lineRule="exact"/>
              <w:jc w:val="center"/>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完成</w:t>
            </w:r>
          </w:p>
          <w:p>
            <w:pPr>
              <w:spacing w:line="240" w:lineRule="exact"/>
              <w:jc w:val="center"/>
              <w:rPr>
                <w:rFonts w:ascii="宋体"/>
                <w:szCs w:val="24"/>
              </w:rPr>
            </w:pPr>
            <w:r>
              <w:rPr>
                <w:rFonts w:hint="eastAsia" w:ascii="宋体" w:hAnsi="宋体" w:cs="宋体"/>
                <w:szCs w:val="24"/>
              </w:rPr>
              <w:t>及时率（</w:t>
            </w:r>
            <w:r>
              <w:rPr>
                <w:rFonts w:ascii="宋体" w:hAnsi="宋体" w:cs="宋体"/>
                <w:szCs w:val="24"/>
              </w:rPr>
              <w:t>4</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4</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部门在规定时限内及时完成的实际工作数与计划工作数的比率</w:t>
            </w:r>
            <w:r>
              <w:rPr>
                <w:rFonts w:ascii="宋体" w:cs="宋体"/>
                <w:szCs w:val="24"/>
              </w:rPr>
              <w:t>,</w:t>
            </w:r>
            <w:r>
              <w:rPr>
                <w:rFonts w:hint="eastAsia" w:ascii="宋体" w:hAnsi="宋体" w:cs="宋体"/>
                <w:szCs w:val="24"/>
              </w:rPr>
              <w:t>用以反映和考核部门履职时效目标的实现程度。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szCs w:val="24"/>
              </w:rPr>
            </w:pPr>
            <w:r>
              <w:rPr>
                <w:rFonts w:hint="eastAsia" w:ascii="宋体" w:hAnsi="宋体" w:cs="宋体"/>
                <w:szCs w:val="24"/>
              </w:rPr>
              <w:t>完成及时率</w:t>
            </w:r>
            <w:r>
              <w:rPr>
                <w:rFonts w:ascii="宋体" w:hAnsi="宋体" w:cs="宋体"/>
                <w:szCs w:val="24"/>
              </w:rPr>
              <w:t>=</w:t>
            </w:r>
            <w:r>
              <w:rPr>
                <w:rFonts w:hint="eastAsia" w:ascii="宋体" w:hAnsi="宋体" w:cs="宋体"/>
                <w:szCs w:val="24"/>
              </w:rPr>
              <w:t>（及时完成实际工作数</w:t>
            </w:r>
            <w:r>
              <w:rPr>
                <w:rFonts w:ascii="宋体" w:hAnsi="宋体" w:cs="宋体"/>
                <w:szCs w:val="24"/>
              </w:rPr>
              <w:t>/</w:t>
            </w:r>
            <w:r>
              <w:rPr>
                <w:rFonts w:hint="eastAsia" w:ascii="宋体" w:hAnsi="宋体" w:cs="宋体"/>
                <w:szCs w:val="24"/>
              </w:rPr>
              <w:t>计划工作数）×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vAlign w:val="center"/>
          </w:tcPr>
          <w:p>
            <w:pPr>
              <w:spacing w:line="240" w:lineRule="exact"/>
              <w:rPr>
                <w:rFonts w:ascii="宋体"/>
                <w:szCs w:val="24"/>
              </w:rPr>
            </w:pPr>
          </w:p>
        </w:tc>
        <w:tc>
          <w:tcPr>
            <w:tcW w:w="375" w:type="pct"/>
            <w:vMerge w:val="continue"/>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质量</w:t>
            </w:r>
          </w:p>
          <w:p>
            <w:pPr>
              <w:spacing w:line="240" w:lineRule="exact"/>
              <w:jc w:val="center"/>
              <w:rPr>
                <w:rFonts w:ascii="宋体"/>
                <w:szCs w:val="24"/>
              </w:rPr>
            </w:pPr>
            <w:r>
              <w:rPr>
                <w:rFonts w:hint="eastAsia" w:ascii="宋体" w:hAnsi="宋体" w:cs="宋体"/>
                <w:szCs w:val="24"/>
              </w:rPr>
              <w:t>达标率（</w:t>
            </w:r>
            <w:r>
              <w:rPr>
                <w:rFonts w:ascii="宋体" w:hAnsi="宋体" w:cs="宋体"/>
                <w:szCs w:val="24"/>
              </w:rPr>
              <w:t>8</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8</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达到质量标准（绩效标准值）的实际工作数与计划工作数的比率</w:t>
            </w:r>
            <w:r>
              <w:rPr>
                <w:rFonts w:ascii="宋体" w:cs="宋体"/>
                <w:szCs w:val="24"/>
              </w:rPr>
              <w:t>,</w:t>
            </w:r>
            <w:r>
              <w:rPr>
                <w:rFonts w:hint="eastAsia" w:ascii="宋体" w:hAnsi="宋体" w:cs="宋体"/>
                <w:szCs w:val="24"/>
              </w:rPr>
              <w:t>用以反映和考核部门履职质量目标的实现程度。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szCs w:val="24"/>
              </w:rPr>
            </w:pPr>
            <w:r>
              <w:rPr>
                <w:rFonts w:hint="eastAsia" w:ascii="宋体" w:hAnsi="宋体" w:cs="宋体"/>
                <w:szCs w:val="24"/>
              </w:rPr>
              <w:t>质量达标率</w:t>
            </w:r>
            <w:r>
              <w:rPr>
                <w:rFonts w:ascii="宋体" w:hAnsi="宋体" w:cs="宋体"/>
                <w:szCs w:val="24"/>
              </w:rPr>
              <w:t>=</w:t>
            </w:r>
            <w:r>
              <w:rPr>
                <w:rFonts w:hint="eastAsia" w:ascii="宋体" w:hAnsi="宋体" w:cs="宋体"/>
                <w:szCs w:val="24"/>
              </w:rPr>
              <w:t>（质量达标实际工作数</w:t>
            </w:r>
            <w:r>
              <w:rPr>
                <w:rFonts w:ascii="宋体" w:hAnsi="宋体" w:cs="宋体"/>
                <w:szCs w:val="24"/>
              </w:rPr>
              <w:t>/</w:t>
            </w:r>
            <w:r>
              <w:rPr>
                <w:rFonts w:hint="eastAsia" w:ascii="宋体" w:hAnsi="宋体" w:cs="宋体"/>
                <w:szCs w:val="24"/>
              </w:rPr>
              <w:t>计划工作数）×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vAlign w:val="center"/>
          </w:tcPr>
          <w:p>
            <w:pPr>
              <w:spacing w:line="240" w:lineRule="exact"/>
              <w:rPr>
                <w:rFonts w:ascii="宋体"/>
                <w:szCs w:val="24"/>
              </w:rPr>
            </w:pPr>
          </w:p>
        </w:tc>
        <w:tc>
          <w:tcPr>
            <w:tcW w:w="375" w:type="pct"/>
            <w:vMerge w:val="continue"/>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重点工作</w:t>
            </w:r>
          </w:p>
          <w:p>
            <w:pPr>
              <w:spacing w:line="240" w:lineRule="exact"/>
              <w:jc w:val="center"/>
              <w:rPr>
                <w:rFonts w:ascii="宋体"/>
                <w:szCs w:val="24"/>
              </w:rPr>
            </w:pPr>
            <w:r>
              <w:rPr>
                <w:rFonts w:hint="eastAsia" w:ascii="宋体" w:hAnsi="宋体" w:cs="宋体"/>
                <w:szCs w:val="24"/>
              </w:rPr>
              <w:t>办结率（</w:t>
            </w:r>
            <w:r>
              <w:rPr>
                <w:rFonts w:ascii="宋体" w:hAnsi="宋体" w:cs="宋体"/>
                <w:szCs w:val="24"/>
              </w:rPr>
              <w:t>10</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10</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szCs w:val="24"/>
              </w:rPr>
            </w:pPr>
            <w:r>
              <w:rPr>
                <w:rFonts w:hint="eastAsia" w:ascii="宋体" w:hAnsi="宋体" w:cs="宋体"/>
                <w:szCs w:val="24"/>
              </w:rPr>
              <w:t>重点工作办结率</w:t>
            </w:r>
            <w:r>
              <w:rPr>
                <w:rFonts w:ascii="宋体" w:hAnsi="宋体" w:cs="宋体"/>
                <w:szCs w:val="24"/>
              </w:rPr>
              <w:t>=</w:t>
            </w:r>
            <w:r>
              <w:rPr>
                <w:rFonts w:hint="eastAsia" w:ascii="宋体" w:hAnsi="宋体" w:cs="宋体"/>
                <w:szCs w:val="24"/>
              </w:rPr>
              <w:t>（重点工作实际完成数</w:t>
            </w:r>
            <w:r>
              <w:rPr>
                <w:rFonts w:ascii="宋体" w:hAnsi="宋体" w:cs="宋体"/>
                <w:szCs w:val="24"/>
              </w:rPr>
              <w:t>/</w:t>
            </w:r>
            <w:r>
              <w:rPr>
                <w:rFonts w:hint="eastAsia" w:ascii="宋体" w:hAnsi="宋体" w:cs="宋体"/>
                <w:szCs w:val="24"/>
              </w:rPr>
              <w:t>交办或下达数）×</w:t>
            </w:r>
            <w:r>
              <w:rPr>
                <w:rFonts w:ascii="宋体" w:hAnsi="宋体" w:cs="宋体"/>
                <w:szCs w:val="24"/>
              </w:rPr>
              <w:t>100%</w:t>
            </w:r>
            <w:r>
              <w:rPr>
                <w:rFonts w:hint="eastAsia" w:ascii="宋体" w:hAnsi="宋体" w:cs="宋体"/>
                <w:szCs w:val="24"/>
              </w:rPr>
              <w:t>。</w:t>
            </w:r>
            <w:r>
              <w:rPr>
                <w:rFonts w:ascii="宋体"/>
                <w:szCs w:val="24"/>
              </w:rPr>
              <w:br w:type="textWrapping"/>
            </w:r>
            <w:r>
              <w:rPr>
                <w:rFonts w:hint="eastAsia" w:ascii="宋体" w:hAnsi="宋体" w:cs="宋体"/>
                <w:szCs w:val="24"/>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szCs w:val="24"/>
              </w:rPr>
            </w:pPr>
            <w:r>
              <w:rPr>
                <w:rFonts w:hint="eastAsia" w:ascii="宋体" w:hAnsi="宋体" w:cs="宋体"/>
                <w:szCs w:val="24"/>
              </w:rPr>
              <w:t>效</w:t>
            </w:r>
            <w:r>
              <w:rPr>
                <w:rFonts w:ascii="宋体" w:hAnsi="宋体" w:cs="宋体"/>
                <w:szCs w:val="24"/>
              </w:rPr>
              <w:t xml:space="preserve">   </w:t>
            </w:r>
            <w:r>
              <w:rPr>
                <w:rFonts w:hint="eastAsia" w:ascii="宋体" w:hAnsi="宋体" w:cs="宋体"/>
                <w:szCs w:val="24"/>
              </w:rPr>
              <w:t>果（</w:t>
            </w:r>
            <w:r>
              <w:rPr>
                <w:rFonts w:ascii="宋体" w:hAnsi="宋体" w:cs="宋体"/>
                <w:szCs w:val="24"/>
              </w:rPr>
              <w:t>20</w:t>
            </w:r>
            <w:r>
              <w:rPr>
                <w:rFonts w:hint="eastAsia" w:ascii="宋体" w:hAnsi="宋体" w:cs="宋体"/>
                <w:szCs w:val="24"/>
              </w:rPr>
              <w:t>分）</w:t>
            </w:r>
          </w:p>
        </w:tc>
        <w:tc>
          <w:tcPr>
            <w:tcW w:w="375" w:type="pct"/>
            <w:vMerge w:val="restar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履职</w:t>
            </w:r>
            <w:r>
              <w:rPr>
                <w:rFonts w:ascii="宋体"/>
                <w:szCs w:val="24"/>
              </w:rPr>
              <w:br w:type="textWrapping"/>
            </w:r>
            <w:r>
              <w:rPr>
                <w:rFonts w:hint="eastAsia" w:ascii="宋体" w:hAnsi="宋体" w:cs="宋体"/>
                <w:szCs w:val="24"/>
              </w:rPr>
              <w:t>效益（</w:t>
            </w:r>
            <w:r>
              <w:rPr>
                <w:rFonts w:ascii="宋体" w:hAnsi="宋体" w:cs="宋体"/>
                <w:szCs w:val="24"/>
              </w:rPr>
              <w:t>20</w:t>
            </w:r>
            <w:r>
              <w:rPr>
                <w:rFonts w:hint="eastAsia" w:ascii="宋体" w:hAnsi="宋体" w:cs="宋体"/>
                <w:szCs w:val="24"/>
              </w:rPr>
              <w:t>分）</w:t>
            </w: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经济效益（</w:t>
            </w:r>
            <w:r>
              <w:rPr>
                <w:rFonts w:ascii="宋体" w:hAnsi="宋体" w:cs="宋体"/>
                <w:szCs w:val="24"/>
              </w:rPr>
              <w:t>5</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部门履行职责对经济发展所带来的直接或间接影响。</w:t>
            </w:r>
          </w:p>
        </w:tc>
        <w:tc>
          <w:tcPr>
            <w:tcW w:w="1867" w:type="pct"/>
            <w:vMerge w:val="restart"/>
            <w:tcMar>
              <w:top w:w="10" w:type="dxa"/>
              <w:left w:w="10" w:type="dxa"/>
              <w:bottom w:w="0" w:type="dxa"/>
              <w:right w:w="10" w:type="dxa"/>
            </w:tcMar>
            <w:vAlign w:val="center"/>
          </w:tcPr>
          <w:p>
            <w:pPr>
              <w:spacing w:line="240" w:lineRule="exact"/>
              <w:ind w:left="105" w:leftChars="50" w:right="105" w:rightChars="50"/>
              <w:rPr>
                <w:rFonts w:ascii="宋体"/>
                <w:szCs w:val="24"/>
              </w:rPr>
            </w:pPr>
            <w:r>
              <w:rPr>
                <w:rFonts w:hint="eastAsia" w:ascii="宋体" w:hAnsi="宋体" w:cs="宋体"/>
                <w:szCs w:val="24"/>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jc w:val="center"/>
        </w:trPr>
        <w:tc>
          <w:tcPr>
            <w:tcW w:w="307" w:type="pct"/>
            <w:vMerge w:val="continue"/>
            <w:vAlign w:val="center"/>
          </w:tcPr>
          <w:p>
            <w:pPr>
              <w:spacing w:line="240" w:lineRule="exact"/>
              <w:rPr>
                <w:rFonts w:ascii="宋体"/>
                <w:szCs w:val="24"/>
              </w:rPr>
            </w:pPr>
          </w:p>
        </w:tc>
        <w:tc>
          <w:tcPr>
            <w:tcW w:w="375" w:type="pct"/>
            <w:vMerge w:val="continue"/>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社会效益（</w:t>
            </w:r>
            <w:r>
              <w:rPr>
                <w:rFonts w:ascii="宋体" w:hAnsi="宋体" w:cs="宋体"/>
                <w:szCs w:val="24"/>
              </w:rPr>
              <w:t>5</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部门履行职责对社会发展所带来的直接或间接影响。</w:t>
            </w:r>
          </w:p>
        </w:tc>
        <w:tc>
          <w:tcPr>
            <w:tcW w:w="1867" w:type="pct"/>
            <w:vMerge w:val="continue"/>
            <w:vAlign w:val="center"/>
          </w:tcPr>
          <w:p>
            <w:pPr>
              <w:spacing w:line="240" w:lineRule="exact"/>
              <w:ind w:left="105" w:leftChars="50" w:right="105" w:rightChars="50"/>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vAlign w:val="center"/>
          </w:tcPr>
          <w:p>
            <w:pPr>
              <w:spacing w:line="240" w:lineRule="exact"/>
              <w:rPr>
                <w:rFonts w:ascii="宋体"/>
                <w:szCs w:val="24"/>
              </w:rPr>
            </w:pPr>
          </w:p>
        </w:tc>
        <w:tc>
          <w:tcPr>
            <w:tcW w:w="375" w:type="pct"/>
            <w:vMerge w:val="continue"/>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生态效益（</w:t>
            </w:r>
            <w:r>
              <w:rPr>
                <w:rFonts w:ascii="宋体" w:hAnsi="宋体" w:cs="宋体"/>
                <w:szCs w:val="24"/>
              </w:rPr>
              <w:t>5</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部门履行职责对生态环境所带来的直接或间接影响。</w:t>
            </w:r>
          </w:p>
        </w:tc>
        <w:tc>
          <w:tcPr>
            <w:tcW w:w="1867" w:type="pct"/>
            <w:vMerge w:val="continue"/>
            <w:vAlign w:val="center"/>
          </w:tcPr>
          <w:p>
            <w:pPr>
              <w:spacing w:line="240" w:lineRule="exact"/>
              <w:ind w:left="105" w:leftChars="50" w:right="105" w:rightChars="50"/>
              <w:rPr>
                <w:rFonts w:asci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vAlign w:val="center"/>
          </w:tcPr>
          <w:p>
            <w:pPr>
              <w:spacing w:line="240" w:lineRule="exact"/>
              <w:rPr>
                <w:rFonts w:ascii="宋体"/>
                <w:szCs w:val="24"/>
              </w:rPr>
            </w:pPr>
          </w:p>
        </w:tc>
        <w:tc>
          <w:tcPr>
            <w:tcW w:w="375" w:type="pct"/>
            <w:vMerge w:val="continue"/>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szCs w:val="24"/>
              </w:rPr>
            </w:pPr>
            <w:r>
              <w:rPr>
                <w:rFonts w:hint="eastAsia" w:ascii="宋体" w:hAnsi="宋体" w:cs="宋体"/>
                <w:szCs w:val="24"/>
              </w:rPr>
              <w:t>社会公众</w:t>
            </w:r>
          </w:p>
          <w:p>
            <w:pPr>
              <w:spacing w:line="240" w:lineRule="exact"/>
              <w:jc w:val="center"/>
              <w:rPr>
                <w:rFonts w:ascii="宋体"/>
                <w:szCs w:val="24"/>
              </w:rPr>
            </w:pPr>
            <w:r>
              <w:rPr>
                <w:rFonts w:hint="eastAsia" w:ascii="宋体" w:hAnsi="宋体" w:cs="宋体"/>
                <w:szCs w:val="24"/>
              </w:rPr>
              <w:t>或服务对</w:t>
            </w:r>
          </w:p>
          <w:p>
            <w:pPr>
              <w:spacing w:line="240" w:lineRule="exact"/>
              <w:jc w:val="center"/>
              <w:rPr>
                <w:rFonts w:ascii="宋体"/>
                <w:szCs w:val="24"/>
              </w:rPr>
            </w:pPr>
            <w:r>
              <w:rPr>
                <w:rFonts w:hint="eastAsia" w:ascii="宋体" w:hAnsi="宋体" w:cs="宋体"/>
                <w:szCs w:val="24"/>
              </w:rPr>
              <w:t>象满意度（</w:t>
            </w:r>
            <w:r>
              <w:rPr>
                <w:rFonts w:ascii="宋体" w:hAnsi="宋体" w:cs="宋体"/>
                <w:szCs w:val="24"/>
              </w:rPr>
              <w:t>5</w:t>
            </w:r>
            <w:r>
              <w:rPr>
                <w:rFonts w:hint="eastAsia" w:ascii="宋体" w:hAnsi="宋体" w:cs="宋体"/>
                <w:szCs w:val="24"/>
              </w:rPr>
              <w:t>分）</w:t>
            </w:r>
          </w:p>
        </w:tc>
        <w:tc>
          <w:tcPr>
            <w:tcW w:w="375" w:type="pct"/>
            <w:vAlign w:val="center"/>
          </w:tcPr>
          <w:p>
            <w:pPr>
              <w:tabs>
                <w:tab w:val="left" w:pos="2604"/>
              </w:tabs>
              <w:spacing w:line="240" w:lineRule="exact"/>
              <w:ind w:left="105" w:leftChars="50" w:right="105" w:rightChars="50" w:firstLine="96" w:firstLineChars="46"/>
              <w:jc w:val="center"/>
              <w:rPr>
                <w:rFonts w:ascii="宋体"/>
                <w:szCs w:val="24"/>
              </w:rPr>
            </w:pPr>
            <w:r>
              <w:rPr>
                <w:rFonts w:ascii="宋体" w:cs="宋体"/>
                <w:szCs w:val="24"/>
              </w:rPr>
              <w:t>5</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r>
              <w:rPr>
                <w:rFonts w:hint="eastAsia" w:ascii="宋体" w:hAnsi="宋体" w:cs="宋体"/>
                <w:szCs w:val="24"/>
              </w:rPr>
              <w:t>社会公众或部门的服务对象对部门履职效果的满意程度。</w:t>
            </w:r>
          </w:p>
        </w:tc>
        <w:tc>
          <w:tcPr>
            <w:tcW w:w="1867" w:type="pct"/>
            <w:tcMar>
              <w:top w:w="10" w:type="dxa"/>
              <w:left w:w="10" w:type="dxa"/>
              <w:bottom w:w="0" w:type="dxa"/>
              <w:right w:w="10" w:type="dxa"/>
            </w:tcMar>
            <w:vAlign w:val="center"/>
          </w:tcPr>
          <w:p>
            <w:pPr>
              <w:spacing w:line="240" w:lineRule="exact"/>
              <w:ind w:left="105" w:leftChars="50" w:right="105" w:rightChars="50"/>
              <w:rPr>
                <w:rFonts w:ascii="宋体"/>
                <w:szCs w:val="24"/>
              </w:rPr>
            </w:pPr>
            <w:r>
              <w:rPr>
                <w:rFonts w:hint="eastAsia" w:ascii="宋体" w:hAnsi="宋体" w:cs="宋体"/>
                <w:szCs w:val="24"/>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vAlign w:val="center"/>
          </w:tcPr>
          <w:p>
            <w:pPr>
              <w:spacing w:line="240" w:lineRule="exact"/>
              <w:rPr>
                <w:rFonts w:ascii="宋体"/>
                <w:szCs w:val="24"/>
              </w:rPr>
            </w:pPr>
            <w:r>
              <w:rPr>
                <w:rFonts w:hint="eastAsia" w:ascii="宋体" w:hAnsi="宋体" w:cs="宋体"/>
                <w:szCs w:val="24"/>
              </w:rPr>
              <w:t>总分</w:t>
            </w:r>
          </w:p>
        </w:tc>
        <w:tc>
          <w:tcPr>
            <w:tcW w:w="375" w:type="pct"/>
            <w:vAlign w:val="center"/>
          </w:tcPr>
          <w:p>
            <w:pPr>
              <w:spacing w:line="240" w:lineRule="exact"/>
              <w:rPr>
                <w:rFonts w:ascii="宋体"/>
                <w:szCs w:val="24"/>
              </w:rPr>
            </w:pPr>
          </w:p>
        </w:tc>
        <w:tc>
          <w:tcPr>
            <w:tcW w:w="500" w:type="pct"/>
            <w:tcMar>
              <w:top w:w="10" w:type="dxa"/>
              <w:left w:w="10" w:type="dxa"/>
              <w:bottom w:w="0" w:type="dxa"/>
              <w:right w:w="10" w:type="dxa"/>
            </w:tcMar>
            <w:vAlign w:val="center"/>
          </w:tcPr>
          <w:p>
            <w:pPr>
              <w:spacing w:line="240" w:lineRule="exact"/>
              <w:jc w:val="center"/>
              <w:rPr>
                <w:rFonts w:ascii="宋体"/>
                <w:color w:val="000000"/>
                <w:szCs w:val="24"/>
              </w:rPr>
            </w:pPr>
          </w:p>
        </w:tc>
        <w:tc>
          <w:tcPr>
            <w:tcW w:w="375" w:type="pct"/>
            <w:vAlign w:val="center"/>
          </w:tcPr>
          <w:p>
            <w:pPr>
              <w:tabs>
                <w:tab w:val="left" w:pos="2604"/>
              </w:tabs>
              <w:spacing w:line="240" w:lineRule="exact"/>
              <w:ind w:left="105" w:leftChars="50" w:right="105" w:rightChars="50" w:firstLine="97" w:firstLineChars="46"/>
              <w:jc w:val="center"/>
              <w:rPr>
                <w:rFonts w:ascii="宋体"/>
                <w:b/>
                <w:color w:val="000000"/>
                <w:szCs w:val="24"/>
              </w:rPr>
            </w:pPr>
            <w:r>
              <w:rPr>
                <w:rFonts w:ascii="宋体"/>
                <w:b/>
                <w:color w:val="000000"/>
                <w:szCs w:val="24"/>
              </w:rPr>
              <w:t>93</w:t>
            </w:r>
          </w:p>
        </w:tc>
        <w:tc>
          <w:tcPr>
            <w:tcW w:w="1576" w:type="pct"/>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szCs w:val="24"/>
              </w:rPr>
            </w:pPr>
          </w:p>
        </w:tc>
        <w:tc>
          <w:tcPr>
            <w:tcW w:w="1867" w:type="pct"/>
            <w:tcMar>
              <w:top w:w="10" w:type="dxa"/>
              <w:left w:w="10" w:type="dxa"/>
              <w:bottom w:w="0" w:type="dxa"/>
              <w:right w:w="10" w:type="dxa"/>
            </w:tcMar>
            <w:vAlign w:val="center"/>
          </w:tcPr>
          <w:p>
            <w:pPr>
              <w:spacing w:line="240" w:lineRule="exact"/>
              <w:ind w:left="105" w:leftChars="50" w:right="105" w:rightChars="50"/>
              <w:rPr>
                <w:rFonts w:ascii="宋体"/>
                <w:szCs w:val="24"/>
              </w:rPr>
            </w:pPr>
          </w:p>
        </w:tc>
      </w:tr>
    </w:tbl>
    <w:p>
      <w:pPr>
        <w:widowControl w:val="0"/>
        <w:spacing w:line="560" w:lineRule="exact"/>
        <w:ind w:firstLine="880" w:firstLineChars="200"/>
        <w:jc w:val="center"/>
        <w:rPr>
          <w:rFonts w:ascii="方正小标宋简体" w:hAnsi="方正小标宋简体" w:eastAsia="方正小标宋简体" w:cs="方正小标宋简体"/>
          <w:sz w:val="44"/>
          <w:szCs w:val="44"/>
          <w:lang w:val="zh-CN"/>
        </w:rPr>
      </w:pPr>
    </w:p>
    <w:sectPr>
      <w:footerReference r:id="rId3" w:type="default"/>
      <w:pgSz w:w="12240" w:h="15840"/>
      <w:pgMar w:top="2098" w:right="1474" w:bottom="1985" w:left="1588" w:header="720" w:footer="170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67363D-B63A-43DA-A9D9-15C8886E3F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0A07117-15BD-4AF1-9580-9FAE631DB387}"/>
  </w:font>
  <w:font w:name="方正小标宋简体">
    <w:panose1 w:val="02000000000000000000"/>
    <w:charset w:val="86"/>
    <w:family w:val="auto"/>
    <w:pitch w:val="default"/>
    <w:sig w:usb0="00000001" w:usb1="080E0000" w:usb2="00000000" w:usb3="00000000" w:csb0="00040000" w:csb1="00000000"/>
    <w:embedRegular r:id="rId3" w:fontKey="{D11C47E3-7BA4-4D47-B5E4-AF570DE111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9572116"/>
      <w:docPartObj>
        <w:docPartGallery w:val="autotext"/>
      </w:docPartObj>
    </w:sdtPr>
    <w:sdtContent>
      <w:p>
        <w:pPr>
          <w:pStyle w:val="3"/>
          <w:jc w:val="center"/>
        </w:pPr>
        <w:r>
          <w:fldChar w:fldCharType="begin"/>
        </w:r>
        <w:r>
          <w:instrText xml:space="preserve">PAGE   \* MERGEFORMAT</w:instrText>
        </w:r>
        <w:r>
          <w:fldChar w:fldCharType="separate"/>
        </w:r>
        <w:r>
          <w:rPr>
            <w:lang w:val="zh-CN"/>
          </w:rPr>
          <w:t>28</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EzMDJkZDM1N2MwNGE2NmM2MzMyNzY1OGRjNWZiZWIifQ=="/>
  </w:docVars>
  <w:rsids>
    <w:rsidRoot w:val="008C253E"/>
    <w:rsid w:val="001C1FBE"/>
    <w:rsid w:val="002772A9"/>
    <w:rsid w:val="002F5E93"/>
    <w:rsid w:val="00316AB5"/>
    <w:rsid w:val="00382270"/>
    <w:rsid w:val="003C0A20"/>
    <w:rsid w:val="003D26A4"/>
    <w:rsid w:val="004E4157"/>
    <w:rsid w:val="008C253E"/>
    <w:rsid w:val="009D0833"/>
    <w:rsid w:val="00A543DF"/>
    <w:rsid w:val="00AB1985"/>
    <w:rsid w:val="00B638A7"/>
    <w:rsid w:val="00C76734"/>
    <w:rsid w:val="00E229B7"/>
    <w:rsid w:val="00E31F3C"/>
    <w:rsid w:val="00E941A9"/>
    <w:rsid w:val="08ED20E5"/>
    <w:rsid w:val="18883DA4"/>
    <w:rsid w:val="59FA2F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iPriority="3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iPriority="99"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szCs w:val="24"/>
    </w:rPr>
  </w:style>
  <w:style w:type="paragraph" w:styleId="3">
    <w:name w:val="footer"/>
    <w:basedOn w:val="1"/>
    <w:link w:val="10"/>
    <w:unhideWhenUsed/>
    <w:qFormat/>
    <w:uiPriority w:val="99"/>
    <w:pPr>
      <w:tabs>
        <w:tab w:val="center" w:pos="4153"/>
        <w:tab w:val="right" w:pos="8306"/>
      </w:tabs>
      <w:snapToGrid w:val="0"/>
      <w:jc w:val="left"/>
    </w:pPr>
    <w:rPr>
      <w:sz w:val="18"/>
      <w:szCs w:val="24"/>
    </w:rPr>
  </w:style>
  <w:style w:type="paragraph" w:styleId="4">
    <w:name w:val="header"/>
    <w:basedOn w:val="1"/>
    <w:link w:val="9"/>
    <w:unhideWhenUsed/>
    <w:qFormat/>
    <w:uiPriority w:val="99"/>
    <w:pPr>
      <w:tabs>
        <w:tab w:val="center" w:pos="4153"/>
        <w:tab w:val="right" w:pos="8306"/>
      </w:tabs>
      <w:snapToGrid w:val="0"/>
    </w:pPr>
    <w:rPr>
      <w:sz w:val="18"/>
      <w:szCs w:val="24"/>
    </w:rPr>
  </w:style>
  <w:style w:type="paragraph" w:styleId="5">
    <w:name w:val="Normal (Web)"/>
    <w:basedOn w:val="1"/>
    <w:unhideWhenUsed/>
    <w:qFormat/>
    <w:uiPriority w:val="99"/>
    <w:pPr>
      <w:spacing w:before="100" w:beforeAutospacing="1" w:after="100" w:afterAutospacing="1"/>
      <w:jc w:val="left"/>
    </w:pPr>
    <w:rPr>
      <w:kern w:val="0"/>
      <w:sz w:val="24"/>
      <w:szCs w:val="24"/>
    </w:rPr>
  </w:style>
  <w:style w:type="character" w:styleId="8">
    <w:name w:val="page number"/>
    <w:basedOn w:val="7"/>
    <w:unhideWhenUsed/>
    <w:qFormat/>
    <w:uiPriority w:val="99"/>
  </w:style>
  <w:style w:type="character" w:customStyle="1" w:styleId="9">
    <w:name w:val="页眉 Char"/>
    <w:basedOn w:val="7"/>
    <w:link w:val="4"/>
    <w:semiHidden/>
    <w:qFormat/>
    <w:uiPriority w:val="99"/>
    <w:rPr>
      <w:rFonts w:cs="Times New Roman"/>
      <w:sz w:val="18"/>
      <w:szCs w:val="18"/>
    </w:rPr>
  </w:style>
  <w:style w:type="character" w:customStyle="1" w:styleId="10">
    <w:name w:val="页脚 Char"/>
    <w:basedOn w:val="7"/>
    <w:link w:val="3"/>
    <w:qFormat/>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13959</Words>
  <Characters>14935</Characters>
  <Lines>109</Lines>
  <Paragraphs>30</Paragraphs>
  <TotalTime>54</TotalTime>
  <ScaleCrop>false</ScaleCrop>
  <LinksUpToDate>false</LinksUpToDate>
  <CharactersWithSpaces>14985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2022-03-21T02:03:00Z</dcterms:created>
  <dc:creator>Administrator</dc:creator>
  <cp:lastModifiedBy>丫丫</cp:lastModifiedBy>
  <dcterms:modified xsi:type="dcterms:W3CDTF">2024-09-11T03:23:07Z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73E210D16411468987E78A2A2A59B52A</vt:lpwstr>
  </property>
</Properties>
</file>