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2020年度益阳市笔架山乡人民政府部门决算</w:t>
      </w:r>
    </w:p>
    <w:p>
      <w:pPr>
        <w:spacing w:line="560" w:lineRule="exact"/>
        <w:ind w:firstLine="640" w:firstLineChars="200"/>
        <w:rPr>
          <w:rFonts w:asci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目  录</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第一部分  益阳市笔架山乡人民政府概况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一、部门职责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二、机构设置</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第二部分  益阳市笔架山乡人民政府2020年度部门决算表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一、收入支出决算总表</w:t>
      </w:r>
      <w:bookmarkStart w:id="0" w:name="_GoBack"/>
      <w:bookmarkEnd w:id="0"/>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八、政府性基金预算财政拨款收入支出决算表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第三部分  益阳市笔架山乡人民政府2020年度部门决算情况说明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八、政府性基金预算收入支出决算情况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十、关于机关运行经费支出说明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十一、一般性支出情况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十二、关于政府采购支出说明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十三、关于国有资产占用情况说明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十四、关于2020年度预算绩效情况的说明</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第四部分  名词解释</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第五部分  附件</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60" w:lineRule="exact"/>
        <w:rPr>
          <w:rFonts w:ascii="黑体" w:hAnsi="黑体" w:eastAsia="黑体"/>
          <w:sz w:val="32"/>
          <w:szCs w:val="32"/>
        </w:rPr>
      </w:pPr>
      <w:r>
        <w:rPr>
          <w:rFonts w:hint="eastAsia" w:ascii="黑体" w:hAnsi="黑体" w:eastAsia="黑体"/>
          <w:sz w:val="32"/>
          <w:szCs w:val="32"/>
        </w:rPr>
        <w:t>第一部分：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益阳市笔架山乡人民政府概况</w:t>
      </w:r>
    </w:p>
    <w:p>
      <w:pPr>
        <w:spacing w:line="560" w:lineRule="exact"/>
        <w:ind w:firstLine="640" w:firstLineChars="200"/>
        <w:rPr>
          <w:rFonts w:ascii="仿宋_GB2312" w:eastAsia="仿宋_GB2312"/>
          <w:sz w:val="32"/>
          <w:szCs w:val="32"/>
          <w:highlight w:val="white"/>
        </w:rPr>
      </w:pPr>
    </w:p>
    <w:p>
      <w:pPr>
        <w:spacing w:line="560" w:lineRule="exact"/>
        <w:ind w:firstLine="640" w:firstLineChars="200"/>
        <w:rPr>
          <w:rFonts w:ascii="黑体" w:hAnsi="黑体" w:eastAsia="黑体"/>
          <w:sz w:val="32"/>
          <w:szCs w:val="32"/>
        </w:rPr>
      </w:pPr>
      <w:r>
        <w:rPr>
          <w:rFonts w:hint="eastAsia" w:ascii="黑体" w:hAnsi="黑体" w:eastAsia="黑体"/>
          <w:sz w:val="32"/>
          <w:szCs w:val="32"/>
          <w:highlight w:val="white"/>
        </w:rPr>
        <w:t>一、部门职责</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笔架山乡人民政府系正科级行政机关。单位办公地址位于赫山区笔架山乡笔架山村。本单位主要职责：</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（一）承担党委、人大、政府、人武部、上级政协交办的日常工作和社会治安综合治理、社会稳定、教育、工青妇、民族宗教及各部门、各方面的综合协调等工作，督促检查有关工作的落实。</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（二）加强乡级财政的监管和管理，按计划组织、管理乡财政收入和支出，执行国家有关财经纪律和政策，保证国家财政收入的完成;做好统计工作。</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（三）负责招商引资、发展乡镇工业、科技科普、安全生产及监管工作；协调与发展经济相关的其他工作。</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（四）承担各种自然灾害应对预案的建立健全；负责计划生育工作的综合管理。</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（五）主要承担一般预算资金的收支管理、部门综合预算管理、非税收入的征管、国有资产管理、财政专项资金管理、财政监督、税收协管等工作。</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（六）承担农技、农机、新技术的试验示范、培训推广和病虫害预测预报及防治指导等工作。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（七）完成上级政府办交代的其他事项。</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二、机构设置</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（一）内设机构设置</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笔架山乡人民政府单位内设机构包括：党政办公室、党建办公室、经济发展办公室、社会事务办公室、自然资源和生态环境办公室、社会治安和应急管理办公室、财政所、综合行政执法大队、社会事务综合服务中心、农业综合服务中心、党群和政务服务中心、退役军人服务站等12个预算编制单位。</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（二）决算单位构成</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笔架山乡人民政府单位2020年部门决算公开单位构成包括：益阳市笔架山乡人民政府单位2020年部门决算公开单位只有本级，没有其他二级决算单位，因此，纳入2020年部门决算编制范围只有笔架山乡人民政府本级。</w:t>
      </w:r>
    </w:p>
    <w:p>
      <w:pPr>
        <w:spacing w:line="560" w:lineRule="exact"/>
        <w:ind w:firstLine="640" w:firstLineChars="200"/>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第二部分：</w:t>
      </w:r>
    </w:p>
    <w:p>
      <w:pPr>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rPr>
        <w:t>益阳市笔架山乡人民政府部门决算表</w:t>
      </w:r>
      <w:r>
        <w:rPr>
          <w:rFonts w:hint="eastAsia" w:ascii="方正小标宋简体" w:eastAsia="方正小标宋简体"/>
          <w:sz w:val="42"/>
          <w:szCs w:val="42"/>
          <w:highlight w:val="white"/>
        </w:rPr>
        <w:t>（见附表）</w:t>
      </w:r>
    </w:p>
    <w:p>
      <w:pPr>
        <w:spacing w:line="560" w:lineRule="exact"/>
        <w:ind w:firstLine="640" w:firstLineChars="200"/>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第三部分：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益阳市笔架山乡人民政府</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2020年度部门决算情况说明</w:t>
      </w:r>
    </w:p>
    <w:p>
      <w:pPr>
        <w:spacing w:line="560" w:lineRule="exact"/>
        <w:ind w:firstLine="640" w:firstLineChars="200"/>
        <w:rPr>
          <w:rFonts w:ascii="黑体" w:hAnsi="黑体" w:eastAsia="黑体"/>
          <w:sz w:val="32"/>
          <w:szCs w:val="32"/>
          <w:highlight w:val="white"/>
        </w:rPr>
      </w:pP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2020年度收入9169.12万元，年初结转和结余906.03万元，总计10075.15万元，与2019年收入（8781.17万元）相比，增加387.95万元，增长4.42%，主要原因是:项目建设投资增加了。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2020年度支出8399.16万元，年末结转和结余1675.99万元，总计10075.15万元，与2019年支出（8390.25万元）相比，增加8..91万元，增长0.11%，主要原因是增加了项目建设投资。</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二、收入决算情况说明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本年收入合计9169.12万元，其中：一般公共预算财政拨款收入2748.37万元，占29.97%；政府性基金预算财政拨款收入208.00万元，占2.27%；其他收入6212.75万元，占67.76%。</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三、支出决算情况说明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本年支出合计8399.16万元，其中：基本支出1574.55万元，占18.75%；项目支出6824.6万元，占81.25%。</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四、财政拨款收入支出决算总体情况说明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收入2956.37万元，年初财政拨款结转和结余355.13万元，总计3311.49万元，与2019年财政拨款收入（4649.60万元）相比，减少1693.23万元，下降36.42%,主要原因是减少了节能环保与农林水等民生工程资金投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支出2823.82万元，年末财政拨款结转和结余487.68万元，总计3311.49万元，与2019年财政拨款支出（4809.59万元）相比，减少1985.77万元，下降41.29%。主要原因是：减少了节能环保与农林水等民生工程资金支出。</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五、一般公共预算财政拨款支出决算情况说明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（一）一般公共预算财政拨款支出决算总体情况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2680.82万元，占本年支出合计的31.92%。与2019年度一般公共预算财政拨款支出（4720.59万元）相比，减少2039.77万元，下降43.21%,主要原因是减少了节能环保与农林水等民生工程资金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（二）一般公共预算财政拨款支出决算结构情况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2680.82万元，主要用于以下方面：一般公共服务（类）支出1144.18万元，占42.68%；科学技术（类）支出4.32万元，占0.16%；文化旅游体育与传媒（类）支出139.85万元，占5.22%；社会保障和就业（类）支出70.79万元，占2.64%；卫生健康（类）支出120.59万元，占4.50%；节能环保（类）支出32.14万元，占1.20%；农林水（类）支出1110.90万元，占41.44%；住房保障（类）支出52.05万元，占1.94%；灾害防治及应急管理（类）支出6.00万元，占0.22%。</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（三）一般公共预算财政拨款支出决算具体情况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2020年度一般公共预算财政拨款支出年初预算为1290.59万元，支出决算为2680.82万元，完成年初预算的207.72%。其中：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w:t>
      </w:r>
      <w:r>
        <w:rPr>
          <w:rFonts w:hint="eastAsia" w:ascii="仿宋_GB2312" w:eastAsia="仿宋_GB2312"/>
          <w:sz w:val="32"/>
          <w:szCs w:val="32"/>
        </w:rPr>
        <w:t>一般公共服务支出（类）政府办公厅（室）及相关机构事务（款）行政运行（项）。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年初预算为1112.46万元，支出决算为1073.85万元，完成年初预算的96.52%，决算数小于年初预算数的主要原因是：严控开支，减少了不必要支出。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2.一般公共服务（类）政府办公厅（室）及相关机构事务（款）信访事务（项）。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年初预算为0万元，支出决算为1万元。决算数大于年初预算数的主要原因是：追加预算。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3.一般公共服务支出（类）政府办公厅（室）及相关机构事务（款）其他政府办公厅（室）及相关机构事务（项）。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年初预算为0万元，支出决算为9.32万元，决算数大于年初预算数的主要原因是：追加预算。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4.一般公共服务支出（类）发展与改革事务（款）其他发展与改革事务（项）。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年初预算为0万元，支出决算为40万元，决算数大于年初预算数的主要原因是：追加预算。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5.一般公共服务支出（类）财政事务（款）财政国库业务（项）。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年初预算为0万元，支出决算为6万元，决算数大于年初预算数的主要原因是：追加预算。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6.一般公共服务支出（类）财政事务（款）其他财政事务支出（项）。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年初预算为0万元，支出决算为14万元，决算数大于年初预算数的主要原因是：追加预算。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7.科学技术支出（类）科学技术支出（款）其他科学技术支出（项）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年初预算为0万元，支出决算为4.32万元。决算数大于年初预算数的主要原因是：预算有所调整。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8.文化旅游体育与传媒支出（类）文化和旅游（款）行政运行（项）。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年初预算为0万元，支出决算为139.85万元，决算数大于年初预算数的主要原因是：追加预算。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9.社会保障和就业支出（类）行政事业单位养老支出（款）机关事业单位基本养老保险缴费支出（项）。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年初预算为70.79万元，支出决算为70.79万元，完成年初预算的100%。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10.卫生健康支出（类）公共卫生（款）突发公共卫生事件应急处理（项）。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年初预算为0万元，支出决算为65.3万元，决算数小于年初预算数的主要原因是：追加预算。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11.卫生健康支出（类）行政事业单位医疗（款）行政单位医疗（项）。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年初预算为55.29万元，支出决算为55.29万元，完成年初预算的100%。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12.节能环保支出（类）自然生态保护（款）农村环境保护（项）。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年初预算为0万元，支出决算为32.14万元，决算数小于年初预算数的主要原因是：追加预算。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13.农林水支出（类）农业农村（款）行政运行（项）。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年初预算为0万元，支出决算为877.16万元，决算数小于年初预算数的主要原因是：追加预算。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14.农林水支出（类）农业农村（款）农业生产发展（项）。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年初预算为0万元，支出决算为730.08万元，决算数小于年初预算数的主要原因是：追加预算。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15.农林水支出（类）农业农村（款）其他农业农村支出（项）。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年初预算为0万元，支出决算为7.9万元，决算数小于年初预算数的主要原因是：追加预算。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16.农林水支出（类）水利（款）其他水利支出（项）。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年初预算为0万元，支出决算为10万元，决算数大于年初预算数的主要原因是：追加预算。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17.农林水支出（类）扶贫（款）农村基础设施建设（项）。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年初预算为0万元，支出决算为4万元，决算数小于年初预算数的主要原因是：追加预算。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18.农林水支出（类）扶贫（款）生产发展（项）。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年初预算为0万元，支出决算为4万元，决算数小于年初预算数的主要原因是：追加预算。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19.农林水支出（类）农村综合改革（款）对村民委员会和村党支部的补助（项）。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年初预算为0万元，支出决算为215.74万元，决算数小于年初预算数的主要原因是：追加预算。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20.住房保障支出（类）住房改革支出（款）住房公积金（项）。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年初预算为52.05万元，支出决算为52.05万元，完成年初预算的100%。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21.灾害防治及应急管理支出（类）应急管理事务（款）其他应急管理事务（项）。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年初预算为0万元，支出决算为1万元，决算数小于年初预算数的主要原因是：追加预算。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22.灾害防治及应急管理支出（类）消防事务（款）消防应急救援（项）。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年初预算为0万元，支出决算为5万元，决算数小于年初预算数的主要原因是：追加预算。</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六、一般公共预算财政拨款基本支出决算情况说明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一般公共预算财政拨款基本支出1574.55万元，其中:人员经费1354.47万元，占基本支出的86.02%，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220.08万元，占基本支出的13.98%，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七、一般公共预算财政拨款三公经费支出决算情况说明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（一）“三公”经费财政拨款支出决算总体情况说明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2020年度“三公”经费财政拨款支出预算为23万元，调整预算为4.14万元,决算为4.14万元，完成预算的100%，其中：</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无因公出国（境）费支出预算与决算；</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用车购置费及运行维护费支出预算为6万元，调整为4.14万元，支出决算为4.14万元，完成预算的100%,决算数与预算数一致，我单位严格按预算执行决算。与上年相比减少3.86万元，减少48.25%,减少主要原因是认真贯彻落实</w:t>
      </w:r>
      <w:r>
        <w:rPr>
          <w:rFonts w:hint="eastAsia" w:ascii="仿宋_GB2312" w:eastAsia="仿宋_GB2312"/>
          <w:sz w:val="32"/>
          <w:szCs w:val="32"/>
          <w:highlight w:val="white"/>
          <w:lang w:eastAsia="zh-CN"/>
        </w:rPr>
        <w:t>中央八项规定</w:t>
      </w:r>
      <w:r>
        <w:rPr>
          <w:rFonts w:hint="eastAsia" w:ascii="仿宋_GB2312" w:eastAsia="仿宋_GB2312"/>
          <w:sz w:val="32"/>
          <w:szCs w:val="32"/>
          <w:highlight w:val="white"/>
        </w:rPr>
        <w:t>精神和厉行节约要求，从严控制“三公”经费开支，全年实际支出比上年有所压减。</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2020年本单位公务接待费支出预算为零，公务接待费支出决算为零。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（二）“三公”经费财政拨款支出决算具体情况说明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2020年度“三公”经费财政拨款支出决算中，因公出国（境）费支出决算0万元，公务用车购置费及运行维护费支出决算4.14万元，占100%；公务接待费支出决算0万元。其中：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务用车购置及运行费支出决算为4.14万元，其中：公务用车运行支出4.14万元。主要是按规定保留的公务用车的燃料费、维修费、过桥过路费、保险费、安全奖励费用等支出。截至2020年12月31日，机关单位开支财政拨款的公务用车保有量为2辆。</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八、政府性基金预算收入支出决算情况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2020年政府性基金本年收入208.00万元,占本年收入合计的2.27%，与2019年政府性基金收入（89.00万元）相比，增加119.00万元，增长133.71%，主要原因是：</w:t>
      </w:r>
      <w:r>
        <w:rPr>
          <w:rFonts w:hint="eastAsia" w:ascii="仿宋_GB2312" w:eastAsia="仿宋_GB2312"/>
          <w:sz w:val="32"/>
          <w:szCs w:val="32"/>
        </w:rPr>
        <w:t>主要原因是增加了项目建设投资。</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2020年政府性基金本年支出143.00万元,占本年支出合计的1.70%，年末结转和结余65.00万元,总计208.00万元，与2019年政府性基金支出（89.00万元）相比，增加54.00万元，增长60.67%，主要是因为：</w:t>
      </w:r>
      <w:r>
        <w:rPr>
          <w:rFonts w:hint="eastAsia" w:ascii="仿宋_GB2312" w:eastAsia="仿宋_GB2312"/>
          <w:sz w:val="32"/>
          <w:szCs w:val="32"/>
        </w:rPr>
        <w:t>主要原因是增加了项目建设投资。</w:t>
      </w:r>
      <w:r>
        <w:rPr>
          <w:rFonts w:hint="eastAsia" w:ascii="仿宋_GB2312" w:eastAsia="仿宋_GB2312"/>
          <w:sz w:val="32"/>
          <w:szCs w:val="32"/>
          <w:highlight w:val="white"/>
        </w:rPr>
        <w:t>其中：项目支出143.00万元,比上年增加60.67%。</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九、国有资本经营预算财政拨款支出决算情况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2021年本单位无国有资本经营预算财政拨款支出。</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十、关于机关运行经费支出说明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益阳市笔架山乡人民政府2020年机关运行经费支出220.08万元。比年初预算数（74.44万元）增加145.64万元。增长195.65%，主要原因是：物价的上涨及办公设备的购置费用。</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十一、一般性支出情况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2020年本单位培训费支出0.25万元，用于培训村站所会计业务；无会议费。</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十二、关于政府采购支出说明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笔架山乡人民政府2020年度政府采购支出总额40.00万元，其中：政府采购货物支出40.00万元；授予中小企业合同金额40.00万元，占政府采购支出总额的100%，其中：授予小微企业合同金额40.00万元，占政府采购支出总额的100%。</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十三、关于国有资产占用情况说明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截至2020年12月31日，益阳市笔架山乡人民政府共有车辆2辆，其中：应急保障用车2辆；年末无单价50万元以上通用设备；年末无单价100万元以上专用设备。</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十四、关于2020年度预算绩效情况的说明</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w:t>
      </w:r>
      <w:r>
        <w:rPr>
          <w:rFonts w:hint="eastAsia" w:ascii="仿宋_GB2312" w:eastAsia="仿宋_GB2312"/>
          <w:sz w:val="32"/>
          <w:szCs w:val="32"/>
          <w:highlight w:val="white"/>
        </w:rPr>
        <w:t>一）绩效管理工作开展情况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1.预决算公开：按照区级财政部门的统一要求，我单位在政府门户网站上进行了预决算公开。</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三公经费”控制情况：贯彻落实上级有关精神，严格控制“三公经费”支出，取得了良好效果。2020年度公务接待费全部取消，公务用车运行及维护费4.14万元，同比节约运行经费48.2%；无因公出国（境）费。同时，按照区级财政的要求，在政府网站上对“三公”经费情况进行了公示。</w:t>
      </w:r>
    </w:p>
    <w:p>
      <w:pPr>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3.资产管理：制定了《笔架山乡固定资产管理制度》，建立了固定资产台账，指定专人管理，及时登记，科学使用，实现了“一物一卡一条码”。固定资产的调出、处置、报废、报损执行了国家有关规定的审批程序办理。</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4.在机关财务管理上，坚持集体理财，制度管财，成立乡财工作领导小组，建立联审会签制度，一切按制度办事，杜绝不合理支出；坚持保正常运转，保重点支出，保民生支出，保乡村干部基本待遇稳步增长的工作原则，按月按季及时落实，全力确保社会大局稳定。</w:t>
      </w:r>
    </w:p>
    <w:p>
      <w:pPr>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（二）部门决算中项目绩效自评结果</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重点项目建设方面，维护好施工环境，继续做好平益高速工程相关工作；扎实做好环境协调等相关工作，确保笔架山乡卫生院改扩建工程顺利进行；水利建设方面，争取小流域生态治理项目，以谭家桥村为中心，辐射河南片花门楼村和上新桥村堤防、沟渠等水利设施建设；积极推进全乡泵站智能化管理和徐家坝水务管理智慧化升级，逐步完成自来水水质检测、故障排查定位在线实时监测管理，实现农村饮水安全工程行政村全覆盖。完成黄谭公路、民兵渠全线拓宽工程。完成凤凰湖变电站增容扩建及辅助工程；继续实施好笔架山村、张家塘村、中塘村、上新桥村、花门楼村部分线路提质改造，完成好变电站联络线路建设。以上项目的建设对项目沿线群众生产生活带来了便利。提高了当地人民的经济效益、改善了人民的社会环境和提高了人民生活质量，人民群众满意度为100%。</w:t>
      </w:r>
    </w:p>
    <w:p>
      <w:pPr>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（三）以部门为主体开展的重点绩效评价结果</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笔架山乡党委、政府在区委、区政府的正确领导下，根据“一线两片三中心”的发展规划，围绕高质量发展，完成机构改革，克服新冠肺炎疫情带来的巨大挑战，着力强党建、补短板、促项目、保民生，一以贯之严格执行财务制度，最大化确保财政资金安全和使用效益，全力以赴，攻坚克难，通过各种努力，有效激活了乡域经济。全力确保社会大局稳定。财政支出继续向广大人民群众关心的民生问题和基层村级部门倾斜，较大幅度提高了财政支出用于水利建设、公路建设养护、社会保障、教育卫生事业、加大了对村级、部门的转移支付力度，积极支持了基层正常运转，绩效评价发挥了很高的效率，绩效考核成为各部门，站所风向标，成了提高工作效率和促进发展的良好制度，干部素质大大提高。</w:t>
      </w:r>
    </w:p>
    <w:p>
      <w:pPr>
        <w:spacing w:line="560" w:lineRule="exact"/>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第四部分：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名词解释</w:t>
      </w:r>
    </w:p>
    <w:p>
      <w:pPr>
        <w:spacing w:line="560" w:lineRule="exact"/>
        <w:ind w:firstLine="640" w:firstLineChars="200"/>
        <w:rPr>
          <w:rFonts w:ascii="仿宋_GB2312" w:eastAsia="仿宋_GB2312"/>
          <w:sz w:val="32"/>
          <w:szCs w:val="32"/>
          <w:highlight w:val="white"/>
        </w:rPr>
      </w:pP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一、财政拨款收入：指本级财政当年拨付的资金。</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二、政府性基金预算财政拨款收入：指本级财政当年拨付的政府性基金预算资金。</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三、住房保障支出（类）：是指用于住房方面的支出，包括保障机构正常运转、完成日常和特定的工作任务或事业发展目标的支出。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四、抗疫特别国债安排的支出（类）：是指用于抗疫特别国债安排的支出项目，包括特定的工作任务或事业发展目标的支出。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五、政府采购：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六、工资福利支出：反映单位开支的在职职工和编制外长期聘用人员的各类劳动报酬，以及为上述人员缴纳的各</w:t>
      </w:r>
    </w:p>
    <w:p>
      <w:pPr>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项社会保险费等。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七、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第五部分：附件</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益阳市笔架山乡人民政府</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2020年整体支出绩效评价报告</w:t>
      </w:r>
    </w:p>
    <w:p>
      <w:pPr>
        <w:spacing w:line="560" w:lineRule="exact"/>
        <w:ind w:firstLine="640" w:firstLineChars="200"/>
        <w:rPr>
          <w:rFonts w:ascii="仿宋_GB2312" w:eastAsia="仿宋_GB2312"/>
          <w:sz w:val="32"/>
          <w:szCs w:val="32"/>
          <w:highlight w:val="white"/>
        </w:rPr>
      </w:pP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根据《益阳市赫山区人民政府关于全面推进预算绩效管理的实施意见》（益赫政发〔2016〕12号）、《中共湖南省委办公厅湖南省人民政府办公厅关于全面实施预算绩效管理的实施意见》（湘政发〔2019〕10号）等有关文件精神，笔架山乡人民政府认真负责、客观公正地对2020年度部门整体支出绩效进行了全面综合评价，自评得分为90分，现将相关情况报告如下：</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一、基本情况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笔架山乡人民政府系正科级行政单位，负责本区域发展规划、产业政策以及各项具体管理办法的制订实施;协调项目建设；承担各项基础设施、公用设施的建设及管理工作；负责本乡内项目的招商引资、征地拆迁及安置、农业、民政、社会保障、社会治安、卫生和计划生育、文化等社会事务工作；承办区人民政府交办的其他事项。本单位内设17个机构，统一设置为：党政办、党建办、经济发展办、社会事务办、自然资源和生态环境办、社会治安和应急管理办、财政财务管理办、综合行政执法大队、社会事务综合服务中心、农业综合服务中心、党群和政务服务中心、退役军人服务站、武装部、纪委、重点办、扶贫办、农场办。年末实有编制人员数88人（行政编制人员32人，全额事业编制人员42人，自收自支编制人员14人），分流人员34人，退休人员66人。遗属困难生活补助人员27人。</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二、一般公共预算支出情况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（一）基本支出情况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2020年一般公共预算基本支出1575万元，同比减少15.44%，其中工资福利支出1334万元，占84.7%；商品与服务支出175.2万元，占11.1%；对个人与家庭补助支出21万元，占1.3%；资本性支出44.8万元，占2.9%。</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（二）项目支出情况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2020年一般公共预算项目支出1106万元，其中一般公共服务支出40万元，占3.6%；卫生健康支出65万元，占5.9%；节能环保支出32万元，占2.9%；农林水支出964万元，占87.1%；灾害防治及应急管理支出5万元，占0.5%。</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三、政府性基金预算支出情况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政府性基金预算支出143万元，其中专项抗疫特别国债安排135万元，支出135万元，城乡社区支出65万元，其他支出19万元，结余65万元。</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四、国有资本经营预算支出情况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无国有资本经营预算收支。</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五、社会保险基金预算支出情况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无社会保险基金预算收支。</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六、部门整体支出绩效情况</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我单位积极履职，强化管理，较好的完成了年度工作目标。通过加强预算收支管理，不断建立健全内部管理制度，梳理内部管理流程，部门整体支出管理水平得到提升。基本支出严格按部门预算均衡执行，根据批复的预算安排各项收支，确保预算严格有效执行。具体体现如下：</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1.资产管理：制定了《笔架山乡固定资产管理制度》，建立了固定资产台账，指定专人管理，及时登记，科学使用，实现了“一物一卡一条码”。固定资产的调出、处置、报废、报损执行了国家有关规定的审批程序办理。</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三公经费”控制情况：贯彻落实上级有关精神，严格控制“三公经费”支出，取得了良好效果。2020年度公务接待费全部取消，公务用车运行及维护费4.14万元，同比节约运行经费48.2%；无因公出国（境）费。同时，按照区级财政的要求，在政府网站上对“三公”经费情况进行了公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3.开展业务情况：重点项目建设方面，维护好施工环境，继续做好平益高速工程相关工作；扎实做好环境协调等相关工作，确保笔架山乡卫生院改扩建工程顺利进行；水利建设方面，争取小流域生态治理项目，以谭家桥村为中心，辐射河南片花门楼村和上新桥村堤防、沟渠等水利设施建设；积极推进全乡泵站智能化管理和徐家坝水务管理智慧化升级，逐步完成自来水水质检测、故障排查定位在线实时监测管理，实现农村饮水安全工程行政村全覆盖。完成黄谭公路、民兵渠全线拓宽工程。完成凤凰湖变电站增容扩建及辅助工程；继续实施好笔架山村、张家塘村、中塘村、上新桥村、花门楼村部分线路提质改造，完成好变电站联络线路建设。以上项目的建设对项目沿线群众生产生活带来了便利。提高了当地人民的经济效益、改善了人民的社会环境和提高了人民生活质量，人民群众满意度为100%。</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4.在机关财务管理上，坚持集体理财，制度管财，成立乡财工作领导小组，建立联审会签制度，一切按制度办事，杜绝不合理支出；坚持保正常运转，保重点支出，保民生支出，保乡村干部基本待遇稳步增长的工作原则，按月按季及时落实，全力确保社会大局稳定。</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5.主要绩效及评价结论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笔架山乡党委、政府在区委、区政府的正确领导下，根据“一线两片三中心”的发展规划，围绕高质量发展，完成机构改革，克服新冠肺炎疫情带来的巨大挑战，着力强党建、补短板、促项目、保民生，一以贯之严格执行财务制度，最大化确保财政资金安全和使用效益，全力以赴，攻坚克难，通过各种努力，有效激活了乡域经济。全力确保社会大局稳定。财政支出继续向广大人民群众关心的民生问题和基层村级部门倾斜，较大幅度提高了财政支出用于水利建设、公路建设养护、社会保障、教育卫生事业、加大了对村级、部门的转移支付力度，积极支持了基层正常运转，绩效评价发挥了很高的效率，绩效考核成为各部门，站所风向标，成了提高工作效率和促进发展的良好制度，干部素质大大提高。</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七、存在的问题及原因分析</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（一）</w:t>
      </w:r>
      <w:r>
        <w:rPr>
          <w:rFonts w:hint="eastAsia" w:ascii="仿宋_GB2312" w:eastAsia="仿宋_GB2312"/>
          <w:sz w:val="32"/>
          <w:szCs w:val="32"/>
          <w:highlight w:val="white"/>
        </w:rPr>
        <w:t>预算编制工作有待细化。预算编制不够精确和细化，预算编制的合理性需要提高，预算执行力度还需进一步加强。</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（二）绩效目标考核机制有待进一步健全。对绩效目标量化细化不够，绩效管理水平有待提高。</w:t>
      </w:r>
    </w:p>
    <w:p>
      <w:pPr>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八、下一步改进措施</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（一）加强组织领导。统一思想，加强领导，明确责任，明确由相关部门牵头，各部门参与的绩效评价管理联席会议制度，为绩效评价工作开展创造好的条件。</w:t>
      </w:r>
    </w:p>
    <w:p>
      <w:pPr>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建立长效机制。把绩效评价日常性工作，建立绩效评价管理工作考核的长效机制。年度绩效目标应结合单位职能、年度工作重点，细化量化可操作、可考核的绩效目标。建立完善的绩效目标计划、实施、执行、检查、反馈、奖惩系统。</w:t>
      </w:r>
    </w:p>
    <w:p>
      <w:pPr>
        <w:wordWrap w:val="0"/>
        <w:spacing w:line="560" w:lineRule="exact"/>
        <w:rPr>
          <w:rFonts w:ascii="方正小标宋简体" w:eastAsia="方正小标宋简体" w:cs="方正小标宋简体"/>
          <w:sz w:val="44"/>
          <w:szCs w:val="44"/>
        </w:rPr>
      </w:pPr>
    </w:p>
    <w:p>
      <w:pPr>
        <w:widowControl/>
        <w:jc w:val="left"/>
        <w:rPr>
          <w:rFonts w:ascii="方正小标宋简体" w:eastAsia="方正小标宋简体" w:cs="方正小标宋_GBK"/>
          <w:sz w:val="36"/>
          <w:szCs w:val="36"/>
        </w:rPr>
      </w:pPr>
      <w:r>
        <w:rPr>
          <w:rFonts w:ascii="方正小标宋简体" w:eastAsia="方正小标宋简体" w:cs="方正小标宋_GBK"/>
          <w:sz w:val="36"/>
          <w:szCs w:val="36"/>
        </w:rPr>
        <w:br w:type="page"/>
      </w:r>
    </w:p>
    <w:p>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2020年度部门整体支出绩效自评指标计分表</w:t>
      </w:r>
    </w:p>
    <w:tbl>
      <w:tblPr>
        <w:tblStyle w:val="9"/>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right w:w="10" w:type="dxa"/>
            </w:tcMar>
            <w:vAlign w:val="center"/>
          </w:tcPr>
          <w:p>
            <w:pPr>
              <w:spacing w:line="240" w:lineRule="exact"/>
              <w:jc w:val="center"/>
              <w:rPr>
                <w:rFonts w:ascii="宋体"/>
                <w:b/>
                <w:bCs/>
              </w:rPr>
            </w:pPr>
            <w:r>
              <w:rPr>
                <w:rFonts w:hint="eastAsia" w:ascii="宋体"/>
                <w:b/>
                <w:bCs/>
              </w:rPr>
              <w:t>一级</w:t>
            </w:r>
            <w:r>
              <w:rPr>
                <w:rFonts w:ascii="宋体"/>
                <w:b/>
                <w:bCs/>
              </w:rPr>
              <w:br w:type="textWrapping"/>
            </w:r>
            <w:r>
              <w:rPr>
                <w:rFonts w:hint="eastAsia" w:ascii="宋体"/>
                <w:b/>
                <w:bCs/>
              </w:rPr>
              <w:t>指标</w:t>
            </w:r>
          </w:p>
        </w:tc>
        <w:tc>
          <w:tcPr>
            <w:tcW w:w="375" w:type="pct"/>
            <w:tcMar>
              <w:top w:w="10" w:type="dxa"/>
              <w:left w:w="10" w:type="dxa"/>
              <w:right w:w="10" w:type="dxa"/>
            </w:tcMar>
            <w:vAlign w:val="center"/>
          </w:tcPr>
          <w:p>
            <w:pPr>
              <w:spacing w:line="240" w:lineRule="exact"/>
              <w:ind w:right="-174" w:rightChars="-83"/>
              <w:jc w:val="center"/>
              <w:rPr>
                <w:rFonts w:ascii="宋体"/>
                <w:b/>
                <w:bCs/>
              </w:rPr>
            </w:pPr>
            <w:r>
              <w:rPr>
                <w:rFonts w:hint="eastAsia" w:ascii="宋体"/>
                <w:b/>
                <w:bCs/>
              </w:rPr>
              <w:t>二级</w:t>
            </w:r>
          </w:p>
          <w:p>
            <w:pPr>
              <w:spacing w:line="240" w:lineRule="exact"/>
              <w:ind w:right="-174" w:rightChars="-83"/>
              <w:jc w:val="center"/>
              <w:rPr>
                <w:rFonts w:ascii="宋体"/>
                <w:b/>
                <w:bCs/>
              </w:rPr>
            </w:pPr>
            <w:r>
              <w:rPr>
                <w:rFonts w:hint="eastAsia" w:ascii="宋体"/>
                <w:b/>
                <w:bCs/>
              </w:rPr>
              <w:t>指标</w:t>
            </w:r>
          </w:p>
        </w:tc>
        <w:tc>
          <w:tcPr>
            <w:tcW w:w="500" w:type="pct"/>
            <w:tcMar>
              <w:top w:w="10" w:type="dxa"/>
              <w:left w:w="10" w:type="dxa"/>
              <w:right w:w="10" w:type="dxa"/>
            </w:tcMar>
            <w:vAlign w:val="center"/>
          </w:tcPr>
          <w:p>
            <w:pPr>
              <w:spacing w:line="240" w:lineRule="exact"/>
              <w:jc w:val="center"/>
              <w:rPr>
                <w:rFonts w:ascii="宋体"/>
                <w:b/>
                <w:bCs/>
              </w:rPr>
            </w:pPr>
            <w:r>
              <w:rPr>
                <w:rFonts w:hint="eastAsia" w:ascii="宋体"/>
                <w:b/>
                <w:bCs/>
              </w:rPr>
              <w:t>三级</w:t>
            </w:r>
          </w:p>
          <w:p>
            <w:pPr>
              <w:spacing w:line="240" w:lineRule="exact"/>
              <w:jc w:val="center"/>
              <w:rPr>
                <w:rFonts w:ascii="宋体"/>
                <w:b/>
                <w:bCs/>
              </w:rPr>
            </w:pPr>
            <w:r>
              <w:rPr>
                <w:rFonts w:hint="eastAsia" w:ascii="宋体"/>
                <w:b/>
                <w:bCs/>
              </w:rPr>
              <w:t>指标</w:t>
            </w:r>
          </w:p>
        </w:tc>
        <w:tc>
          <w:tcPr>
            <w:tcW w:w="375" w:type="pct"/>
            <w:tcMar>
              <w:top w:w="10" w:type="dxa"/>
              <w:left w:w="10" w:type="dxa"/>
              <w:right w:w="10" w:type="dxa"/>
            </w:tcMar>
            <w:vAlign w:val="center"/>
          </w:tcPr>
          <w:p>
            <w:pPr>
              <w:spacing w:line="240" w:lineRule="exact"/>
              <w:ind w:left="105" w:leftChars="50" w:right="105" w:rightChars="50"/>
              <w:jc w:val="center"/>
              <w:rPr>
                <w:rFonts w:ascii="宋体"/>
                <w:b/>
                <w:bCs/>
              </w:rPr>
            </w:pPr>
            <w:r>
              <w:rPr>
                <w:rFonts w:hint="eastAsia" w:ascii="宋体"/>
                <w:b/>
                <w:bCs/>
              </w:rPr>
              <w:t>自评分</w:t>
            </w:r>
          </w:p>
        </w:tc>
        <w:tc>
          <w:tcPr>
            <w:tcW w:w="1576" w:type="pct"/>
            <w:tcMar>
              <w:top w:w="10" w:type="dxa"/>
              <w:left w:w="10" w:type="dxa"/>
              <w:right w:w="10" w:type="dxa"/>
            </w:tcMar>
            <w:vAlign w:val="center"/>
          </w:tcPr>
          <w:p>
            <w:pPr>
              <w:spacing w:line="240" w:lineRule="exact"/>
              <w:ind w:left="105" w:leftChars="50" w:right="105" w:rightChars="50"/>
              <w:jc w:val="center"/>
              <w:rPr>
                <w:rFonts w:ascii="宋体"/>
                <w:b/>
                <w:bCs/>
              </w:rPr>
            </w:pPr>
            <w:r>
              <w:rPr>
                <w:rFonts w:hint="eastAsia" w:ascii="宋体"/>
                <w:b/>
                <w:bCs/>
              </w:rPr>
              <w:t>指标解释</w:t>
            </w:r>
          </w:p>
        </w:tc>
        <w:tc>
          <w:tcPr>
            <w:tcW w:w="1867" w:type="pct"/>
            <w:tcMar>
              <w:top w:w="10" w:type="dxa"/>
              <w:left w:w="10" w:type="dxa"/>
              <w:right w:w="10" w:type="dxa"/>
            </w:tcMar>
            <w:vAlign w:val="center"/>
          </w:tcPr>
          <w:p>
            <w:pPr>
              <w:spacing w:line="240" w:lineRule="exact"/>
              <w:ind w:left="105" w:leftChars="50" w:right="105" w:rightChars="50"/>
              <w:jc w:val="center"/>
              <w:rPr>
                <w:rFonts w:ascii="宋体"/>
                <w:b/>
                <w:bCs/>
              </w:rPr>
            </w:pPr>
            <w:r>
              <w:rPr>
                <w:rFonts w:hint="eastAsia" w:ascii="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right w:w="10" w:type="dxa"/>
            </w:tcMar>
            <w:textDirection w:val="tbRlV"/>
            <w:vAlign w:val="center"/>
          </w:tcPr>
          <w:p>
            <w:pPr>
              <w:spacing w:line="240" w:lineRule="exact"/>
              <w:jc w:val="center"/>
              <w:rPr>
                <w:rFonts w:ascii="宋体"/>
              </w:rPr>
            </w:pPr>
            <w:r>
              <w:rPr>
                <w:rFonts w:hint="eastAsia" w:ascii="宋体"/>
              </w:rPr>
              <w:t>投入（</w:t>
            </w:r>
            <w:r>
              <w:rPr>
                <w:rFonts w:ascii="宋体"/>
              </w:rPr>
              <w:t>20</w:t>
            </w:r>
            <w:r>
              <w:rPr>
                <w:rFonts w:hint="eastAsia" w:ascii="宋体"/>
              </w:rPr>
              <w:t>分）</w:t>
            </w:r>
          </w:p>
        </w:tc>
        <w:tc>
          <w:tcPr>
            <w:tcW w:w="375" w:type="pct"/>
            <w:vMerge w:val="restart"/>
            <w:tcMar>
              <w:top w:w="10" w:type="dxa"/>
              <w:left w:w="10" w:type="dxa"/>
              <w:right w:w="10" w:type="dxa"/>
            </w:tcMar>
            <w:vAlign w:val="center"/>
          </w:tcPr>
          <w:p>
            <w:pPr>
              <w:spacing w:line="240" w:lineRule="exact"/>
              <w:jc w:val="center"/>
              <w:rPr>
                <w:rFonts w:ascii="宋体"/>
              </w:rPr>
            </w:pPr>
            <w:r>
              <w:rPr>
                <w:rFonts w:hint="eastAsia" w:ascii="宋体"/>
              </w:rPr>
              <w:t>目标</w:t>
            </w:r>
            <w:r>
              <w:rPr>
                <w:rFonts w:ascii="宋体"/>
              </w:rPr>
              <w:br w:type="textWrapping"/>
            </w:r>
            <w:r>
              <w:rPr>
                <w:rFonts w:hint="eastAsia" w:ascii="宋体"/>
              </w:rPr>
              <w:t>设定（</w:t>
            </w:r>
            <w:r>
              <w:rPr>
                <w:rFonts w:ascii="宋体"/>
              </w:rPr>
              <w:t>5</w:t>
            </w:r>
            <w:r>
              <w:rPr>
                <w:rFonts w:hint="eastAsia" w:ascii="宋体"/>
              </w:rPr>
              <w:t>分）</w:t>
            </w: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绩效目标</w:t>
            </w:r>
          </w:p>
          <w:p>
            <w:pPr>
              <w:spacing w:line="240" w:lineRule="exact"/>
              <w:jc w:val="center"/>
              <w:rPr>
                <w:rFonts w:ascii="宋体"/>
              </w:rPr>
            </w:pPr>
            <w:r>
              <w:rPr>
                <w:rFonts w:hint="eastAsia" w:ascii="宋体"/>
              </w:rPr>
              <w:t>合理性（</w:t>
            </w:r>
            <w:r>
              <w:rPr>
                <w:rFonts w:ascii="宋体"/>
              </w:rPr>
              <w:t>2</w:t>
            </w:r>
            <w:r>
              <w:rPr>
                <w:rFonts w:hint="eastAsia" w:ascii="宋体"/>
              </w:rPr>
              <w:t>分）</w:t>
            </w:r>
          </w:p>
        </w:tc>
        <w:tc>
          <w:tcPr>
            <w:tcW w:w="375" w:type="pct"/>
            <w:tcMar>
              <w:top w:w="10" w:type="dxa"/>
              <w:left w:w="10" w:type="dxa"/>
              <w:right w:w="10" w:type="dxa"/>
            </w:tcMar>
            <w:vAlign w:val="center"/>
          </w:tcPr>
          <w:p>
            <w:pPr>
              <w:spacing w:line="240" w:lineRule="exact"/>
              <w:jc w:val="center"/>
              <w:rPr>
                <w:rFonts w:ascii="宋体"/>
              </w:rPr>
            </w:pPr>
            <w:r>
              <w:rPr>
                <w:rFonts w:hint="eastAsia" w:ascii="宋体"/>
              </w:rPr>
              <w:t>2</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部门所设立的整体绩效目标依据是否充分，是否符合客观实际，用以反映和考核部门整体绩效目标与部门履职、年度工作任务的相符性情况。</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评价要点：</w:t>
            </w:r>
            <w:r>
              <w:rPr>
                <w:rFonts w:ascii="宋体"/>
              </w:rPr>
              <w:br w:type="textWrapping"/>
            </w:r>
            <w:r>
              <w:rPr>
                <w:rFonts w:hint="eastAsia" w:ascii="宋体"/>
              </w:rPr>
              <w:t>①是否符合国家法律法规、国民经济和社会发展总体规划；</w:t>
            </w:r>
            <w:r>
              <w:rPr>
                <w:rFonts w:ascii="宋体"/>
              </w:rPr>
              <w:br w:type="textWrapping"/>
            </w:r>
            <w:r>
              <w:rPr>
                <w:rFonts w:hint="eastAsia" w:ascii="宋体"/>
              </w:rPr>
              <w:t>②是否符合部门“三定”方案确定的职责；</w:t>
            </w:r>
            <w:r>
              <w:rPr>
                <w:rFonts w:ascii="宋体"/>
              </w:rPr>
              <w:br w:type="textWrapping"/>
            </w:r>
            <w:r>
              <w:rPr>
                <w:rFonts w:hint="eastAsia" w:ascii="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绩效指标</w:t>
            </w:r>
          </w:p>
          <w:p>
            <w:pPr>
              <w:spacing w:line="240" w:lineRule="exact"/>
              <w:jc w:val="center"/>
              <w:rPr>
                <w:rFonts w:ascii="宋体"/>
              </w:rPr>
            </w:pPr>
            <w:r>
              <w:rPr>
                <w:rFonts w:hint="eastAsia" w:ascii="宋体"/>
              </w:rPr>
              <w:t>明确性（</w:t>
            </w:r>
            <w:r>
              <w:rPr>
                <w:rFonts w:ascii="宋体"/>
              </w:rPr>
              <w:t>3</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3</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部门依据整体绩效目标所设定的绩效指标是否清晰、细化、可衡量，用以反映和考核部门整体绩效目标的明细化情况。</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评价要点：</w:t>
            </w:r>
            <w:r>
              <w:rPr>
                <w:rFonts w:ascii="宋体"/>
              </w:rPr>
              <w:br w:type="textWrapping"/>
            </w:r>
            <w:r>
              <w:rPr>
                <w:rFonts w:hint="eastAsia" w:ascii="宋体"/>
              </w:rPr>
              <w:t>①是否将部门整体的绩效目标细化分解为具体的工作任务；</w:t>
            </w:r>
            <w:r>
              <w:rPr>
                <w:rFonts w:ascii="宋体"/>
              </w:rPr>
              <w:br w:type="textWrapping"/>
            </w:r>
            <w:r>
              <w:rPr>
                <w:rFonts w:hint="eastAsia" w:ascii="宋体"/>
              </w:rPr>
              <w:t>②是否通过清晰、可衡量的指标值予以体现。③是否与部门年度的任务数或计划数相对应；</w:t>
            </w:r>
            <w:r>
              <w:rPr>
                <w:rFonts w:ascii="宋体"/>
              </w:rPr>
              <w:br w:type="textWrapping"/>
            </w:r>
            <w:r>
              <w:rPr>
                <w:rFonts w:hint="eastAsia" w:ascii="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tc>
        <w:tc>
          <w:tcPr>
            <w:tcW w:w="375" w:type="pct"/>
            <w:vMerge w:val="restart"/>
            <w:tcMar>
              <w:top w:w="10" w:type="dxa"/>
              <w:left w:w="10" w:type="dxa"/>
              <w:right w:w="10" w:type="dxa"/>
            </w:tcMar>
            <w:vAlign w:val="center"/>
          </w:tcPr>
          <w:p>
            <w:pPr>
              <w:spacing w:line="240" w:lineRule="exact"/>
              <w:jc w:val="center"/>
              <w:rPr>
                <w:rFonts w:ascii="宋体"/>
              </w:rPr>
            </w:pPr>
            <w:r>
              <w:rPr>
                <w:rFonts w:hint="eastAsia" w:ascii="宋体"/>
              </w:rPr>
              <w:t>预算</w:t>
            </w:r>
            <w:r>
              <w:rPr>
                <w:rFonts w:ascii="宋体"/>
              </w:rPr>
              <w:br w:type="textWrapping"/>
            </w:r>
            <w:r>
              <w:rPr>
                <w:rFonts w:hint="eastAsia" w:ascii="宋体"/>
              </w:rPr>
              <w:t>配置（</w:t>
            </w:r>
            <w:r>
              <w:rPr>
                <w:rFonts w:ascii="宋体"/>
              </w:rPr>
              <w:t>15</w:t>
            </w:r>
            <w:r>
              <w:rPr>
                <w:rFonts w:hint="eastAsia" w:ascii="宋体"/>
              </w:rPr>
              <w:t>分）</w:t>
            </w: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在职人员</w:t>
            </w:r>
          </w:p>
          <w:p>
            <w:pPr>
              <w:spacing w:line="240" w:lineRule="exact"/>
              <w:jc w:val="center"/>
              <w:rPr>
                <w:rFonts w:ascii="宋体"/>
              </w:rPr>
            </w:pPr>
            <w:r>
              <w:rPr>
                <w:rFonts w:hint="eastAsia" w:ascii="宋体"/>
              </w:rPr>
              <w:t>控制率（</w:t>
            </w:r>
            <w:r>
              <w:rPr>
                <w:rFonts w:ascii="宋体"/>
              </w:rPr>
              <w:t>5</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5</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部门本年度实际在职人员数与编制数的比率，用以反映和考核部门对人员成本的控制程度。</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在职人员控制率</w:t>
            </w:r>
            <w:r>
              <w:rPr>
                <w:rFonts w:ascii="宋体"/>
              </w:rPr>
              <w:t>=</w:t>
            </w:r>
            <w:r>
              <w:rPr>
                <w:rFonts w:hint="eastAsia" w:ascii="宋体"/>
              </w:rPr>
              <w:t>（在职人员数</w:t>
            </w:r>
            <w:r>
              <w:rPr>
                <w:rFonts w:ascii="宋体"/>
              </w:rPr>
              <w:t>/</w:t>
            </w:r>
            <w:r>
              <w:rPr>
                <w:rFonts w:hint="eastAsia" w:ascii="宋体"/>
              </w:rPr>
              <w:t>编制数）×</w:t>
            </w:r>
            <w:r>
              <w:rPr>
                <w:rFonts w:ascii="宋体"/>
              </w:rPr>
              <w:t>100%</w:t>
            </w:r>
            <w:r>
              <w:rPr>
                <w:rFonts w:hint="eastAsia" w:ascii="宋体"/>
              </w:rPr>
              <w:t>。</w:t>
            </w:r>
            <w:r>
              <w:rPr>
                <w:rFonts w:ascii="宋体"/>
              </w:rPr>
              <w:br w:type="textWrapping"/>
            </w:r>
            <w:r>
              <w:rPr>
                <w:rFonts w:hint="eastAsia" w:ascii="宋体"/>
              </w:rPr>
              <w:t>在职人员数：部门实际在职人数，以财政部确定的部门决算编制口径为准。</w:t>
            </w:r>
            <w:r>
              <w:rPr>
                <w:rFonts w:ascii="宋体"/>
              </w:rPr>
              <w:br w:type="textWrapping"/>
            </w:r>
            <w:r>
              <w:rPr>
                <w:rFonts w:hint="eastAsia" w:ascii="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“三公经费”</w:t>
            </w:r>
          </w:p>
          <w:p>
            <w:pPr>
              <w:spacing w:line="240" w:lineRule="exact"/>
              <w:jc w:val="center"/>
              <w:rPr>
                <w:rFonts w:ascii="宋体"/>
              </w:rPr>
            </w:pPr>
            <w:r>
              <w:rPr>
                <w:rFonts w:hint="eastAsia" w:ascii="宋体"/>
              </w:rPr>
              <w:t>变动率（</w:t>
            </w:r>
            <w:r>
              <w:rPr>
                <w:rFonts w:ascii="宋体"/>
              </w:rPr>
              <w:t>5</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5</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部门本年度“三公经费”预算数与上年度“三公经费”预算数的变动比率，用以反映和考核部门对控制重点行政成本的努力程度。</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“三公经费”变动率</w:t>
            </w:r>
            <w:r>
              <w:rPr>
                <w:rFonts w:ascii="宋体"/>
              </w:rPr>
              <w:t>=[</w:t>
            </w:r>
            <w:r>
              <w:rPr>
                <w:rFonts w:hint="eastAsia" w:ascii="宋体"/>
              </w:rPr>
              <w:t>（本年度“三公经费”总额</w:t>
            </w:r>
            <w:r>
              <w:rPr>
                <w:rFonts w:ascii="宋体"/>
              </w:rPr>
              <w:t>-</w:t>
            </w:r>
            <w:r>
              <w:rPr>
                <w:rFonts w:hint="eastAsia" w:ascii="宋体"/>
              </w:rPr>
              <w:t>上年度“三公经费”总额）</w:t>
            </w:r>
            <w:r>
              <w:rPr>
                <w:rFonts w:ascii="宋体"/>
              </w:rPr>
              <w:t>/</w:t>
            </w:r>
            <w:r>
              <w:rPr>
                <w:rFonts w:hint="eastAsia" w:ascii="宋体"/>
              </w:rPr>
              <w:t>上年度“三公经费”总额</w:t>
            </w:r>
            <w:r>
              <w:rPr>
                <w:rFonts w:ascii="宋体"/>
              </w:rPr>
              <w:t>]</w:t>
            </w:r>
            <w:r>
              <w:rPr>
                <w:rFonts w:hint="eastAsia" w:ascii="宋体"/>
              </w:rPr>
              <w:t>×</w:t>
            </w:r>
            <w:r>
              <w:rPr>
                <w:rFonts w:ascii="宋体"/>
              </w:rPr>
              <w:t>100%</w:t>
            </w:r>
            <w:r>
              <w:rPr>
                <w:rFonts w:hint="eastAsia" w:ascii="宋体"/>
              </w:rPr>
              <w:t>。</w:t>
            </w:r>
            <w:r>
              <w:rPr>
                <w:rFonts w:ascii="宋体"/>
              </w:rPr>
              <w:br w:type="textWrapping"/>
            </w:r>
            <w:r>
              <w:rPr>
                <w:rFonts w:hint="eastAsia" w:ascii="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重点支出</w:t>
            </w:r>
          </w:p>
          <w:p>
            <w:pPr>
              <w:spacing w:line="240" w:lineRule="exact"/>
              <w:jc w:val="center"/>
              <w:rPr>
                <w:rFonts w:ascii="宋体"/>
              </w:rPr>
            </w:pPr>
            <w:r>
              <w:rPr>
                <w:rFonts w:hint="eastAsia" w:ascii="宋体"/>
              </w:rPr>
              <w:t>安排率（</w:t>
            </w:r>
            <w:r>
              <w:rPr>
                <w:rFonts w:ascii="宋体"/>
              </w:rPr>
              <w:t>5</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5</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部门本年度预算安排的重点预算支出与部门预算总支出的比率，用以反映和考核部门对履行主要职责或完成重点任务的保障程度。</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重点支出安排率</w:t>
            </w:r>
            <w:r>
              <w:rPr>
                <w:rFonts w:ascii="宋体"/>
              </w:rPr>
              <w:t>=</w:t>
            </w:r>
            <w:r>
              <w:rPr>
                <w:rFonts w:hint="eastAsia" w:ascii="宋体"/>
              </w:rPr>
              <w:t>（重点预算支出</w:t>
            </w:r>
            <w:r>
              <w:rPr>
                <w:rFonts w:ascii="宋体"/>
              </w:rPr>
              <w:t>/</w:t>
            </w:r>
            <w:r>
              <w:rPr>
                <w:rFonts w:hint="eastAsia" w:ascii="宋体"/>
              </w:rPr>
              <w:t>预算总支出）×</w:t>
            </w:r>
            <w:r>
              <w:rPr>
                <w:rFonts w:ascii="宋体"/>
              </w:rPr>
              <w:t>100%</w:t>
            </w:r>
            <w:r>
              <w:rPr>
                <w:rFonts w:hint="eastAsia" w:ascii="宋体"/>
              </w:rPr>
              <w:t>。</w:t>
            </w:r>
            <w:r>
              <w:rPr>
                <w:rFonts w:ascii="宋体"/>
              </w:rPr>
              <w:br w:type="textWrapping"/>
            </w:r>
            <w:r>
              <w:rPr>
                <w:rFonts w:hint="eastAsia" w:ascii="宋体"/>
              </w:rPr>
              <w:t>重点预算支出：部门年度预算安排的，与本部门履职和发展密切相关、具有明显社会和经济影响、党委政府关心或社会比较关注的预算支出支出总额。</w:t>
            </w:r>
            <w:r>
              <w:rPr>
                <w:rFonts w:ascii="宋体"/>
              </w:rPr>
              <w:br w:type="textWrapping"/>
            </w:r>
            <w:r>
              <w:rPr>
                <w:rFonts w:hint="eastAsia" w:ascii="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right w:w="10" w:type="dxa"/>
            </w:tcMar>
            <w:textDirection w:val="tbRlV"/>
            <w:vAlign w:val="center"/>
          </w:tcPr>
          <w:p>
            <w:pPr>
              <w:spacing w:line="240" w:lineRule="exact"/>
              <w:jc w:val="center"/>
              <w:rPr>
                <w:rFonts w:ascii="宋体"/>
              </w:rPr>
            </w:pPr>
            <w:r>
              <w:rPr>
                <w:rFonts w:hint="eastAsia" w:ascii="宋体"/>
              </w:rPr>
              <w:t>过程（</w:t>
            </w:r>
            <w:r>
              <w:rPr>
                <w:rFonts w:ascii="宋体"/>
              </w:rPr>
              <w:t>30</w:t>
            </w:r>
            <w:r>
              <w:rPr>
                <w:rFonts w:hint="eastAsia" w:ascii="宋体"/>
              </w:rPr>
              <w:t>分）</w:t>
            </w:r>
          </w:p>
        </w:tc>
        <w:tc>
          <w:tcPr>
            <w:tcW w:w="375" w:type="pct"/>
            <w:vMerge w:val="restart"/>
            <w:tcMar>
              <w:top w:w="10" w:type="dxa"/>
              <w:left w:w="10" w:type="dxa"/>
              <w:right w:w="10" w:type="dxa"/>
            </w:tcMar>
            <w:vAlign w:val="center"/>
          </w:tcPr>
          <w:p>
            <w:pPr>
              <w:spacing w:line="240" w:lineRule="exact"/>
              <w:jc w:val="center"/>
              <w:rPr>
                <w:rFonts w:ascii="宋体"/>
              </w:rPr>
            </w:pPr>
            <w:r>
              <w:rPr>
                <w:rFonts w:hint="eastAsia" w:ascii="宋体"/>
              </w:rPr>
              <w:t>预算</w:t>
            </w:r>
            <w:r>
              <w:rPr>
                <w:rFonts w:ascii="宋体"/>
              </w:rPr>
              <w:br w:type="textWrapping"/>
            </w:r>
            <w:r>
              <w:rPr>
                <w:rFonts w:hint="eastAsia" w:ascii="宋体"/>
              </w:rPr>
              <w:t>执行（</w:t>
            </w:r>
            <w:r>
              <w:rPr>
                <w:rFonts w:ascii="宋体"/>
              </w:rPr>
              <w:t>20</w:t>
            </w:r>
            <w:r>
              <w:rPr>
                <w:rFonts w:hint="eastAsia" w:ascii="宋体"/>
              </w:rPr>
              <w:t>分）</w:t>
            </w: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预算</w:t>
            </w:r>
          </w:p>
          <w:p>
            <w:pPr>
              <w:spacing w:line="240" w:lineRule="exact"/>
              <w:jc w:val="center"/>
              <w:rPr>
                <w:rFonts w:ascii="宋体"/>
              </w:rPr>
            </w:pPr>
            <w:r>
              <w:rPr>
                <w:rFonts w:hint="eastAsia" w:ascii="宋体"/>
              </w:rPr>
              <w:t>执行率（</w:t>
            </w:r>
            <w:r>
              <w:rPr>
                <w:rFonts w:ascii="宋体"/>
              </w:rPr>
              <w:t>4</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4</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部门本年度预算完成数与预算数的比率，用以反映和考核部门预算完成程度。</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预算执行率</w:t>
            </w:r>
            <w:r>
              <w:rPr>
                <w:rFonts w:ascii="宋体"/>
              </w:rPr>
              <w:t>=</w:t>
            </w:r>
            <w:r>
              <w:rPr>
                <w:rFonts w:hint="eastAsia" w:ascii="宋体"/>
              </w:rPr>
              <w:t>（预算执行数</w:t>
            </w:r>
            <w:r>
              <w:rPr>
                <w:rFonts w:ascii="宋体"/>
              </w:rPr>
              <w:t>/</w:t>
            </w:r>
            <w:r>
              <w:rPr>
                <w:rFonts w:hint="eastAsia" w:ascii="宋体"/>
              </w:rPr>
              <w:t>预算数）×</w:t>
            </w:r>
            <w:r>
              <w:rPr>
                <w:rFonts w:ascii="宋体"/>
              </w:rPr>
              <w:t>100%</w:t>
            </w:r>
            <w:r>
              <w:rPr>
                <w:rFonts w:hint="eastAsia" w:ascii="宋体"/>
              </w:rPr>
              <w:t>。</w:t>
            </w:r>
            <w:r>
              <w:rPr>
                <w:rFonts w:ascii="宋体"/>
              </w:rPr>
              <w:br w:type="textWrapping"/>
            </w:r>
            <w:r>
              <w:rPr>
                <w:rFonts w:hint="eastAsia" w:ascii="宋体"/>
              </w:rPr>
              <w:t>预算执行数：部门本年度实际完成的预算数。</w:t>
            </w:r>
            <w:r>
              <w:rPr>
                <w:rFonts w:ascii="宋体"/>
              </w:rPr>
              <w:br w:type="textWrapping"/>
            </w:r>
            <w:r>
              <w:rPr>
                <w:rFonts w:hint="eastAsia" w:ascii="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预算</w:t>
            </w:r>
          </w:p>
          <w:p>
            <w:pPr>
              <w:spacing w:line="240" w:lineRule="exact"/>
              <w:jc w:val="center"/>
              <w:rPr>
                <w:rFonts w:ascii="宋体"/>
              </w:rPr>
            </w:pPr>
            <w:r>
              <w:rPr>
                <w:rFonts w:hint="eastAsia" w:ascii="宋体"/>
              </w:rPr>
              <w:t>调整率（</w:t>
            </w:r>
            <w:r>
              <w:rPr>
                <w:rFonts w:ascii="宋体"/>
              </w:rPr>
              <w:t>2</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2</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部门本年度预算调整数与预算数的比率，用以反映和考核部门预算的调整程度。</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预算调整率</w:t>
            </w:r>
            <w:r>
              <w:rPr>
                <w:rFonts w:ascii="宋体"/>
              </w:rPr>
              <w:t>=</w:t>
            </w:r>
            <w:r>
              <w:rPr>
                <w:rFonts w:hint="eastAsia" w:ascii="宋体"/>
              </w:rPr>
              <w:t>（预算调整数</w:t>
            </w:r>
            <w:r>
              <w:rPr>
                <w:rFonts w:ascii="宋体"/>
              </w:rPr>
              <w:t>/</w:t>
            </w:r>
            <w:r>
              <w:rPr>
                <w:rFonts w:hint="eastAsia" w:ascii="宋体"/>
              </w:rPr>
              <w:t>预算数）×</w:t>
            </w:r>
            <w:r>
              <w:rPr>
                <w:rFonts w:ascii="宋体"/>
              </w:rPr>
              <w:t>100%</w:t>
            </w:r>
            <w:r>
              <w:rPr>
                <w:rFonts w:hint="eastAsia" w:ascii="宋体"/>
              </w:rPr>
              <w:t>。</w:t>
            </w:r>
            <w:r>
              <w:rPr>
                <w:rFonts w:ascii="宋体"/>
              </w:rPr>
              <w:br w:type="textWrapping"/>
            </w:r>
            <w:r>
              <w:rPr>
                <w:rFonts w:hint="eastAsia" w:ascii="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支付</w:t>
            </w:r>
          </w:p>
          <w:p>
            <w:pPr>
              <w:spacing w:line="240" w:lineRule="exact"/>
              <w:jc w:val="center"/>
              <w:rPr>
                <w:rFonts w:ascii="宋体"/>
              </w:rPr>
            </w:pPr>
            <w:r>
              <w:rPr>
                <w:rFonts w:hint="eastAsia" w:ascii="宋体"/>
              </w:rPr>
              <w:t>进度率（</w:t>
            </w:r>
            <w:r>
              <w:rPr>
                <w:rFonts w:ascii="宋体"/>
              </w:rPr>
              <w:t>2</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2</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部门实际支付进度与既定支付进度的比率，用以反映和考核部门预算执行的及时性和均衡性程度。</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支付进度率</w:t>
            </w:r>
            <w:r>
              <w:rPr>
                <w:rFonts w:ascii="宋体"/>
              </w:rPr>
              <w:t>=</w:t>
            </w:r>
            <w:r>
              <w:rPr>
                <w:rFonts w:hint="eastAsia" w:ascii="宋体"/>
              </w:rPr>
              <w:t>（实际支付进度</w:t>
            </w:r>
            <w:r>
              <w:rPr>
                <w:rFonts w:ascii="宋体"/>
              </w:rPr>
              <w:t>/</w:t>
            </w:r>
            <w:r>
              <w:rPr>
                <w:rFonts w:hint="eastAsia" w:ascii="宋体"/>
              </w:rPr>
              <w:t>既定支付进度）×</w:t>
            </w:r>
            <w:r>
              <w:rPr>
                <w:rFonts w:ascii="宋体"/>
              </w:rPr>
              <w:t>100%</w:t>
            </w:r>
            <w:r>
              <w:rPr>
                <w:rFonts w:hint="eastAsia" w:ascii="宋体"/>
              </w:rPr>
              <w:t>。</w:t>
            </w:r>
            <w:r>
              <w:rPr>
                <w:rFonts w:ascii="宋体"/>
              </w:rPr>
              <w:br w:type="textWrapping"/>
            </w:r>
            <w:r>
              <w:rPr>
                <w:rFonts w:hint="eastAsia" w:ascii="宋体"/>
              </w:rPr>
              <w:t>实际支付进度：部门在某一时点的支出预算执行总数与年度支出预算数的比率。</w:t>
            </w:r>
            <w:r>
              <w:rPr>
                <w:rFonts w:ascii="宋体"/>
              </w:rPr>
              <w:br w:type="textWrapping"/>
            </w:r>
            <w:r>
              <w:rPr>
                <w:rFonts w:hint="eastAsia" w:ascii="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right w:w="10" w:type="dxa"/>
            </w:tcMar>
            <w:textDirection w:val="tbRlV"/>
            <w:vAlign w:val="center"/>
          </w:tcPr>
          <w:p/>
        </w:tc>
        <w:tc>
          <w:tcPr>
            <w:tcW w:w="375" w:type="pct"/>
            <w:vMerge w:val="continue"/>
            <w:tcMar>
              <w:top w:w="10" w:type="dxa"/>
              <w:left w:w="10" w:type="dxa"/>
              <w:right w:w="10" w:type="dxa"/>
            </w:tcMar>
            <w:vAlign w:val="center"/>
          </w:tcP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结转</w:t>
            </w:r>
          </w:p>
          <w:p>
            <w:pPr>
              <w:spacing w:line="240" w:lineRule="exact"/>
              <w:jc w:val="center"/>
              <w:rPr>
                <w:rFonts w:ascii="宋体"/>
              </w:rPr>
            </w:pPr>
            <w:r>
              <w:rPr>
                <w:rFonts w:hint="eastAsia" w:ascii="宋体"/>
              </w:rPr>
              <w:t>结余率（</w:t>
            </w:r>
            <w:r>
              <w:rPr>
                <w:rFonts w:ascii="宋体"/>
              </w:rPr>
              <w:t>2</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1.5</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部门本年度结转结余总额与支出预算数的比率，用以反映和考核部门对本年度结转结余资金的实际控制程度。</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结转结余率</w:t>
            </w:r>
            <w:r>
              <w:rPr>
                <w:rFonts w:ascii="宋体"/>
              </w:rPr>
              <w:t>=</w:t>
            </w:r>
            <w:r>
              <w:rPr>
                <w:rFonts w:hint="eastAsia" w:ascii="宋体"/>
              </w:rPr>
              <w:t>结转结余总额</w:t>
            </w:r>
            <w:r>
              <w:rPr>
                <w:rFonts w:ascii="宋体"/>
              </w:rPr>
              <w:t>/</w:t>
            </w:r>
            <w:r>
              <w:rPr>
                <w:rFonts w:hint="eastAsia" w:ascii="宋体"/>
              </w:rPr>
              <w:t>支出预算数×</w:t>
            </w:r>
            <w:r>
              <w:rPr>
                <w:rFonts w:ascii="宋体"/>
              </w:rPr>
              <w:t>100%</w:t>
            </w:r>
            <w:r>
              <w:rPr>
                <w:rFonts w:hint="eastAsia" w:ascii="宋体"/>
              </w:rPr>
              <w:t>。</w:t>
            </w:r>
            <w:r>
              <w:rPr>
                <w:rFonts w:ascii="宋体"/>
              </w:rPr>
              <w:br w:type="textWrapping"/>
            </w:r>
            <w:r>
              <w:rPr>
                <w:rFonts w:hint="eastAsia" w:ascii="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结转结余</w:t>
            </w:r>
          </w:p>
          <w:p>
            <w:pPr>
              <w:spacing w:line="240" w:lineRule="exact"/>
              <w:jc w:val="center"/>
              <w:rPr>
                <w:rFonts w:ascii="宋体"/>
              </w:rPr>
            </w:pPr>
            <w:r>
              <w:rPr>
                <w:rFonts w:hint="eastAsia" w:ascii="宋体"/>
              </w:rPr>
              <w:t>变动率（</w:t>
            </w:r>
            <w:r>
              <w:rPr>
                <w:rFonts w:ascii="宋体"/>
              </w:rPr>
              <w:t>2</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1.5</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部门本年度结转结余资金总额与上年度结转结余资金总额的变动比率，用以反映和考核部门对控制结转结余资金的努力程度。</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结转结余变动率</w:t>
            </w:r>
            <w:r>
              <w:rPr>
                <w:rFonts w:ascii="宋体"/>
              </w:rPr>
              <w:t>=[</w:t>
            </w:r>
            <w:r>
              <w:rPr>
                <w:rFonts w:hint="eastAsia" w:ascii="宋体"/>
              </w:rPr>
              <w:t>（本年度累计结转结余资金总额</w:t>
            </w:r>
            <w:r>
              <w:rPr>
                <w:rFonts w:ascii="宋体"/>
              </w:rPr>
              <w:t>-</w:t>
            </w:r>
            <w:r>
              <w:rPr>
                <w:rFonts w:hint="eastAsia" w:ascii="宋体"/>
              </w:rPr>
              <w:t>上年度累计结转结余资金总额）</w:t>
            </w:r>
            <w:r>
              <w:rPr>
                <w:rFonts w:ascii="宋体"/>
              </w:rPr>
              <w:t>/</w:t>
            </w:r>
            <w:r>
              <w:rPr>
                <w:rFonts w:hint="eastAsia" w:ascii="宋体"/>
              </w:rPr>
              <w:t>上年度累计结转结余资金总额</w:t>
            </w:r>
            <w:r>
              <w:rPr>
                <w:rFonts w:ascii="宋体"/>
              </w:rPr>
              <w:t>]</w:t>
            </w:r>
            <w:r>
              <w:rPr>
                <w:rFonts w:hint="eastAsia" w:ascii="宋体"/>
              </w:rPr>
              <w:t>×</w:t>
            </w:r>
            <w:r>
              <w:rPr>
                <w:rFonts w:ascii="宋体"/>
              </w:rPr>
              <w:t>100%</w:t>
            </w: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公用经费</w:t>
            </w:r>
          </w:p>
          <w:p>
            <w:pPr>
              <w:spacing w:line="240" w:lineRule="exact"/>
              <w:jc w:val="center"/>
              <w:rPr>
                <w:rFonts w:ascii="宋体"/>
              </w:rPr>
            </w:pPr>
            <w:r>
              <w:rPr>
                <w:rFonts w:hint="eastAsia" w:ascii="宋体"/>
              </w:rPr>
              <w:t>控制率（</w:t>
            </w:r>
            <w:r>
              <w:rPr>
                <w:rFonts w:ascii="宋体"/>
              </w:rPr>
              <w:t>2</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1.5</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部门本年度实际支出的公用经费总额与预算安排的公用经费总额的比率，用以反映和考核部门对机构运转成本的实际控制程度。</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公用经费控制率</w:t>
            </w:r>
            <w:r>
              <w:rPr>
                <w:rFonts w:ascii="宋体"/>
              </w:rPr>
              <w:t>=</w:t>
            </w:r>
            <w:r>
              <w:rPr>
                <w:rFonts w:hint="eastAsia" w:ascii="宋体"/>
              </w:rPr>
              <w:t>（实际支出公用经费总额</w:t>
            </w:r>
            <w:r>
              <w:rPr>
                <w:rFonts w:ascii="宋体"/>
              </w:rPr>
              <w:t>/</w:t>
            </w:r>
            <w:r>
              <w:rPr>
                <w:rFonts w:hint="eastAsia" w:ascii="宋体"/>
              </w:rPr>
              <w:t>预算安排公用经费总额）×</w:t>
            </w:r>
            <w:r>
              <w:rPr>
                <w:rFonts w:ascii="宋体"/>
              </w:rPr>
              <w:t>100%</w:t>
            </w: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“三公经费”控制率（</w:t>
            </w:r>
            <w:r>
              <w:rPr>
                <w:rFonts w:ascii="宋体"/>
              </w:rPr>
              <w:t>2</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1.5</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部门本年度“三公经费”实际支出数与预算安排数的比率，用以反映和考核部门对“三公经费”的实际控制程度。</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“三公经费”控制率</w:t>
            </w:r>
            <w:r>
              <w:rPr>
                <w:rFonts w:ascii="宋体"/>
              </w:rPr>
              <w:t>=</w:t>
            </w:r>
            <w:r>
              <w:rPr>
                <w:rFonts w:hint="eastAsia" w:ascii="宋体"/>
              </w:rPr>
              <w:t>（“三公经费”实际支出数</w:t>
            </w:r>
            <w:r>
              <w:rPr>
                <w:rFonts w:ascii="宋体"/>
              </w:rPr>
              <w:t>/</w:t>
            </w:r>
            <w:r>
              <w:rPr>
                <w:rFonts w:hint="eastAsia" w:ascii="宋体"/>
              </w:rPr>
              <w:t>“三公经费”预算安排数）×</w:t>
            </w:r>
            <w:r>
              <w:rPr>
                <w:rFonts w:ascii="宋体"/>
              </w:rPr>
              <w:t>100%</w:t>
            </w: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政府采购</w:t>
            </w:r>
          </w:p>
          <w:p>
            <w:pPr>
              <w:spacing w:line="240" w:lineRule="exact"/>
              <w:jc w:val="center"/>
              <w:rPr>
                <w:rFonts w:ascii="宋体"/>
              </w:rPr>
            </w:pPr>
            <w:r>
              <w:rPr>
                <w:rFonts w:hint="eastAsia" w:ascii="宋体"/>
              </w:rPr>
              <w:t>执行率（</w:t>
            </w:r>
            <w:r>
              <w:rPr>
                <w:rFonts w:ascii="宋体"/>
              </w:rPr>
              <w:t>4</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3</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部门本年度实际政府采购金额与年初政府采购预算的比率，用以反映和考核部门政府采购预算执行情况。</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政府采购执行率</w:t>
            </w:r>
            <w:r>
              <w:rPr>
                <w:rFonts w:ascii="宋体"/>
              </w:rPr>
              <w:t>=</w:t>
            </w:r>
            <w:r>
              <w:rPr>
                <w:rFonts w:hint="eastAsia" w:ascii="宋体"/>
              </w:rPr>
              <w:t>（实际政府采购金额</w:t>
            </w:r>
            <w:r>
              <w:rPr>
                <w:rFonts w:ascii="宋体"/>
              </w:rPr>
              <w:t>/</w:t>
            </w:r>
            <w:r>
              <w:rPr>
                <w:rFonts w:hint="eastAsia" w:ascii="宋体"/>
              </w:rPr>
              <w:t>政府采购预算数）×</w:t>
            </w:r>
            <w:r>
              <w:rPr>
                <w:rFonts w:ascii="宋体"/>
              </w:rPr>
              <w:t>100%</w:t>
            </w:r>
            <w:r>
              <w:rPr>
                <w:rFonts w:hint="eastAsia" w:ascii="宋体"/>
              </w:rPr>
              <w:t>；</w:t>
            </w:r>
            <w:r>
              <w:rPr>
                <w:rFonts w:ascii="宋体"/>
              </w:rPr>
              <w:br w:type="textWrapping"/>
            </w:r>
            <w:r>
              <w:rPr>
                <w:rFonts w:hint="eastAsia" w:ascii="宋体"/>
              </w:rPr>
              <w:t>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jc w:val="center"/>
        </w:trPr>
        <w:tc>
          <w:tcPr>
            <w:tcW w:w="307" w:type="pct"/>
            <w:vMerge w:val="restart"/>
            <w:vAlign w:val="center"/>
          </w:tcPr>
          <w:p>
            <w:pPr>
              <w:spacing w:line="240" w:lineRule="exact"/>
              <w:jc w:val="center"/>
              <w:rPr>
                <w:rFonts w:ascii="宋体"/>
              </w:rPr>
            </w:pPr>
            <w:r>
              <w:rPr>
                <w:rFonts w:hint="eastAsia" w:ascii="宋体"/>
              </w:rPr>
              <w:t>过</w:t>
            </w:r>
          </w:p>
          <w:p>
            <w:pPr>
              <w:spacing w:line="240" w:lineRule="exact"/>
              <w:jc w:val="center"/>
              <w:rPr>
                <w:rFonts w:ascii="宋体"/>
              </w:rPr>
            </w:pPr>
            <w:r>
              <w:rPr>
                <w:rFonts w:hint="eastAsia" w:ascii="宋体"/>
              </w:rPr>
              <w:t>程（</w:t>
            </w:r>
            <w:r>
              <w:rPr>
                <w:rFonts w:ascii="宋体"/>
              </w:rPr>
              <w:t>30</w:t>
            </w:r>
            <w:r>
              <w:rPr>
                <w:rFonts w:hint="eastAsia" w:ascii="宋体"/>
              </w:rPr>
              <w:t>分）</w:t>
            </w:r>
          </w:p>
        </w:tc>
        <w:tc>
          <w:tcPr>
            <w:tcW w:w="375" w:type="pct"/>
            <w:vMerge w:val="restart"/>
            <w:tcMar>
              <w:top w:w="10" w:type="dxa"/>
              <w:left w:w="10" w:type="dxa"/>
              <w:right w:w="10" w:type="dxa"/>
            </w:tcMar>
            <w:vAlign w:val="center"/>
          </w:tcPr>
          <w:p>
            <w:pPr>
              <w:spacing w:line="240" w:lineRule="exact"/>
              <w:jc w:val="center"/>
              <w:rPr>
                <w:rFonts w:ascii="宋体"/>
              </w:rPr>
            </w:pPr>
            <w:r>
              <w:rPr>
                <w:rFonts w:hint="eastAsia" w:ascii="宋体"/>
              </w:rPr>
              <w:t>预算</w:t>
            </w:r>
            <w:r>
              <w:rPr>
                <w:rFonts w:ascii="宋体"/>
              </w:rPr>
              <w:br w:type="textWrapping"/>
            </w:r>
            <w:r>
              <w:rPr>
                <w:rFonts w:hint="eastAsia" w:ascii="宋体"/>
              </w:rPr>
              <w:t>管理（</w:t>
            </w:r>
            <w:r>
              <w:rPr>
                <w:rFonts w:ascii="宋体"/>
              </w:rPr>
              <w:t>5</w:t>
            </w:r>
            <w:r>
              <w:rPr>
                <w:rFonts w:hint="eastAsia" w:ascii="宋体"/>
              </w:rPr>
              <w:t>分）</w:t>
            </w:r>
          </w:p>
          <w:p>
            <w:pPr>
              <w:spacing w:line="240" w:lineRule="exact"/>
              <w:jc w:val="center"/>
              <w:rPr>
                <w:rFonts w:ascii="宋体"/>
              </w:rPr>
            </w:pPr>
            <w:r>
              <w:rPr>
                <w:rFonts w:hint="eastAsia" w:ascii="宋体"/>
              </w:rPr>
              <w:t>）</w:t>
            </w: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管理制度</w:t>
            </w:r>
          </w:p>
          <w:p>
            <w:pPr>
              <w:spacing w:line="240" w:lineRule="exact"/>
              <w:jc w:val="center"/>
              <w:rPr>
                <w:rFonts w:ascii="宋体"/>
              </w:rPr>
            </w:pPr>
            <w:r>
              <w:rPr>
                <w:rFonts w:hint="eastAsia" w:ascii="宋体"/>
              </w:rPr>
              <w:t>健全性（</w:t>
            </w:r>
            <w:r>
              <w:rPr>
                <w:rFonts w:ascii="宋体"/>
              </w:rPr>
              <w:t>2</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2</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评价要点：</w:t>
            </w:r>
            <w:r>
              <w:rPr>
                <w:rFonts w:ascii="宋体"/>
              </w:rPr>
              <w:br w:type="textWrapping"/>
            </w:r>
            <w:r>
              <w:rPr>
                <w:rFonts w:hint="eastAsia" w:ascii="宋体"/>
              </w:rPr>
              <w:t>①是否已制定或具有预算资金管理办法、内部财务管理制度、会计核算制度等管理制度；</w:t>
            </w:r>
            <w:r>
              <w:rPr>
                <w:rFonts w:ascii="宋体"/>
              </w:rPr>
              <w:br w:type="textWrapping"/>
            </w:r>
            <w:r>
              <w:rPr>
                <w:rFonts w:hint="eastAsia" w:ascii="宋体"/>
              </w:rPr>
              <w:t>②相关管理制度是否合法、合规、完整；</w:t>
            </w:r>
            <w:r>
              <w:rPr>
                <w:rFonts w:ascii="宋体"/>
              </w:rPr>
              <w:br w:type="textWrapping"/>
            </w:r>
            <w:r>
              <w:rPr>
                <w:rFonts w:hint="eastAsia" w:ascii="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资金使用</w:t>
            </w:r>
          </w:p>
          <w:p>
            <w:pPr>
              <w:spacing w:line="240" w:lineRule="exact"/>
              <w:jc w:val="center"/>
              <w:rPr>
                <w:rFonts w:ascii="宋体"/>
              </w:rPr>
            </w:pPr>
            <w:r>
              <w:rPr>
                <w:rFonts w:hint="eastAsia" w:ascii="宋体"/>
              </w:rPr>
              <w:t>合规性（</w:t>
            </w:r>
            <w:r>
              <w:rPr>
                <w:rFonts w:ascii="宋体"/>
              </w:rPr>
              <w:t>1</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1</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部门使用预算资金是否符合相关的预算财务管理制度的规定，用以反映和考核部门预算资金的规范运行情况。</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评价要点：</w:t>
            </w:r>
            <w:r>
              <w:rPr>
                <w:rFonts w:ascii="宋体"/>
              </w:rPr>
              <w:br w:type="textWrapping"/>
            </w:r>
            <w:r>
              <w:rPr>
                <w:rFonts w:hint="eastAsia" w:ascii="宋体"/>
              </w:rPr>
              <w:t>①是否符合国家财经法规和财务管理制度规定以及有关预算支出管理办法的规定；</w:t>
            </w:r>
            <w:r>
              <w:rPr>
                <w:rFonts w:ascii="宋体"/>
              </w:rPr>
              <w:br w:type="textWrapping"/>
            </w:r>
            <w:r>
              <w:rPr>
                <w:rFonts w:hint="eastAsia" w:ascii="宋体"/>
              </w:rPr>
              <w:t>②资金的拨付是否有完整的审批程序和手续；</w:t>
            </w:r>
            <w:r>
              <w:rPr>
                <w:rFonts w:ascii="宋体"/>
              </w:rPr>
              <w:br w:type="textWrapping"/>
            </w:r>
            <w:r>
              <w:rPr>
                <w:rFonts w:hint="eastAsia" w:ascii="宋体"/>
              </w:rPr>
              <w:t>③预算支出的重大开支是否经过评估论证；</w:t>
            </w:r>
            <w:r>
              <w:rPr>
                <w:rFonts w:ascii="宋体"/>
              </w:rPr>
              <w:br w:type="textWrapping"/>
            </w:r>
            <w:r>
              <w:rPr>
                <w:rFonts w:hint="eastAsia" w:ascii="宋体"/>
              </w:rPr>
              <w:t>④是否符合部门预算批复的用途；</w:t>
            </w:r>
            <w:r>
              <w:rPr>
                <w:rFonts w:ascii="宋体"/>
              </w:rPr>
              <w:br w:type="textWrapping"/>
            </w:r>
            <w:r>
              <w:rPr>
                <w:rFonts w:hint="eastAsia" w:ascii="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预决算信</w:t>
            </w:r>
          </w:p>
          <w:p>
            <w:pPr>
              <w:spacing w:line="240" w:lineRule="exact"/>
              <w:jc w:val="center"/>
              <w:rPr>
                <w:rFonts w:ascii="宋体"/>
              </w:rPr>
            </w:pPr>
            <w:r>
              <w:rPr>
                <w:rFonts w:hint="eastAsia" w:ascii="宋体"/>
              </w:rPr>
              <w:t>息公开性（</w:t>
            </w:r>
            <w:r>
              <w:rPr>
                <w:rFonts w:ascii="宋体"/>
              </w:rPr>
              <w:t>1</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1</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部门是否按照政府信息公开有关规定公开相关预决算信息，用以反映和考核部门预决算管理的公开透明情况。</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评价要点：</w:t>
            </w:r>
            <w:r>
              <w:rPr>
                <w:rFonts w:ascii="宋体"/>
              </w:rPr>
              <w:br w:type="textWrapping"/>
            </w:r>
            <w:r>
              <w:rPr>
                <w:rFonts w:hint="eastAsia" w:ascii="宋体"/>
              </w:rPr>
              <w:t>①是否按规定内容公开预决算信息；</w:t>
            </w:r>
            <w:r>
              <w:rPr>
                <w:rFonts w:ascii="宋体"/>
              </w:rPr>
              <w:br w:type="textWrapping"/>
            </w:r>
            <w:r>
              <w:rPr>
                <w:rFonts w:hint="eastAsia" w:ascii="宋体"/>
              </w:rPr>
              <w:t>②是否按规定时限公开预决算信息。</w:t>
            </w:r>
            <w:r>
              <w:rPr>
                <w:rFonts w:ascii="宋体"/>
              </w:rPr>
              <w:br w:type="textWrapping"/>
            </w:r>
            <w:r>
              <w:rPr>
                <w:rFonts w:hint="eastAsia" w:ascii="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基础信息</w:t>
            </w:r>
          </w:p>
          <w:p>
            <w:pPr>
              <w:spacing w:line="240" w:lineRule="exact"/>
              <w:jc w:val="center"/>
              <w:rPr>
                <w:rFonts w:ascii="宋体"/>
              </w:rPr>
            </w:pPr>
            <w:r>
              <w:rPr>
                <w:rFonts w:hint="eastAsia" w:ascii="宋体"/>
              </w:rPr>
              <w:t>完善性（</w:t>
            </w:r>
            <w:r>
              <w:rPr>
                <w:rFonts w:ascii="宋体"/>
              </w:rPr>
              <w:t>1</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1</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部门基础信息是否完善，用以反映和考核基础信息对预算管理工作的支撑情况。</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评价要点：</w:t>
            </w:r>
            <w:r>
              <w:rPr>
                <w:rFonts w:ascii="宋体"/>
              </w:rPr>
              <w:br w:type="textWrapping"/>
            </w:r>
            <w:r>
              <w:rPr>
                <w:rFonts w:hint="eastAsia" w:ascii="宋体"/>
              </w:rPr>
              <w:t>①基础数据信息和会计信息资料是否真实；</w:t>
            </w:r>
            <w:r>
              <w:rPr>
                <w:rFonts w:ascii="宋体"/>
              </w:rPr>
              <w:br w:type="textWrapping"/>
            </w:r>
            <w:r>
              <w:rPr>
                <w:rFonts w:hint="eastAsia" w:ascii="宋体"/>
              </w:rPr>
              <w:t>②基础数据信息和会计信息资料是否完整；</w:t>
            </w:r>
            <w:r>
              <w:rPr>
                <w:rFonts w:ascii="宋体"/>
              </w:rPr>
              <w:br w:type="textWrapping"/>
            </w:r>
            <w:r>
              <w:rPr>
                <w:rFonts w:hint="eastAsia" w:ascii="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right w:w="10" w:type="dxa"/>
            </w:tcMar>
            <w:textDirection w:val="tbRlV"/>
            <w:vAlign w:val="center"/>
          </w:tcPr>
          <w:p/>
        </w:tc>
        <w:tc>
          <w:tcPr>
            <w:tcW w:w="375" w:type="pct"/>
            <w:vMerge w:val="restart"/>
            <w:tcMar>
              <w:top w:w="10" w:type="dxa"/>
              <w:left w:w="10" w:type="dxa"/>
              <w:right w:w="10" w:type="dxa"/>
            </w:tcMar>
            <w:vAlign w:val="center"/>
          </w:tcPr>
          <w:p>
            <w:pPr>
              <w:spacing w:line="240" w:lineRule="exact"/>
              <w:jc w:val="center"/>
              <w:rPr>
                <w:rFonts w:ascii="宋体"/>
              </w:rPr>
            </w:pPr>
            <w:r>
              <w:rPr>
                <w:rFonts w:hint="eastAsia" w:ascii="宋体"/>
              </w:rPr>
              <w:t>资产</w:t>
            </w:r>
            <w:r>
              <w:rPr>
                <w:rFonts w:ascii="宋体"/>
              </w:rPr>
              <w:br w:type="textWrapping"/>
            </w:r>
            <w:r>
              <w:rPr>
                <w:rFonts w:hint="eastAsia" w:ascii="宋体"/>
              </w:rPr>
              <w:t>管理（</w:t>
            </w:r>
            <w:r>
              <w:rPr>
                <w:rFonts w:ascii="宋体"/>
              </w:rPr>
              <w:t>5</w:t>
            </w:r>
            <w:r>
              <w:rPr>
                <w:rFonts w:hint="eastAsia" w:ascii="宋体"/>
              </w:rPr>
              <w:t>分）</w:t>
            </w: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管理制度</w:t>
            </w:r>
          </w:p>
          <w:p>
            <w:pPr>
              <w:spacing w:line="240" w:lineRule="exact"/>
              <w:jc w:val="center"/>
              <w:rPr>
                <w:rFonts w:ascii="宋体"/>
              </w:rPr>
            </w:pPr>
            <w:r>
              <w:rPr>
                <w:rFonts w:hint="eastAsia" w:ascii="宋体"/>
              </w:rPr>
              <w:t>健全性（</w:t>
            </w:r>
            <w:r>
              <w:rPr>
                <w:rFonts w:ascii="宋体"/>
              </w:rPr>
              <w:t>2</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2</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评价要点：</w:t>
            </w:r>
            <w:r>
              <w:rPr>
                <w:rFonts w:ascii="宋体"/>
              </w:rPr>
              <w:br w:type="textWrapping"/>
            </w:r>
            <w:r>
              <w:rPr>
                <w:rFonts w:hint="eastAsia" w:ascii="宋体"/>
              </w:rPr>
              <w:t>①是否已制定或具有资产管理制度；②相关资金管理制度是否合法、合规、完整；</w:t>
            </w:r>
            <w:r>
              <w:rPr>
                <w:rFonts w:ascii="宋体"/>
              </w:rPr>
              <w:br w:type="textWrapping"/>
            </w:r>
            <w:r>
              <w:rPr>
                <w:rFonts w:hint="eastAsia" w:ascii="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资产管理</w:t>
            </w:r>
          </w:p>
          <w:p>
            <w:pPr>
              <w:spacing w:line="240" w:lineRule="exact"/>
              <w:jc w:val="center"/>
              <w:rPr>
                <w:rFonts w:ascii="宋体"/>
              </w:rPr>
            </w:pPr>
            <w:r>
              <w:rPr>
                <w:rFonts w:hint="eastAsia" w:ascii="宋体"/>
              </w:rPr>
              <w:t>安全性（</w:t>
            </w:r>
            <w:r>
              <w:rPr>
                <w:rFonts w:ascii="宋体"/>
              </w:rPr>
              <w:t>2</w:t>
            </w:r>
            <w:r>
              <w:rPr>
                <w:rFonts w:hint="eastAsia" w:ascii="宋体"/>
              </w:rPr>
              <w:t>分）</w:t>
            </w:r>
          </w:p>
        </w:tc>
        <w:tc>
          <w:tcPr>
            <w:tcW w:w="375" w:type="pct"/>
            <w:tcMar>
              <w:top w:w="10" w:type="dxa"/>
              <w:left w:w="10" w:type="dxa"/>
              <w:right w:w="10" w:type="dxa"/>
            </w:tcMar>
            <w:vAlign w:val="center"/>
          </w:tcPr>
          <w:p>
            <w:pPr>
              <w:tabs>
                <w:tab w:val="left" w:pos="761"/>
                <w:tab w:val="left" w:pos="2604"/>
              </w:tabs>
              <w:spacing w:line="240" w:lineRule="exact"/>
              <w:ind w:left="105" w:leftChars="50" w:right="105" w:rightChars="50" w:firstLine="96" w:firstLineChars="46"/>
              <w:jc w:val="center"/>
              <w:rPr>
                <w:rFonts w:ascii="宋体"/>
              </w:rPr>
            </w:pPr>
            <w:r>
              <w:rPr>
                <w:rFonts w:hint="eastAsia" w:ascii="宋体"/>
              </w:rPr>
              <w:t>1</w:t>
            </w:r>
          </w:p>
        </w:tc>
        <w:tc>
          <w:tcPr>
            <w:tcW w:w="1576" w:type="pct"/>
            <w:tcMar>
              <w:top w:w="10" w:type="dxa"/>
              <w:left w:w="10" w:type="dxa"/>
              <w:right w:w="10" w:type="dxa"/>
            </w:tcMar>
            <w:vAlign w:val="center"/>
          </w:tcPr>
          <w:p>
            <w:pPr>
              <w:tabs>
                <w:tab w:val="left" w:pos="761"/>
                <w:tab w:val="left" w:pos="2604"/>
              </w:tabs>
              <w:spacing w:line="240" w:lineRule="exact"/>
              <w:ind w:left="105" w:leftChars="50" w:right="105" w:rightChars="50" w:firstLine="96" w:firstLineChars="46"/>
              <w:rPr>
                <w:rFonts w:ascii="宋体"/>
              </w:rPr>
            </w:pPr>
            <w:r>
              <w:rPr>
                <w:rFonts w:hint="eastAsia" w:ascii="宋体"/>
              </w:rPr>
              <w:t>部门的资产是否保存完整、使用合规、配置合理、处置规范、收入及时足额上缴，用以反映和考核部门资产安全运行情况。</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评价要点：</w:t>
            </w:r>
            <w:r>
              <w:rPr>
                <w:rFonts w:ascii="宋体"/>
              </w:rPr>
              <w:br w:type="textWrapping"/>
            </w:r>
            <w:r>
              <w:rPr>
                <w:rFonts w:hint="eastAsia" w:ascii="宋体"/>
              </w:rPr>
              <w:t>①资产保存是否完整；</w:t>
            </w:r>
            <w:r>
              <w:rPr>
                <w:rFonts w:ascii="宋体"/>
              </w:rPr>
              <w:br w:type="textWrapping"/>
            </w:r>
            <w:r>
              <w:rPr>
                <w:rFonts w:hint="eastAsia" w:ascii="宋体"/>
              </w:rPr>
              <w:t>②资产配置是否合理；</w:t>
            </w:r>
            <w:r>
              <w:rPr>
                <w:rFonts w:ascii="宋体"/>
              </w:rPr>
              <w:br w:type="textWrapping"/>
            </w:r>
            <w:r>
              <w:rPr>
                <w:rFonts w:hint="eastAsia" w:ascii="宋体"/>
              </w:rPr>
              <w:t>③资产处置是否规范；</w:t>
            </w:r>
            <w:r>
              <w:rPr>
                <w:rFonts w:ascii="宋体"/>
              </w:rPr>
              <w:br w:type="textWrapping"/>
            </w:r>
            <w:r>
              <w:rPr>
                <w:rFonts w:hint="eastAsia" w:ascii="宋体"/>
              </w:rPr>
              <w:t>④资产账务管理是否合规，是否帐实相符；</w:t>
            </w:r>
            <w:r>
              <w:rPr>
                <w:rFonts w:ascii="宋体"/>
              </w:rPr>
              <w:br w:type="textWrapping"/>
            </w:r>
            <w:r>
              <w:rPr>
                <w:rFonts w:hint="eastAsia" w:ascii="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固定资产</w:t>
            </w:r>
          </w:p>
          <w:p>
            <w:pPr>
              <w:spacing w:line="240" w:lineRule="exact"/>
              <w:jc w:val="center"/>
              <w:rPr>
                <w:rFonts w:ascii="宋体"/>
              </w:rPr>
            </w:pPr>
            <w:r>
              <w:rPr>
                <w:rFonts w:hint="eastAsia" w:ascii="宋体"/>
              </w:rPr>
              <w:t>利用率（</w:t>
            </w:r>
            <w:r>
              <w:rPr>
                <w:rFonts w:ascii="宋体"/>
              </w:rPr>
              <w:t>1</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1</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部门实际在用固定资产总额与所有固定资产总额的比率，用以反映和考核部门固定资产使用效率程度。</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固定资产利用率</w:t>
            </w:r>
            <w:r>
              <w:rPr>
                <w:rFonts w:ascii="宋体"/>
              </w:rPr>
              <w:t>=</w:t>
            </w:r>
            <w:r>
              <w:rPr>
                <w:rFonts w:hint="eastAsia" w:ascii="宋体"/>
              </w:rPr>
              <w:t>（实际在用固定资产总额</w:t>
            </w:r>
            <w:r>
              <w:rPr>
                <w:rFonts w:ascii="宋体"/>
              </w:rPr>
              <w:t>/</w:t>
            </w:r>
            <w:r>
              <w:rPr>
                <w:rFonts w:hint="eastAsia" w:ascii="宋体"/>
              </w:rPr>
              <w:t>所有固定资产总额）×</w:t>
            </w:r>
            <w:r>
              <w:rPr>
                <w:rFonts w:ascii="宋体"/>
              </w:rPr>
              <w:t>100%</w:t>
            </w: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right w:w="10" w:type="dxa"/>
            </w:tcMar>
            <w:textDirection w:val="tbRlV"/>
            <w:vAlign w:val="center"/>
          </w:tcPr>
          <w:p>
            <w:pPr>
              <w:spacing w:line="240" w:lineRule="exact"/>
              <w:jc w:val="center"/>
              <w:rPr>
                <w:rFonts w:ascii="宋体"/>
              </w:rPr>
            </w:pPr>
            <w:r>
              <w:rPr>
                <w:rFonts w:hint="eastAsia" w:ascii="宋体"/>
              </w:rPr>
              <w:t>产出（</w:t>
            </w:r>
            <w:r>
              <w:rPr>
                <w:rFonts w:ascii="宋体"/>
              </w:rPr>
              <w:t>30</w:t>
            </w:r>
            <w:r>
              <w:rPr>
                <w:rFonts w:hint="eastAsia" w:ascii="宋体"/>
              </w:rPr>
              <w:t>分）</w:t>
            </w:r>
          </w:p>
        </w:tc>
        <w:tc>
          <w:tcPr>
            <w:tcW w:w="375" w:type="pct"/>
            <w:vMerge w:val="restart"/>
            <w:tcMar>
              <w:top w:w="10" w:type="dxa"/>
              <w:left w:w="10" w:type="dxa"/>
              <w:right w:w="10" w:type="dxa"/>
            </w:tcMar>
            <w:vAlign w:val="center"/>
          </w:tcPr>
          <w:p>
            <w:pPr>
              <w:spacing w:line="240" w:lineRule="exact"/>
              <w:jc w:val="center"/>
              <w:rPr>
                <w:rFonts w:ascii="宋体"/>
              </w:rPr>
            </w:pPr>
            <w:r>
              <w:rPr>
                <w:rFonts w:hint="eastAsia" w:ascii="宋体"/>
              </w:rPr>
              <w:t>职责</w:t>
            </w:r>
            <w:r>
              <w:rPr>
                <w:rFonts w:ascii="宋体"/>
              </w:rPr>
              <w:br w:type="textWrapping"/>
            </w:r>
            <w:r>
              <w:rPr>
                <w:rFonts w:hint="eastAsia" w:ascii="宋体"/>
              </w:rPr>
              <w:t>履行（</w:t>
            </w:r>
            <w:r>
              <w:rPr>
                <w:rFonts w:ascii="宋体"/>
              </w:rPr>
              <w:t>30</w:t>
            </w:r>
            <w:r>
              <w:rPr>
                <w:rFonts w:hint="eastAsia" w:ascii="宋体"/>
              </w:rPr>
              <w:t>分）</w:t>
            </w: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实际</w:t>
            </w:r>
          </w:p>
          <w:p>
            <w:pPr>
              <w:spacing w:line="240" w:lineRule="exact"/>
              <w:jc w:val="center"/>
              <w:rPr>
                <w:rFonts w:ascii="宋体"/>
              </w:rPr>
            </w:pPr>
            <w:r>
              <w:rPr>
                <w:rFonts w:hint="eastAsia" w:ascii="宋体"/>
              </w:rPr>
              <w:t>完成率（</w:t>
            </w:r>
            <w:r>
              <w:rPr>
                <w:rFonts w:ascii="宋体"/>
              </w:rPr>
              <w:t>8</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7</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部门履行职责而实际完成工作数与计划工作数的比率，用以反映和考核部门履职工作任务目标的实现程度。</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实际完成率</w:t>
            </w:r>
            <w:r>
              <w:rPr>
                <w:rFonts w:ascii="宋体"/>
              </w:rPr>
              <w:t>=</w:t>
            </w:r>
            <w:r>
              <w:rPr>
                <w:rFonts w:hint="eastAsia" w:ascii="宋体"/>
              </w:rPr>
              <w:t>（实际完成工作数</w:t>
            </w:r>
            <w:r>
              <w:rPr>
                <w:rFonts w:ascii="宋体"/>
              </w:rPr>
              <w:t>/</w:t>
            </w:r>
            <w:r>
              <w:rPr>
                <w:rFonts w:hint="eastAsia" w:ascii="宋体"/>
              </w:rPr>
              <w:t>计划工作数）×</w:t>
            </w:r>
            <w:r>
              <w:rPr>
                <w:rFonts w:ascii="宋体"/>
              </w:rPr>
              <w:t>100%</w:t>
            </w:r>
            <w:r>
              <w:rPr>
                <w:rFonts w:hint="eastAsia" w:ascii="宋体"/>
              </w:rPr>
              <w:t>。</w:t>
            </w:r>
            <w:r>
              <w:rPr>
                <w:rFonts w:ascii="宋体"/>
              </w:rPr>
              <w:br w:type="textWrapping"/>
            </w:r>
            <w:r>
              <w:rPr>
                <w:rFonts w:hint="eastAsia" w:ascii="宋体"/>
              </w:rPr>
              <w:t>实际完成工作数：一定时期（年度或规划期）内部门实际完成工作任务的数量。</w:t>
            </w:r>
            <w:r>
              <w:rPr>
                <w:rFonts w:ascii="宋体"/>
              </w:rPr>
              <w:br w:type="textWrapping"/>
            </w:r>
            <w:r>
              <w:rPr>
                <w:rFonts w:hint="eastAsia" w:ascii="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完成</w:t>
            </w:r>
          </w:p>
          <w:p>
            <w:pPr>
              <w:spacing w:line="240" w:lineRule="exact"/>
              <w:jc w:val="center"/>
              <w:rPr>
                <w:rFonts w:ascii="宋体"/>
              </w:rPr>
            </w:pPr>
            <w:r>
              <w:rPr>
                <w:rFonts w:hint="eastAsia" w:ascii="宋体"/>
              </w:rPr>
              <w:t>及时率（</w:t>
            </w:r>
            <w:r>
              <w:rPr>
                <w:rFonts w:ascii="宋体"/>
              </w:rPr>
              <w:t>4</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4</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部门在规定时限内及时完成的实际工作数与计划工作数的比率</w:t>
            </w:r>
            <w:r>
              <w:rPr>
                <w:rFonts w:ascii="宋体"/>
              </w:rPr>
              <w:t>,</w:t>
            </w:r>
            <w:r>
              <w:rPr>
                <w:rFonts w:hint="eastAsia" w:ascii="宋体"/>
              </w:rPr>
              <w:t>用以反映和考核部门履职时效目标的实现程度。</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完成及时率</w:t>
            </w:r>
            <w:r>
              <w:rPr>
                <w:rFonts w:ascii="宋体"/>
              </w:rPr>
              <w:t>=</w:t>
            </w:r>
            <w:r>
              <w:rPr>
                <w:rFonts w:hint="eastAsia" w:ascii="宋体"/>
              </w:rPr>
              <w:t>（及时完成实际工作数</w:t>
            </w:r>
            <w:r>
              <w:rPr>
                <w:rFonts w:ascii="宋体"/>
              </w:rPr>
              <w:t>/</w:t>
            </w:r>
            <w:r>
              <w:rPr>
                <w:rFonts w:hint="eastAsia" w:ascii="宋体"/>
              </w:rPr>
              <w:t>计划工作数）×</w:t>
            </w:r>
            <w:r>
              <w:rPr>
                <w:rFonts w:ascii="宋体"/>
              </w:rPr>
              <w:t>100%</w:t>
            </w:r>
            <w:r>
              <w:rPr>
                <w:rFonts w:hint="eastAsia" w:ascii="宋体"/>
              </w:rPr>
              <w:t>。</w:t>
            </w:r>
            <w:r>
              <w:rPr>
                <w:rFonts w:ascii="宋体"/>
              </w:rPr>
              <w:br w:type="textWrapping"/>
            </w:r>
            <w:r>
              <w:rPr>
                <w:rFonts w:hint="eastAsia" w:ascii="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质量</w:t>
            </w:r>
          </w:p>
          <w:p>
            <w:pPr>
              <w:spacing w:line="240" w:lineRule="exact"/>
              <w:jc w:val="center"/>
              <w:rPr>
                <w:rFonts w:ascii="宋体"/>
              </w:rPr>
            </w:pPr>
            <w:r>
              <w:rPr>
                <w:rFonts w:hint="eastAsia" w:ascii="宋体"/>
              </w:rPr>
              <w:t>达标率（</w:t>
            </w:r>
            <w:r>
              <w:rPr>
                <w:rFonts w:ascii="宋体"/>
              </w:rPr>
              <w:t>8</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7</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达到质量标准（绩效标准值）的实际工作数与计划工作数的比率</w:t>
            </w:r>
            <w:r>
              <w:rPr>
                <w:rFonts w:ascii="宋体"/>
              </w:rPr>
              <w:t>,</w:t>
            </w:r>
            <w:r>
              <w:rPr>
                <w:rFonts w:hint="eastAsia" w:ascii="宋体"/>
              </w:rPr>
              <w:t>用以反映和考核部门履职质量目标的实现程度。</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质量达标率</w:t>
            </w:r>
            <w:r>
              <w:rPr>
                <w:rFonts w:ascii="宋体"/>
              </w:rPr>
              <w:t>=</w:t>
            </w:r>
            <w:r>
              <w:rPr>
                <w:rFonts w:hint="eastAsia" w:ascii="宋体"/>
              </w:rPr>
              <w:t>（质量达标实际工作数</w:t>
            </w:r>
            <w:r>
              <w:rPr>
                <w:rFonts w:ascii="宋体"/>
              </w:rPr>
              <w:t>/</w:t>
            </w:r>
            <w:r>
              <w:rPr>
                <w:rFonts w:hint="eastAsia" w:ascii="宋体"/>
              </w:rPr>
              <w:t>计划工作数）×</w:t>
            </w:r>
            <w:r>
              <w:rPr>
                <w:rFonts w:ascii="宋体"/>
              </w:rPr>
              <w:t>100%</w:t>
            </w:r>
            <w:r>
              <w:rPr>
                <w:rFonts w:hint="eastAsia" w:ascii="宋体"/>
              </w:rPr>
              <w:t>。</w:t>
            </w:r>
            <w:r>
              <w:rPr>
                <w:rFonts w:ascii="宋体"/>
              </w:rPr>
              <w:br w:type="textWrapping"/>
            </w:r>
            <w:r>
              <w:rPr>
                <w:rFonts w:hint="eastAsia" w:ascii="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重点工作</w:t>
            </w:r>
          </w:p>
          <w:p>
            <w:pPr>
              <w:spacing w:line="240" w:lineRule="exact"/>
              <w:jc w:val="center"/>
              <w:rPr>
                <w:rFonts w:ascii="宋体"/>
              </w:rPr>
            </w:pPr>
            <w:r>
              <w:rPr>
                <w:rFonts w:hint="eastAsia" w:ascii="宋体"/>
              </w:rPr>
              <w:t>办结率（</w:t>
            </w:r>
            <w:r>
              <w:rPr>
                <w:rFonts w:ascii="宋体"/>
              </w:rPr>
              <w:t>10</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9</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部门年度重点工作实际完成数与交办或下达数的比率，用以反映部门对重点工作的办理落实程度。</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重点工作办结率</w:t>
            </w:r>
            <w:r>
              <w:rPr>
                <w:rFonts w:ascii="宋体"/>
              </w:rPr>
              <w:t>=</w:t>
            </w:r>
            <w:r>
              <w:rPr>
                <w:rFonts w:hint="eastAsia" w:ascii="宋体"/>
              </w:rPr>
              <w:t>（重点工作实际完成数</w:t>
            </w:r>
            <w:r>
              <w:rPr>
                <w:rFonts w:ascii="宋体"/>
              </w:rPr>
              <w:t>/</w:t>
            </w:r>
            <w:r>
              <w:rPr>
                <w:rFonts w:hint="eastAsia" w:ascii="宋体"/>
              </w:rPr>
              <w:t>交办或下达数）×</w:t>
            </w:r>
            <w:r>
              <w:rPr>
                <w:rFonts w:ascii="宋体"/>
              </w:rPr>
              <w:t>100%</w:t>
            </w:r>
            <w:r>
              <w:rPr>
                <w:rFonts w:hint="eastAsia" w:ascii="宋体"/>
              </w:rPr>
              <w:t>。</w:t>
            </w:r>
            <w:r>
              <w:rPr>
                <w:rFonts w:ascii="宋体"/>
              </w:rPr>
              <w:br w:type="textWrapping"/>
            </w:r>
            <w:r>
              <w:rPr>
                <w:rFonts w:hint="eastAsia" w:ascii="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right w:w="10" w:type="dxa"/>
            </w:tcMar>
            <w:textDirection w:val="tbRlV"/>
            <w:vAlign w:val="center"/>
          </w:tcPr>
          <w:p>
            <w:pPr>
              <w:spacing w:line="240" w:lineRule="exact"/>
              <w:jc w:val="center"/>
              <w:rPr>
                <w:rFonts w:ascii="宋体"/>
              </w:rPr>
            </w:pPr>
            <w:r>
              <w:rPr>
                <w:rFonts w:hint="eastAsia" w:ascii="宋体"/>
              </w:rPr>
              <w:t>效果（</w:t>
            </w:r>
            <w:r>
              <w:rPr>
                <w:rFonts w:ascii="宋体"/>
              </w:rPr>
              <w:t>20</w:t>
            </w:r>
            <w:r>
              <w:rPr>
                <w:rFonts w:hint="eastAsia" w:ascii="宋体"/>
              </w:rPr>
              <w:t>分）</w:t>
            </w:r>
          </w:p>
        </w:tc>
        <w:tc>
          <w:tcPr>
            <w:tcW w:w="375" w:type="pct"/>
            <w:vMerge w:val="restart"/>
            <w:tcMar>
              <w:top w:w="10" w:type="dxa"/>
              <w:left w:w="10" w:type="dxa"/>
              <w:right w:w="10" w:type="dxa"/>
            </w:tcMar>
            <w:vAlign w:val="center"/>
          </w:tcPr>
          <w:p>
            <w:pPr>
              <w:spacing w:line="240" w:lineRule="exact"/>
              <w:jc w:val="center"/>
              <w:rPr>
                <w:rFonts w:ascii="宋体"/>
              </w:rPr>
            </w:pPr>
            <w:r>
              <w:rPr>
                <w:rFonts w:hint="eastAsia" w:ascii="宋体"/>
              </w:rPr>
              <w:t>履职</w:t>
            </w:r>
            <w:r>
              <w:rPr>
                <w:rFonts w:ascii="宋体"/>
              </w:rPr>
              <w:br w:type="textWrapping"/>
            </w:r>
            <w:r>
              <w:rPr>
                <w:rFonts w:hint="eastAsia" w:ascii="宋体"/>
              </w:rPr>
              <w:t>效益（</w:t>
            </w:r>
            <w:r>
              <w:rPr>
                <w:rFonts w:ascii="宋体"/>
              </w:rPr>
              <w:t>20</w:t>
            </w:r>
            <w:r>
              <w:rPr>
                <w:rFonts w:hint="eastAsia" w:ascii="宋体"/>
              </w:rPr>
              <w:t>分）</w:t>
            </w: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经济效益（</w:t>
            </w:r>
            <w:r>
              <w:rPr>
                <w:rFonts w:ascii="宋体"/>
              </w:rPr>
              <w:t>5</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4</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部门履行职责对经济发展所带来的直接或间接影响。</w:t>
            </w:r>
          </w:p>
        </w:tc>
        <w:tc>
          <w:tcPr>
            <w:tcW w:w="1867" w:type="pct"/>
            <w:vMerge w:val="restart"/>
            <w:tcMar>
              <w:top w:w="10" w:type="dxa"/>
              <w:left w:w="10" w:type="dxa"/>
              <w:right w:w="10" w:type="dxa"/>
            </w:tcMar>
            <w:vAlign w:val="center"/>
          </w:tcPr>
          <w:p>
            <w:pPr>
              <w:spacing w:line="240" w:lineRule="exact"/>
              <w:ind w:left="105" w:leftChars="50" w:right="105" w:rightChars="50"/>
              <w:rPr>
                <w:rFonts w:ascii="宋体"/>
              </w:rPr>
            </w:pPr>
            <w:r>
              <w:rPr>
                <w:rFonts w:hint="eastAsia" w:ascii="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社会效益（</w:t>
            </w:r>
            <w:r>
              <w:rPr>
                <w:rFonts w:ascii="宋体"/>
              </w:rPr>
              <w:t>5</w:t>
            </w:r>
            <w:r>
              <w:rPr>
                <w:rFonts w:hint="eastAsia" w:ascii="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4</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部门履行职责对社会发展所带来的直接或间接影响。</w:t>
            </w:r>
          </w:p>
        </w:tc>
        <w:tc>
          <w:tcPr>
            <w:tcW w:w="1867"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生态效益（</w:t>
            </w:r>
            <w:r>
              <w:rPr>
                <w:rFonts w:ascii="宋体"/>
              </w:rPr>
              <w:t>5</w:t>
            </w:r>
            <w:r>
              <w:rPr>
                <w:rFonts w:hint="eastAsia" w:ascii="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4</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部门履行职责对生态环境所带来的直接或间接影响。</w:t>
            </w:r>
          </w:p>
        </w:tc>
        <w:tc>
          <w:tcPr>
            <w:tcW w:w="1867" w:type="pct"/>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tc>
        <w:tc>
          <w:tcPr>
            <w:tcW w:w="375" w:type="pct"/>
            <w:vMerge w:val="continue"/>
            <w:vAlign w:val="center"/>
          </w:tcPr>
          <w:p/>
        </w:tc>
        <w:tc>
          <w:tcPr>
            <w:tcW w:w="500" w:type="pct"/>
            <w:tcMar>
              <w:top w:w="10" w:type="dxa"/>
              <w:left w:w="10" w:type="dxa"/>
              <w:right w:w="10" w:type="dxa"/>
            </w:tcMar>
            <w:vAlign w:val="center"/>
          </w:tcPr>
          <w:p>
            <w:pPr>
              <w:spacing w:line="240" w:lineRule="exact"/>
              <w:jc w:val="center"/>
              <w:rPr>
                <w:rFonts w:ascii="宋体"/>
              </w:rPr>
            </w:pPr>
            <w:r>
              <w:rPr>
                <w:rFonts w:hint="eastAsia" w:ascii="宋体"/>
              </w:rPr>
              <w:t>社会公众</w:t>
            </w:r>
          </w:p>
          <w:p>
            <w:pPr>
              <w:spacing w:line="240" w:lineRule="exact"/>
              <w:jc w:val="center"/>
              <w:rPr>
                <w:rFonts w:ascii="宋体"/>
              </w:rPr>
            </w:pPr>
            <w:r>
              <w:rPr>
                <w:rFonts w:hint="eastAsia" w:ascii="宋体"/>
              </w:rPr>
              <w:t>或服务对</w:t>
            </w:r>
          </w:p>
          <w:p>
            <w:pPr>
              <w:spacing w:line="240" w:lineRule="exact"/>
              <w:jc w:val="center"/>
              <w:rPr>
                <w:rFonts w:ascii="宋体"/>
              </w:rPr>
            </w:pPr>
            <w:r>
              <w:rPr>
                <w:rFonts w:hint="eastAsia" w:ascii="宋体"/>
              </w:rPr>
              <w:t>象满意度（</w:t>
            </w:r>
            <w:r>
              <w:rPr>
                <w:rFonts w:ascii="宋体"/>
              </w:rPr>
              <w:t>5</w:t>
            </w:r>
            <w:r>
              <w:rPr>
                <w:rFonts w:hint="eastAsia" w:ascii="宋体"/>
              </w:rPr>
              <w:t>分）</w:t>
            </w: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5</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rPr>
              <w:t>社会公众或部门的服务对象对部门履职效果的满意程度。</w:t>
            </w:r>
          </w:p>
        </w:tc>
        <w:tc>
          <w:tcPr>
            <w:tcW w:w="1867" w:type="pct"/>
            <w:tcMar>
              <w:top w:w="10" w:type="dxa"/>
              <w:left w:w="10" w:type="dxa"/>
              <w:right w:w="10" w:type="dxa"/>
            </w:tcMar>
            <w:vAlign w:val="center"/>
          </w:tcPr>
          <w:p>
            <w:pPr>
              <w:spacing w:line="240" w:lineRule="exact"/>
              <w:ind w:left="105" w:leftChars="50" w:right="105" w:rightChars="50"/>
              <w:rPr>
                <w:rFonts w:ascii="宋体"/>
              </w:rPr>
            </w:pPr>
            <w:r>
              <w:rPr>
                <w:rFonts w:hint="eastAsia" w:ascii="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rPr>
            </w:pPr>
            <w:r>
              <w:rPr>
                <w:rFonts w:hint="eastAsia" w:ascii="宋体"/>
              </w:rPr>
              <w:t>总分</w:t>
            </w:r>
          </w:p>
        </w:tc>
        <w:tc>
          <w:tcPr>
            <w:tcW w:w="375" w:type="pct"/>
            <w:vAlign w:val="center"/>
          </w:tcPr>
          <w:p>
            <w:pPr>
              <w:spacing w:line="240" w:lineRule="exact"/>
              <w:rPr>
                <w:rFonts w:ascii="宋体"/>
              </w:rPr>
            </w:pPr>
            <w:r>
              <w:rPr>
                <w:rFonts w:hint="eastAsia" w:ascii="宋体"/>
              </w:rPr>
              <w:t>100</w:t>
            </w:r>
          </w:p>
        </w:tc>
        <w:tc>
          <w:tcPr>
            <w:tcW w:w="500" w:type="pct"/>
            <w:tcMar>
              <w:top w:w="10" w:type="dxa"/>
              <w:left w:w="10" w:type="dxa"/>
              <w:right w:w="10" w:type="dxa"/>
            </w:tcMar>
            <w:vAlign w:val="center"/>
          </w:tcPr>
          <w:p>
            <w:pPr>
              <w:spacing w:line="240" w:lineRule="exact"/>
              <w:jc w:val="center"/>
              <w:rPr>
                <w:rFonts w:ascii="宋体"/>
              </w:rPr>
            </w:pPr>
          </w:p>
        </w:tc>
        <w:tc>
          <w:tcPr>
            <w:tcW w:w="375" w:type="pct"/>
            <w:tcMar>
              <w:top w:w="10" w:type="dxa"/>
              <w:left w:w="10" w:type="dxa"/>
              <w:right w:w="10" w:type="dxa"/>
            </w:tcMar>
            <w:vAlign w:val="center"/>
          </w:tcPr>
          <w:p>
            <w:pPr>
              <w:tabs>
                <w:tab w:val="left" w:pos="2604"/>
              </w:tabs>
              <w:spacing w:line="240" w:lineRule="exact"/>
              <w:ind w:left="105" w:leftChars="50" w:right="105" w:rightChars="50" w:firstLine="96" w:firstLineChars="46"/>
              <w:jc w:val="center"/>
              <w:rPr>
                <w:rFonts w:ascii="宋体"/>
              </w:rPr>
            </w:pPr>
            <w:r>
              <w:rPr>
                <w:rFonts w:hint="eastAsia" w:ascii="宋体"/>
              </w:rPr>
              <w:t>90</w:t>
            </w:r>
          </w:p>
        </w:tc>
        <w:tc>
          <w:tcPr>
            <w:tcW w:w="1576" w:type="pct"/>
            <w:tcMar>
              <w:top w:w="10" w:type="dxa"/>
              <w:left w:w="10" w:type="dxa"/>
              <w:right w:w="10" w:type="dxa"/>
            </w:tcMar>
            <w:vAlign w:val="center"/>
          </w:tcPr>
          <w:p>
            <w:pPr>
              <w:tabs>
                <w:tab w:val="left" w:pos="2604"/>
              </w:tabs>
              <w:spacing w:line="240" w:lineRule="exact"/>
              <w:ind w:left="105" w:leftChars="50" w:right="105" w:rightChars="50" w:firstLine="96" w:firstLineChars="46"/>
              <w:rPr>
                <w:rFonts w:ascii="宋体"/>
              </w:rPr>
            </w:pPr>
          </w:p>
        </w:tc>
        <w:tc>
          <w:tcPr>
            <w:tcW w:w="1867" w:type="pct"/>
            <w:tcMar>
              <w:top w:w="10" w:type="dxa"/>
              <w:left w:w="10" w:type="dxa"/>
              <w:right w:w="10" w:type="dxa"/>
            </w:tcMar>
            <w:vAlign w:val="center"/>
          </w:tcPr>
          <w:p>
            <w:pPr>
              <w:spacing w:line="240" w:lineRule="exact"/>
              <w:ind w:left="105" w:leftChars="50" w:right="105" w:rightChars="50"/>
              <w:rPr>
                <w:rFonts w:ascii="宋体"/>
              </w:rPr>
            </w:pPr>
          </w:p>
        </w:tc>
      </w:tr>
    </w:tbl>
    <w:p/>
    <w:p>
      <w:pPr>
        <w:jc w:val="left"/>
        <w:rPr>
          <w:rFonts w:ascii="宋体" w:cs="黑体"/>
          <w:color w:val="000000"/>
          <w:kern w:val="0"/>
          <w:sz w:val="32"/>
          <w:szCs w:val="32"/>
        </w:rPr>
      </w:pPr>
    </w:p>
    <w:sectPr>
      <w:footerReference r:id="rId3" w:type="default"/>
      <w:pgSz w:w="11906" w:h="16838"/>
      <w:pgMar w:top="2098" w:right="1474" w:bottom="1985" w:left="1588" w:header="851" w:footer="170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87E003-5987-4CEF-9B77-CE5289E7C0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3F309346-EFC2-4405-A3CE-C8ABA8D139D9}"/>
  </w:font>
  <w:font w:name="方正小标宋简体">
    <w:panose1 w:val="02000000000000000000"/>
    <w:charset w:val="86"/>
    <w:family w:val="auto"/>
    <w:pitch w:val="default"/>
    <w:sig w:usb0="00000001" w:usb1="080E0000" w:usb2="00000000" w:usb3="00000000" w:csb0="00040000" w:csb1="00000000"/>
    <w:embedRegular r:id="rId3" w:fontKey="{527749E1-4325-46AD-BEBA-C693BA23F3F9}"/>
  </w:font>
  <w:font w:name="方正小标宋_GBK">
    <w:panose1 w:val="02000000000000000000"/>
    <w:charset w:val="86"/>
    <w:family w:val="script"/>
    <w:pitch w:val="default"/>
    <w:sig w:usb0="A00002BF" w:usb1="38CF7CFA" w:usb2="00082016" w:usb3="00000000" w:csb0="00040001" w:csb1="00000000"/>
    <w:embedRegular r:id="rId4" w:fontKey="{4664520E-2BD8-4D41-A8AA-972F7B6A85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1438344"/>
      <w:docPartObj>
        <w:docPartGallery w:val="AutoText"/>
      </w:docPartObj>
    </w:sdtPr>
    <w:sdtContent>
      <w:p>
        <w:pPr>
          <w:pStyle w:val="6"/>
          <w:jc w:val="center"/>
        </w:pPr>
        <w:r>
          <w:fldChar w:fldCharType="begin"/>
        </w:r>
        <w:r>
          <w:instrText xml:space="preserve">PAGE   \* MERGEFORMAT</w:instrText>
        </w:r>
        <w:r>
          <w:fldChar w:fldCharType="separate"/>
        </w:r>
        <w:r>
          <w:rPr>
            <w:lang w:val="zh-CN"/>
          </w:rPr>
          <w:t>6</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rsids>
    <w:rsidRoot w:val="004648DB"/>
    <w:rsid w:val="001253BF"/>
    <w:rsid w:val="002F3B38"/>
    <w:rsid w:val="004648DB"/>
    <w:rsid w:val="0047200B"/>
    <w:rsid w:val="00587909"/>
    <w:rsid w:val="005B4A29"/>
    <w:rsid w:val="006902DF"/>
    <w:rsid w:val="00721747"/>
    <w:rsid w:val="00915038"/>
    <w:rsid w:val="00A42E25"/>
    <w:rsid w:val="00BB6952"/>
    <w:rsid w:val="00C353AD"/>
    <w:rsid w:val="0E844C18"/>
    <w:rsid w:val="15510369"/>
    <w:rsid w:val="2A512291"/>
    <w:rsid w:val="4D73339E"/>
    <w:rsid w:val="507B02E5"/>
    <w:rsid w:val="749F4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uiPriority w:val="0"/>
    <w:rPr>
      <w:sz w:val="18"/>
      <w:szCs w:val="18"/>
    </w:rPr>
  </w:style>
  <w:style w:type="paragraph" w:styleId="6">
    <w:name w:val="footer"/>
    <w:basedOn w:val="1"/>
    <w:link w:val="13"/>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2">
    <w:name w:val="List Paragraph"/>
    <w:basedOn w:val="1"/>
    <w:qFormat/>
    <w:uiPriority w:val="0"/>
    <w:pPr>
      <w:ind w:firstLine="200" w:firstLineChars="200"/>
    </w:pPr>
  </w:style>
  <w:style w:type="character" w:customStyle="1" w:styleId="13">
    <w:name w:val="页脚 Char"/>
    <w:basedOn w:val="10"/>
    <w:link w:val="6"/>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2106</Words>
  <Characters>12005</Characters>
  <Lines>100</Lines>
  <Paragraphs>28</Paragraphs>
  <TotalTime>26</TotalTime>
  <ScaleCrop>false</ScaleCrop>
  <LinksUpToDate>false</LinksUpToDate>
  <CharactersWithSpaces>14083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2021-08-03T01:03:00Z</dcterms:created>
  <dc:creator>李航 null</dc:creator>
  <cp:lastModifiedBy>丫丫</cp:lastModifiedBy>
  <cp:lastPrinted>2021-07-28T00:12:00Z</cp:lastPrinted>
  <dcterms:modified xsi:type="dcterms:W3CDTF">2024-09-11T03:42:16Z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1D710FA05CDB4760B3E72223DB44F230</vt:lpwstr>
  </property>
</Properties>
</file>