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 w:val="0"/>
        <w:snapToGrid w:val="0"/>
        <w:spacing w:after="0" w:line="600" w:lineRule="exact"/>
        <w:ind w:left="-22" w:leftChars="-7" w:right="0" w:firstLine="19" w:firstLineChars="6"/>
        <w:textAlignment w:val="auto"/>
        <w:outlineLvl w:val="9"/>
        <w:rPr>
          <w:rFonts w:hint="default" w:ascii="黑体" w:hAnsi="黑体" w:eastAsia="黑体"/>
          <w:bCs/>
          <w:color w:val="auto"/>
          <w:spacing w:val="0"/>
          <w:sz w:val="32"/>
          <w:szCs w:val="32"/>
          <w:u w:val="none"/>
          <w:lang w:val="en-US"/>
        </w:rPr>
      </w:pP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HSDR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</w:rPr>
        <w:t>－</w:t>
      </w: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20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  <w:lang w:val="en-US" w:eastAsia="zh-CN"/>
        </w:rPr>
        <w:t>24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</w:rPr>
        <w:t>－</w:t>
      </w: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0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  <w:lang w:val="en-US" w:eastAsia="zh-CN"/>
        </w:rPr>
        <w:t>0</w:t>
      </w: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0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  <w:lang w:val="en-US" w:eastAsia="zh-CN"/>
        </w:rPr>
        <w:t>01</w:t>
      </w:r>
    </w:p>
    <w:p>
      <w:pPr>
        <w:widowControl/>
        <w:wordWrap/>
        <w:adjustRightInd w:val="0"/>
        <w:snapToGrid w:val="0"/>
        <w:spacing w:after="0" w:line="360" w:lineRule="exact"/>
        <w:ind w:left="-22" w:leftChars="-7" w:right="0" w:firstLine="19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22" w:leftChars="-7" w:right="0" w:firstLine="19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22" w:leftChars="-7" w:right="0" w:firstLine="19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22" w:leftChars="-7" w:right="0" w:firstLine="19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22" w:leftChars="-7" w:right="0" w:firstLine="19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400" w:lineRule="exact"/>
        <w:ind w:left="-22" w:leftChars="-7" w:right="0" w:firstLine="19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600" w:lineRule="exact"/>
        <w:ind w:right="0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firstLine="0" w:firstLineChars="0"/>
        <w:jc w:val="left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-22" w:leftChars="-7" w:right="0" w:firstLine="19" w:firstLineChars="6"/>
        <w:jc w:val="center"/>
        <w:textAlignment w:val="auto"/>
        <w:outlineLvl w:val="9"/>
        <w:rPr>
          <w:rFonts w:ascii="仿宋" w:hAnsi="仿宋" w:eastAsia="仿宋"/>
          <w:bCs/>
          <w:color w:val="auto"/>
          <w:spacing w:val="0"/>
          <w:sz w:val="32"/>
          <w:szCs w:val="32"/>
          <w:u w:val="none"/>
        </w:rPr>
      </w:pPr>
      <w:r>
        <w:rPr>
          <w:rFonts w:hint="eastAsia" w:ascii="仿宋" w:hAnsi="仿宋" w:eastAsia="仿宋"/>
          <w:bCs/>
          <w:color w:val="auto"/>
          <w:spacing w:val="0"/>
          <w:sz w:val="32"/>
          <w:szCs w:val="32"/>
          <w:u w:val="none"/>
        </w:rPr>
        <w:t>益赫政发</w:t>
      </w:r>
      <w:r>
        <w:rPr>
          <w:rFonts w:hint="eastAsia" w:ascii="仿宋_GB2312" w:hAnsi="仿宋" w:eastAsia="仿宋_GB2312"/>
          <w:bCs/>
          <w:color w:val="auto"/>
          <w:spacing w:val="0"/>
          <w:sz w:val="32"/>
          <w:szCs w:val="32"/>
          <w:u w:val="none"/>
        </w:rPr>
        <w:t>〔</w:t>
      </w:r>
      <w:r>
        <w:rPr>
          <w:rFonts w:ascii="仿宋" w:hAnsi="仿宋" w:eastAsia="仿宋"/>
          <w:bCs/>
          <w:color w:val="auto"/>
          <w:spacing w:val="0"/>
          <w:sz w:val="32"/>
          <w:szCs w:val="32"/>
          <w:u w:val="none"/>
        </w:rPr>
        <w:t>20</w:t>
      </w:r>
      <w:r>
        <w:rPr>
          <w:rFonts w:hint="eastAsia" w:ascii="仿宋" w:hAnsi="仿宋" w:eastAsia="仿宋"/>
          <w:bCs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/>
          <w:bCs/>
          <w:color w:val="auto"/>
          <w:spacing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" w:eastAsia="仿宋_GB2312"/>
          <w:bCs/>
          <w:color w:val="auto"/>
          <w:spacing w:val="0"/>
          <w:sz w:val="32"/>
          <w:szCs w:val="32"/>
          <w:u w:val="none"/>
        </w:rPr>
        <w:t>〕</w:t>
      </w:r>
      <w:r>
        <w:rPr>
          <w:rFonts w:hint="eastAsia" w:ascii="仿宋" w:hAnsi="仿宋" w:cs="仿宋"/>
          <w:bCs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spacing w:val="0"/>
          <w:sz w:val="32"/>
          <w:szCs w:val="32"/>
          <w:u w:val="none"/>
        </w:rPr>
        <w:t>号</w:t>
      </w:r>
    </w:p>
    <w:p>
      <w:pPr>
        <w:widowControl/>
        <w:wordWrap/>
        <w:adjustRightInd w:val="0"/>
        <w:snapToGrid w:val="0"/>
        <w:spacing w:line="600" w:lineRule="exact"/>
        <w:ind w:left="0" w:leftChars="0" w:right="0" w:firstLine="643" w:firstLineChars="0"/>
        <w:jc w:val="both"/>
        <w:textAlignment w:val="auto"/>
        <w:outlineLvl w:val="9"/>
        <w:rPr>
          <w:rFonts w:ascii="仿宋" w:hAnsi="仿宋" w:eastAsia="仿宋"/>
          <w:b/>
          <w:bCs/>
          <w:color w:val="auto"/>
          <w:spacing w:val="0"/>
          <w:sz w:val="32"/>
          <w:szCs w:val="32"/>
          <w:u w:val="none"/>
        </w:rPr>
      </w:pPr>
    </w:p>
    <w:p>
      <w:pPr>
        <w:widowControl/>
        <w:wordWrap/>
        <w:adjustRightInd w:val="0"/>
        <w:snapToGrid w:val="0"/>
        <w:spacing w:line="600" w:lineRule="exact"/>
        <w:ind w:left="0" w:leftChars="0" w:right="0" w:firstLine="643" w:firstLineChars="0"/>
        <w:jc w:val="both"/>
        <w:textAlignment w:val="auto"/>
        <w:outlineLvl w:val="9"/>
        <w:rPr>
          <w:rFonts w:ascii="仿宋" w:hAnsi="仿宋" w:eastAsia="仿宋"/>
          <w:b/>
          <w:bCs/>
          <w:color w:val="auto"/>
          <w:spacing w:val="0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pacing w:val="0"/>
          <w:sz w:val="44"/>
          <w:szCs w:val="44"/>
        </w:rPr>
        <w:t>益阳市赫山区人民政府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pacing w:val="0"/>
          <w:sz w:val="44"/>
          <w:szCs w:val="44"/>
        </w:rPr>
        <w:t>关于印发《赫山区碳达峰实施方案》的通知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各乡、镇人民政府，街道办事处，</w:t>
      </w:r>
      <w:r>
        <w:rPr>
          <w:rFonts w:hint="eastAsia" w:ascii="仿宋" w:hAnsi="仿宋" w:cs="仿宋"/>
          <w:color w:val="auto"/>
          <w:sz w:val="32"/>
          <w:szCs w:val="32"/>
          <w:lang w:val="en-US" w:eastAsia="zh-CN"/>
        </w:rPr>
        <w:t>龙岭产业开发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区管委会，区直及驻区有关单位：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《赫山区碳达峰实施方案》已经区人民政府同意，现印发给你们，请认真组织实施。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益阳市赫山区人民政府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2024年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cs="仿宋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Times New Roman" w:eastAsia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b w:val="0"/>
          <w:bCs/>
          <w:color w:val="auto"/>
          <w:sz w:val="44"/>
          <w:szCs w:val="44"/>
          <w:lang w:val="en-US" w:eastAsia="zh-CN"/>
        </w:rPr>
        <w:t>赫山区碳达峰实施方案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r>
        <w:rPr>
          <w:rFonts w:hint="eastAsia" w:ascii="仿宋" w:hAnsi="仿宋" w:cs="仿宋"/>
          <w:color w:val="auto"/>
          <w:spacing w:val="0"/>
          <w:sz w:val="32"/>
          <w:szCs w:val="32"/>
          <w:lang w:val="en-US" w:eastAsia="zh-CN"/>
        </w:rPr>
        <w:t>为深入贯彻落实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党中央、国务院关于碳达峰、碳中和重大战略决策部署和省、市碳达峰工作总体安排，有力有序有效</w:t>
      </w:r>
      <w:r>
        <w:rPr>
          <w:rFonts w:hint="eastAsia" w:ascii="仿宋" w:hAnsi="仿宋" w:cs="仿宋"/>
          <w:color w:val="auto"/>
          <w:spacing w:val="0"/>
          <w:sz w:val="32"/>
          <w:szCs w:val="32"/>
          <w:lang w:val="en-US" w:eastAsia="zh-CN"/>
        </w:rPr>
        <w:t>推进我区碳达峰行动，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特制定本方案。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bookmarkStart w:id="0" w:name="_Toc149230392"/>
      <w:bookmarkStart w:id="1" w:name="_Toc149230234"/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一、总体要求</w:t>
      </w:r>
      <w:bookmarkEnd w:id="0"/>
      <w:bookmarkEnd w:id="1"/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bookmarkStart w:id="2" w:name="_Toc98919376"/>
      <w:bookmarkStart w:id="3" w:name="_Toc99286355"/>
      <w:r>
        <w:rPr>
          <w:rFonts w:hint="eastAsia" w:ascii="仿宋" w:hAnsi="仿宋" w:eastAsia="仿宋" w:cs="仿宋"/>
          <w:color w:val="auto"/>
          <w:spacing w:val="0"/>
          <w:kern w:val="2"/>
          <w:sz w:val="32"/>
          <w:szCs w:val="32"/>
          <w:lang w:val="en-US" w:eastAsia="zh-CN" w:bidi="ar-SA"/>
        </w:rPr>
        <w:t>以习近平新时代中国特色社会主义思想为指导，全面贯彻党的二十大及二十届二中全会精神，完整、准确、全面贯彻新发展理念以及习近平生态文明思想，锚定“三高四新”美好蓝图，推动绿色发展，深入推进环境污染防治，促进人与自然和谐共生，将碳达峰、碳中和纳入经济社会发展和生态文明建设整体布局，同时将绿色低碳理念融入各领域当中，坚定不移走生态优先、绿色发展之路，全面推进经济社会绿色低碳转型，确保如期实现2030年前碳达峰目标。</w:t>
      </w:r>
      <w:bookmarkEnd w:id="2"/>
      <w:bookmarkEnd w:id="3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bookmarkStart w:id="4" w:name="_Toc27051"/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基本原则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pacing w:val="0"/>
          <w:sz w:val="32"/>
          <w:szCs w:val="32"/>
        </w:rPr>
        <w:t>——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全面统筹、规划引领。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以国、省、市三级碳达峰行动设计为指引，统筹推进全区碳达峰工作，将推动全区实现碳排放达峰作为重要内容纳入国民经济发展规划、专项规划和工作计划中。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-6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pacing w:val="0"/>
          <w:sz w:val="32"/>
          <w:szCs w:val="32"/>
        </w:rPr>
        <w:t>——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双轮驱动、两手发力。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更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好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发挥政府引导作用，推动构建绿色低碳制度体系，形成有效的激励约束机制，营造良好创新环境。充分发挥市场机制作用，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</w:rPr>
        <w:t>整合市场资源、完善市场机制、激发广泛参与，加快建立统一开放、竞争有序的绿色低碳市场体系。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pacing w:val="0"/>
          <w:sz w:val="32"/>
          <w:szCs w:val="32"/>
        </w:rPr>
        <w:t>——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整体推进、重点突破。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深入推进能源、工业、建筑、交通运输、农业、生活消费等重点领域节能降碳和低碳技术研发，持续降低单位产出能源消费和碳排放水平，发挥减污降碳协同效应，倡导绿色低碳生产生活方式。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pacing w:val="0"/>
          <w:sz w:val="32"/>
          <w:szCs w:val="32"/>
        </w:rPr>
        <w:t>——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稳妥有序、安全降碳。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立足全区经济发展和能源资源禀赋，加强风险识别，注重防范化解重大风险挑战。稳存量、拓增量，妥善处理好碳达峰与能源安全、产业链供应链安全、粮食安全、群众正常生产生活的关系，循序渐进推进碳达峰行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</w:pPr>
      <w:bookmarkStart w:id="5" w:name="_Toc149230235"/>
      <w:bookmarkStart w:id="6" w:name="_Toc149230393"/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>三、主要目标</w:t>
      </w:r>
      <w:bookmarkEnd w:id="5"/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到2025年，产业结构调整优化，集聚水平明显提升，绿色装备制造、绿色建筑建材、绿色食品等新型工业优势产业链基本成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形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，规模工业企业用能效率逐步提升。能源结构转型升级，化石能源消费增速得到合理控制，天然气消费规模显著扩大，风电、太阳能发电项目加速推进，区域电能替代水平持续提高。到2025年，非化石能源占能源消费比重达22%左右，单位地区生产总值能源消耗和二氧化碳排放下降确保完成省、市下达目标，为实现碳达峰目标奠定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到2030年，绿色制造体系全面建立，传统产业绿色转型，低碳新兴战略产业蓬勃发展，规模工业能源利用水平大幅提升，能源消费结构优化取得显著进展，绿色生产生活方式成为</w:t>
      </w:r>
      <w:r>
        <w:rPr>
          <w:rFonts w:hint="eastAsia" w:ascii="仿宋" w:hAnsi="仿宋" w:cs="仿宋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区高质量发展的主旋律。到2030年，非化石能源消费比重进一步提高，非化石能源消费比重达25%左右，单位地区生产总值能源消耗和二氧化碳排放下降完成省、市下达目标，顺利实现2030年前碳达峰目标。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</w:pPr>
      <w:bookmarkStart w:id="7" w:name="_Toc149230236"/>
      <w:bookmarkStart w:id="8" w:name="_Toc149230394"/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>四、重点任务</w:t>
      </w:r>
      <w:bookmarkEnd w:id="7"/>
      <w:bookmarkEnd w:id="8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/>
          <w:color w:val="auto"/>
          <w:spacing w:val="0"/>
          <w:sz w:val="32"/>
          <w:szCs w:val="32"/>
        </w:rPr>
      </w:pPr>
      <w:bookmarkStart w:id="9" w:name="_Toc9788"/>
      <w:r>
        <w:rPr>
          <w:rFonts w:hint="eastAsia" w:ascii="楷体_GB2312" w:hAnsi="楷体_GB2312" w:eastAsia="楷体_GB2312" w:cs="楷体_GB2312"/>
          <w:b w:val="0"/>
          <w:bCs/>
          <w:color w:val="auto"/>
          <w:spacing w:val="0"/>
          <w:sz w:val="32"/>
          <w:szCs w:val="32"/>
        </w:rPr>
        <w:t>（一）能源绿色低碳转型行动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实施煤炭替代和高效利用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_GB2312" w:cs="仿宋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深入开展全域减煤降碳行动，全面推动区域“煤改气”“煤改电”工程，推进工业燃料、生物质燃料替代传统锅炉。推进全区用煤企业原料替代，支持工业企业采用轻质化、无害化原料，推动建材企业使用粉煤灰、工业废渣作为生产原料。深化节能提效，推进涉煤行业开展对标技改，加快淘汰落后用能设备，进一步提高存量工业锅炉、窑炉等设备能效标准。实施散煤消费清零整治，有序推进居民生活和一般工商业减煤替代。推进煤电布局优化和技术升级，清洁高效发展煤电，稳妥推进长安益阳电厂三期2×100万千瓦项目建设，使用清洁高效的燃煤机组。加快存量煤电机组节煤降耗改造、供热改造、灵活性改造“三改联动”，有序推进煤电由保障性向灵活性、调节性转变。2025年煤炭消费进入平台期，到2030年，煤炭消费进一步压减，全区煤炭消费基本集中在少数涉煤重点行业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[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eastAsia="zh-CN"/>
        </w:rPr>
        <w:t>重点任务均需乡镇（街道、园区）负责落实，不再单独列出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]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积极发展可再生能源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提升生物质能、风能、太阳能、水电等可再生能源在生产生活中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使用，鼓励工业企业使用生物燃料、城市生活垃圾等清洁能源，降低一次能源消耗量，提高能源安全性，促进社会经济又好又快发展。采取不断改进设计、使用清洁的能源和原料、采用先进的工艺技术和设备、改善管理等措施，从源头削减污染，提高资源利用效率。参考陕煤集团“以煤为基，能材并进，技融双驱，零碳转型，矢志跻身世界一流企业”和陕煤电力“一体两翼”发展战略，不断推动重点用能单位能源改革，加大清洁能源使用力度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区城管执法局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合理调控油气消费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合理控制汽油消费增速，有序压减柴油消费量，尤其是公路运输柴油消费。加快成品油质量升级，提高成品油终端消费利用效率，因地制宜推进生物柴油替代传统燃油。实施“气化赫山”工程，新建石油液化气站，推进天然气管网延伸，实现建制镇管输天然气100%覆盖，居民燃气普及率达98%。灵活采用管道燃气、压缩天然气、液化天然气等多种形式，逐步推进天然气“进镇入乡”。到2025年，形成以管输天然气供应为主导，LNG为补充气源的供气模式，管道天然气实现“全覆盖”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、区交通运输局、区商务局按职责分工负责）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4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构建新型电力系统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构建新能源占比逐渐提高的新型电力系统，大力提升电力系统综合调节能力。积极建设坚强电网主网架、智能配电网和微网，适应高比例可再生能源消纳。推进分布式能源网络、新能源微电网建设。积极发展“新能源+储能”模式，源网荷储一体化，加快风电、光伏发电与新型储能融合发展，加快电力需求响应平台建设，促进能源集约利用。加速建设益阳东500KV、赫山东220KV电网线路。实施农村电网巩固提升工程，继续加大改造升级力度，基本实现城乡供电服务均等化，推动农村从“够用电”到“用好电”。充分发挥电力需求侧响应能力，积极引导自备电厂、工商业可中断负荷、电动汽车充电网络参与电力调节。将新型电力系统建设项目列入区级重点建设项目名单，统一协调、调度、督办和考核。到2030年，电网尖峰负荷响应能力达5%以上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赫山供电分公司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0" w:name="_Toc5999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（二）节能减污协同降碳行动</w:t>
      </w:r>
      <w:bookmarkEnd w:id="1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提高节能管理水平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行能效与能源配置挂钩制度，按照企业能效和产出效益配置能源，严格控制能源消费强度，合理控制能源消费总量，在有序用电、节能降耗、淘汰落后产能等方面实行差别化管理办法。重点关注重点用能企业每季度调度能耗情况，推进重点用能单位能耗在线监测系统建设，加强能耗预警预报，搭建节能数据库平台，实现数据共享，及时对高能耗项目采取降能措施。定期对重点用能企业的能耗和碳排放情况进行跟踪监测和动态分析，督促企业建立高耗能设备运行台账，进一步加强能耗计量和检测。引导商贸流通领域节能，推动零售、批发、餐饮、住宿、物流等企业开展能源管理体系建设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区市场监管局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推进重点用能设备能效提升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全面提升能效标准，加快淘汰落后用能设备，推进变压器、电机、水泵、工业锅炉等通用设备升级改造，全面推广节能高效先进适用工艺设备。加强重点用能设备节能审查和监察监管，新建项目主要用能设备原则上要达到能效二级以上水平，鼓励优先选用达到国家一级能效或列入国家、省“重点节能低碳技术推广目录”的技术、产品和设备。将能效指标作为重要的技术指标列入设备招标文件和采购合同。积极推广用能设备节能设计、诊断、改造一体化服务模式，推动重点用能企业开展节能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减碳工作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区市场监管局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推动减污降碳协同增效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强化源头防控，推进污染物与温室气体协同控制，强化生态环境分区管控，加强“三线一单”与碳达峰碳中和顶层设计体系的衔接，强化“三线一单”在环境准入、园区管理、环评审批等方面的要求，保障全区绿色生态格局。统筹协调污染物减排和碳排放控制，优化水、气、土、固废等重点要素环境治理领域协同控制，推进能耗“双控”向碳排放总量和强度“双控”转变。按全省统一部署，将温室气体排放纳入生态环境统计制度。强化新型基础设施节能，推广高效制冷、先进通风和智能感知等国内先进节能技术，提高现有数据中心设施的能源利用效率。（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生态环境局赫山分局、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、区自然资源局按职责分工负责）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1" w:name="_Toc31419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（三）工业领域碳达峰行动</w:t>
      </w:r>
      <w:bookmarkEnd w:id="11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推进工业绿色低碳转型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以供给侧结构性改革为主线，以传统优势产业为基础，加快开展信息化、智能化改造，推进传统产业与现代服务业有机结合，围绕食品农产品加工、新能源新材料、编织包装和轻工纺织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主导产业，电子信息产业、生物医药产业、高端装备制造业优势产业，培育一批百亿级产业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壮大一批十亿级企业，引进一批亿元级项目，不断延伸产业链，优化升级产业结构，推动产业绿色低碳转型。优化食品、纺织服装、包装等传统产业发展布局，支持企业开展技术创新、生产线改造和品牌打造，不断提升产能。加快发展工业互联网，聚焦制造业数字化、网络化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能化转型需求，支持优势传统产业链骨干龙头企业建立企业级工业互联网平台，提升产业链协同能力。鼓励物流、快递企业融入制造业采购、生产、仓储、分销、配送等环节，持续推进降本增效。优化供应链管理，提升信息、物料、资金、产品等配置流通效率，推动采购、制造、销售、消费信息交互和流程再造，形成高效协同、弹性安全、绿色可持续的智慧供应链网络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、市生态环境局赫山分局按职责分工负责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推动传统产业绿色改造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持续推动传统产业实施节能减碳技术改造，强化信息技术绿色赋能。推动食品及农产品加工产业有序达峰，以绿色食品为重点发展方向，探索全产业链生态循环模式，支持龙头企业打造低碳标准化加工基地，推动行业节能标准化战略的实施。推动纺织服装产业有序达峰，发展化学纤维智能化高效柔性制备技术，推广低能耗印染装备，应用低温印染、小浴比染色、针织物连续印染等先进工艺。推动包装产业有序达峰，以龙头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企业为引领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，推广使用专业化、高效率、节能环保设备和先进技术、先进工艺，开发高档次、高规格的高档食品包装袋、环保绿色包装袋等绿色新型包装产品，生产功能性包装袋、珠光膜编织袋、复合液体包装袋、透明包装袋等新产品，提高产品科技含量和附加值。培育绿色企业，推进重点企业能源管理中心建设，提升企业能源管理信息化水平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、区商务局、市生态环境局赫山分局按职责分工负责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坚决遏制“两高”项目盲目发展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对“十四五”拟上“两高”项目实行清单管理、分类处置、动态监控，深化供给侧结构性改革，严格“两高”项目准入门槛，新建项目必须符合有关行业规划布局和能源双控要求，能耗水平全面达到国内先进水平。以钢铁、焦化、煤电等行业为重点，全面排查区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在建项目，对能效水平低于本行业能耗限额准入值的，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督促其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对照国内能效标杆水平实施建设，推动能效水平应提尽提，力争全面达到国内乃至国际先进水平。加大对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区电子信息、装备制造、生物医药、食品、纺织、新材料、包装等七大产业的产量、产能、耗能、煤耗等内容的关注力度，鼓励企业实施全天候、全过程监管，严防违规新增产能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超产超量、瞒报虚报等问题。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、市生态环境局赫山分局按职责分工负责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2" w:name="_Toc1655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（四）城乡建设碳达峰行动</w:t>
      </w:r>
      <w:bookmarkEnd w:id="12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积极推行绿色建筑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加快实施《湖南省绿色建筑行动实施方案》，严格执行工程建设节能强制性标准，鼓励采用绿色设计、绿色施工，采用自然通风、遮阳、隔热等技术。大力发展装配式混凝土建筑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钢结构建筑、竹木建筑，倡导发展现代木结构建筑，引导新建公共建筑优先采用钢结构，推广钢结构住宅。加快推进信息技术与城市建设技术、业务、数据融合，大力推广智能绿色建筑建造。开展城市信息模型平台建设，推动建筑信息模型深化应用，推进工程建设项目智能化管理，促进城市建设及运营模式变革。形成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区绿色建筑实施方案，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贯彻落实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绿色建造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法律法规，充分研究财政支持、容积率补偿等优惠政策的可行性，丰富政策扶持手段、加大扶持力度，为企业实施绿色建筑提供强有力的政策保障。鼓励企业创新研发绿色建造的新技术、新工艺、新材料等，全面推广铝模、爬架、高精砖、薄抹灰等先进施工工艺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shd w:val="clear" w:color="auto" w:fill="FFFFFF"/>
        </w:rPr>
        <w:t>建立健全绿色建筑全寿命周期闭合管理模式，完善设计、施工、运行和维护等阶段的政策措施，将绿色建筑指标和标准纳入规划管理、土地出让等环节，全面执行居住建筑节能75%、公共建筑节能65%的设计标准。扎实推进既有建筑节能改造，加大既有建筑的供热系统改造，推进供热计量改革，提高热源效率和管网保温性能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shd w:val="clear" w:color="auto" w:fill="FFFFFF"/>
        </w:rPr>
        <w:t>到2025年，基本完成全区有改造价值的城镇既有建筑节能改造。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、区自然资源局、区科技局按职责分工负责）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推动农村绿色低碳转型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快推动农村用能结构转型，推广太阳能等可再生能源项目在农业生产和农村生活中开展和应用，推进农光互补、光伏+设施农业等新型低碳农业发展模式。强化农村电网建设，提升终端电气化覆盖面。全面提高农用电动车、节能环保农机和渔船使用占比，鼓励在农村开展适宜节能技术、推进绿色农房建设，促进绿色建材和绿色建筑新技术的推广应用，适时开展轻钢农房推广建设。严控新增煤电装机容量，实施城乡配电网建设和智能升级计划，加快天然气基础设施建设和互联互通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到2025年，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区乡镇管道燃气使用的天然气总用量达395.40万Nm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vertAlign w:val="superscript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/年，其中部分乡镇居民管道燃气气化率达60%，气化率最低的乡镇达30%。（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、区农业农村局、区自然资源局、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推动城区绿色低碳转型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动城区建筑节能降碳改造，促进建筑太阳能、空气能、地热能多能互补利用。加快提升建筑节能标准与能效水平，推动新建居住建筑和公共建筑平均设计能耗水平有序降低，确保新建建筑设计阶段和施工阶段节能强制性标准执行率达100%。推进既有居住建筑和公共建筑绿色化改造，鼓励使用合同能源管理、合同节水管理等模式对机电设备进行调试运维，降低能耗水平。强化建筑用能计量管理与能耗监测，加强能源资源消费和碳排放统计能力建设，探索实行大型公共建筑能耗监测制度。到2025年，城镇新建建筑全面执行绿色建筑标准，城镇建筑可再生能源替代率达8%。新建公共机构建筑、新建厂房屋顶光伏覆盖率力争达50%。（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3" w:name="_Toc28207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（五）交通运输绿色低碳行动</w:t>
      </w:r>
      <w:bookmarkEnd w:id="13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构建绿色高效交通运输体系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推进多式联运示范工程建设，加快培育一批在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区具有影响力的多式联运龙头企业，大力发展资江的水路运输模式，加快实现“公—铁—水”联运模式。探索推广应用集装箱模块化汽车列车运输，提高多式联运占比。推动城市建筑材料及生活物资等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采用联运、新能源和清洁能源汽车等运输方式。开展绿色货运配送示范工程建设，鼓励共同配送、集中配送、分时配送等集约化配送模式发展，同时推进大宗货物运输“公转铁、公转水”，逐步形成以铁、水为主的中长途货运体系，以节能汽车、新能源车为主的短途货运体系。加快推动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区城乡客运一体化发展以及“17+10”的城乡客运网络，重点关注农村客运的线路网络、场站设施、运营服务和配套保障等一体化内容。依托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区“东接东融”交通格局的立体互联，构建长沙向西、辐射西北的交通枢纽。到2025年，年水路货运量增长10%以上。（区交通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运输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推广应用新能源交通运输装备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加快推广低碳设施设备，推广新能源和清洁能源运输车辆，规划建设充换电网络，稳步推进铁路电气化改造，推动运输车辆更多使用清洁能源，依托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客运龙头企业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32"/>
          <w:szCs w:val="32"/>
        </w:rPr>
        <w:t>，推动运输装备改革，鼓励客运车辆使用新能源，降低二氧化碳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32"/>
          <w:szCs w:val="32"/>
          <w:lang w:val="en-US" w:eastAsia="zh-CN"/>
        </w:rPr>
        <w:t>及主要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32"/>
          <w:szCs w:val="32"/>
        </w:rPr>
        <w:t>污染物的排放量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。大力调整优化车船运力结构，大力推广应用节能环保型运输车船，引导营运车船向大型化、专业化、标准化、低碳化方向发展。全区新增或更新的公务车、邮政车、巡逻车中，新能源汽车比例均不低于30%，环卫车新能源比例不低于15%。新增或更新的公交车中，新能源车比重不低于60%。到2025年，新增公交车辆全部采用新能源及清洁能源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到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2030年，当年新增非化石能源动力交通工具比例达40%，营运交通工具单位换算周转量碳排放强度比2020年下降10%左右。（区交通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运输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区城管执法局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区机关事务服务中心、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、赫山公安分局按职责分工负责）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加快构建智能交通系统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鼓励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区客运龙头企业使用“互联网+”模式，开展网上预约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上门接送等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方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式，提高交通运输效率。加快具备智能感知与决策、车路网一体化的交通基础设施建设与信息化升级，深化北斗系统、车路协同、5G通信、自动驾驶等技术融合应用，通过综合智能交通服务大数据系统等系列平台建设，实现全区交通要素信息交换与实时共享，及时传输路况信息，避免拥堵路段，提升交通运行效率。加强智慧泊车、智能网联云控平台、数据驱动的智能化协同管控系统建设，保障系统运行安全，提升交通运行效率。（区交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运输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4" w:name="_Toc20812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（六）资源循环利用助力降碳行动</w:t>
      </w:r>
      <w:bookmarkEnd w:id="14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推进园区循环化改造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构建循环经济产业链，以电子信息等产业为主体，推动企业循环式生产、产业循环式组合，实施关键补链项目，延伸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低碳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循环产业链条。鼓励园区建立一体化管理体系，搭建产品流、废物流、资源流等数据收集展示和共享平台，优化配置资源。全面改善园区能源结构，推进工业余压余热余气、废气废液的资源化利用和园区集中供气供热，推动冷热电多能协同供应和能源综合梯级利用。提升园区基础设施配套水平，完善给排水、供电、供气、通讯、交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污水处理站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垃圾分类收集等基础设施配套，健全园区循环化改造公共服务平台和服务体系。推进龙岭产业开发区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打造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循环化改造示范试点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instrText xml:space="preserve"> HYPERLINK \l "_Toc99286391" </w:instrTex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加强大宗固废综合利用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统筹兼顾大宗固废增量消纳和存量治理，强化主体责任，推动建设符合国家有关标准的贮存设施，实现安全分类存放，杜绝混排混堆。推进尾矿（共伴生矿）、粉煤灰、煤矸石、冶炼渣、工业副产石膏、化工废渣等工业固废的规模化利用，建立工业固废综合利用信息平台，利用互联网大数据集成和资源整合的优势，促进产业推广和共享协作。充分利用原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基建垃圾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处理厂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，引进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建筑材料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生产知名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企业，推进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工程渣土、工程垃圾、装修垃圾等建筑垃圾资源化利用，提升再生产品的市场使用规模。推进农作物秸秆资源肥料化、饲料化、原料化和能源化利用。到2025年，建成1个建筑垃圾资源化利用基地，建筑垃圾资源化利用率达70%以上，大宗固废年利用量达200万吨左右。到2030年，大宗固废年利用量达300万吨左右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区城管执法局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、区农业农村局、区商务局、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instrText xml:space="preserve"> HYPERLINK \l "_Toc99286392" </w:instrTex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构建废旧物资循环利用体系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优化布局城市废旧物资回收网络，推进废旧物资回收网点与生活垃圾分类网点“两网融合”，提高城市废旧物品回收分拣硬件水平。推进绿色分拣加工中心建设，鼓励建设集中规范的再生资源交易市场。围绕废旧电器、废旧金属、废旧动力蓄电池等可回收物品的循环利用，建设再生资源的分类回收体系和服务平台。推广“互联网+”回收利用模式，鼓励采用上门回收、APP预约回收、以旧换新等废旧物资循环利用方式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shd w:val="clear" w:color="auto" w:fill="FFFFFF"/>
        </w:rPr>
        <w:t>加强垃圾分类回收与再生资源回收有效衔接，提高垃圾分类回收效率和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废旧物资循环利用率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引进具有资质的再生回收拆解利用公司、资源综合利用企业，重点回收焊接、热处理废酸、废油等，强化静脉产业，构建工业废弃物回收再利用系统。到2025年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资源综合利用率、循环利用率、废弃物最终处理量等循环经济主要指标以及生态环境、可持续发展能力等达到全省先进水平。（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区城管执法局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、区农业农村局、区商务局、区供销社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、区科技局按职责分工负责）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4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推进垃圾减量化资源化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建立健全覆盖全社会的垃圾分类回收、分类运输、分类处理体系，加快建设完善的回收处理设施，引导公众进行垃圾分类，逐步形成以焚烧发电为主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其他处理方式为辅的生活垃圾处理模式。到2025年，城镇生活垃圾分类体系基本健全，生活垃圾有效处理率达85%以上，生活垃圾资源化比例不低于60%。到2030年，城镇生活垃圾分类实现全覆盖，生活垃圾资源化比例提升至65%。推广可重复使用产品，积极采用生物包装材料、新型纸包装、降解塑料包装和可循环利用包装材料等。加强对快递行业包裹包装的监督管理，禁止过度包装，倡导包装材料的重复利用。以集中处理为主，分散处理为辅，稳妥有序推进厨余垃圾处理设施建设，推动厨余垃圾处理智能化、高效化以及绿色化发展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区城管执法局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、区商务局、区科技局、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、区农业农村局按职责分工负责）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5" w:name="_Toc9452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（七）绿色低碳科技创新行动</w:t>
      </w:r>
      <w:bookmarkEnd w:id="15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加强科技创新队伍建设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瞄准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低碳创新发展需求，招引并举，促进低碳科技研发、低碳科技管理、低碳科技创业以及技能型人才等协调发展，形成各类创新型人才衔接有序、梯次配备、合理分布的格局。建立六大产业科技研发共享平台，重点推进赫山区农产品质量安全检测中心、茯茶质量检测中心、电容器质量检测中心、赫山区中小企业服务平台、赫山区科技信息研究所等公共创新服务平台建设，做好科技创新服务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到2025年，全区新增科技孵化器2个、众创空间2个、星创天地5家。依托骨干企业，加快推进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与高校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的低碳战略合作项目。整合区内优势单位联合国内科研院校机构，加强关键科技要素共享。巩固人才队伍建设，以柔性刚性相结合的形式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加大企业人才引进和培育力度。（区科技局、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区市场监管局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、区教育局按职责分工负责）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重点推动低碳技术攻关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强化企业创新主体地位，积极承接粤港澳大湾区、长三角等地区高端产业转移，加速引进一批自主创新能力突出、市场前景广阔的领先企业，实施“领军企业、高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成长型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企业、科技型小微企业培育计划”。实施低碳领域关键技术研发工程，重点加强稀贵金属综合回收利用、储能材料等关键技术攻关，编制重点领域关键技术攻关清单，集中力量突破一批关键技术，部署实施一批重大实用科技项目。积极搭建创新平台，探索建立一批孵化器和加速器，培育建设一批重点实验室、众创空间、星创天地、科普基地等新型科技创新平台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新型研发机构。持续加大低碳领域研发投入，到2025年，在中医药、电子信息、食品加工、服装纺织等主导产业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新建高端产业技术平台1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—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2家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省级众创空间1家、星创天地1家。（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区市场监管局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大力推进低碳技术成果转化和推广应用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大力推广低碳技术应用，重点推广太阳能、风电、生物质能、地热能利用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多能共用及能源互联先进技术，积极开展资源循环利用、储能材料、装配式建筑技术等领域示范项目和规模化应用。整合企业、科研院所、高等院校和政府部门的科技资源，培育一批高质量科技示范园，建设一批低碳科技成果转化基地。着力打造以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highlight w:val="none"/>
        </w:rPr>
        <w:t>绿色大米、有机蔬菜、中药材等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为特色的生态农业科技示范基地，成为促进农业科技成果转化、引领现代农业发展的示范区。探索氢能、高效动力电池、二氧化碳捕集与封存等变革性技术应用转化，推动构建主导产业中试熟化生产基地，提高科技成果转化成效。（区科技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6" w:name="_Toc10259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（八）生态碳汇巩固提升行动</w:t>
      </w:r>
      <w:bookmarkEnd w:id="16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巩固提升林业碳汇能力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实施重大林业工程，开展国土绿化，加强生态保护修复，在重点领域开展实施人工造林、封山育林、退化林修复等工程，加大森林抚育力度，增强森林植被和森林土壤碳汇能力。精准提升森林质量，加强中幼林抚育和退化林修复，加大人工林改造力度，倡导多功能森林经营，持续提高森林生态系统质量和稳定性，推行以增强碳汇能力为目的的森林经营模式。全面保护森林，加强森林防火和有害生物防治，严厉打击破坏林业资源的违法行为，减少毁林造成的碳排放。探索开展森林经营碳汇和碳汇补偿机制，推进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区林业碳汇试点工作。到2025年，森林覆盖率稳定在32.3%，森林蓄积保有量约为110万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m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。（区林业局、区自然资源局、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巩固耕地草地湿地碳汇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提高城区绿化率，加强城区原植被、小微湿地的保护修复，加强水土保持生态建设，鼓励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进行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种植结构调整，确保严格管控耕地得到安全利用。持续推进水土流失综合治理，加强坡改梯、小型水利水保等配套工程建设，加强重要水源地和山洪灾害易发区等水土流失治理。推动湿地保护与修复，保护天然湿地资源，对退化湿地生态系统进行生态修复治理。（区自然资源局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区水利局、区农业农村局、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区林业局按职责分工负责）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搭建生态碳汇体制机制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强碳汇统计能力建设，开展林业碳汇和土地绿化率相关专项调查，掌握森林碳储量与森林碳汇量的现状、变化与潜力情况，编制碳汇造林和森林经营碳汇项目发展规划，动态评估碳汇变化情况，形成碳汇资源“一本账”，为林业碳汇项目开发打下基础。探索林业碳汇开发与交易管理，以建设赫山区林业碳汇工程试点园区为依托，开发全区国家核证自愿减排项目，逐步实现林业碳汇项目开发与交易。创新碳汇金融模式，运用市场机制，引导社会资本投入林业碳汇项目，为绿色低碳发展注入持久内生动力。（区林业局、市生态环境局赫山分局、区财政局、区统计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7" w:name="_Toc1466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（九）绿色低碳全民行动</w:t>
      </w:r>
      <w:bookmarkEnd w:id="17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推广绿色低碳生活方式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行简约适度、绿色低碳、文明健康的生活方式，鼓励节约用电用水，实行生活垃圾减量分类。推广低碳旅游方式，推动绿色出行，鼓励消费者旅游自带洗漱用品，减少一次性日用品的使用，鼓励公众降低私家车使用强度。鼓励绿色消费，积极引导采购使用绿色产品。开展节约型机关、绿色家庭、绿色学校、绿色社区、绿色出行、绿色商场、绿色建筑等创建活动。探索建立个人碳积分账户，搭建碳普惠平台，逐步构建吸引力强、全民参与且持续运营的碳普惠体系。引导公共资源、商家、企业等加入碳积分平台，扩展碳积分的激励方式和范围。到2025年，基本形成应用场景丰富、系统平台完善、规则流程明晰、商业模式成熟的碳普惠生态圈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区文旅广体局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、区教育局、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、区交通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运输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局、区财政局按职责分工负责）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引导企业履行社会责任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鼓励企业积极采购上游绿色产品，开展绿色办公，实施产品碳标签认证，降低全生命周期碳排放。重点用能单位要梳理核算自身碳排放情况，深入研究碳减排路径，制定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达峰专项工作方案。鼓励和指导企业开展自律性监测，安装和完善污染源在线监控设施，加强在线监控平台建设，并主动向社会公开，接受社会监督。引导上市公司、进出口企业、碳交易重点企业等对标国际规则建立碳排放信息披露制度，定期公布企业碳排放信息，计入企业环保信用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3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加强全民低碳宣传教育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将碳达峰碳中和教育全面纳入国民教育体系。强化通识教育，以小学、中学为主要对象，按自然、科学、科技、人文等题分类编制碳达峰碳中和教材，全方位系统普及基础知识。开展专门教育，围绕气候变化、新能源发展、节能降碳、循环经济、绿色金融等碳达峰碳中和急需重点领域，在高等学校开设相关学科，强化专业人才培养与输出。持续开展能效领跑者、光盘行动、节水节能等主题活动，积极开展“全国低碳日”“国际臭氧层保护日”等主题活动，深入推动“美丽中国∙我是行动者”等系列主题实践活动，增强社会公众简约适度、遏制浪费的绿色低碳意识。在政务新媒体进行活动宣传，充分发挥传统媒体和新兴媒体作用，建立长效宣传机制，提高全社会对低碳环保的关注度与参与度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区教育局、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区委宣传部、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、市生态环境局赫山分局、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、区交通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运输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局按职责分工负责）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18" w:name="_Toc21471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（十）开展试点示范行动</w:t>
      </w:r>
      <w:bookmarkEnd w:id="18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1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构筑赫山特色低碳试点园区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编制园区循环化改造实施方案，鼓励龙岭产业开发区围绕电子信息主导产业，医药、轻纺、食品、机械等传统优势产业，提出园区建设目标和重点任务，谋划实施一批低碳园区重点项目。通过构建产业转型升级新模式、推广应用绿色先进新技术、深化智能监测管理新举措、营造绿色低碳生产生活新风尚等，探索具有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区特色的绿色低碳高质量发展新路径，总结可复制可推广的经验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模式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，形成示范带动效应。（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区工信局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按职责分工负责）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2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推动城市低碳试点示范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全区探索碳达峰试点建设，推进生活垃圾分类减量、生活污水无害化处理、屋顶光伏等清洁能源发展。加快“零碳乡村”建设，结合乡村振兴和美丽乡村建设，推行农业生产过程清洁化，通过资源梯级利用，建立多层次、多功能的循环农业生产体系，减少农业污染的产生。大力推广应用低污染的环境友好型种植技术，发展畜禽清洁养殖，合理布局畜禽养殖场（小区），推行农牧结合和生态养殖模式，实现畜牧业与种植业协调发展，推进水产健康养殖，加快养殖池塘标准化建设和改造，普及推广工厂化循环水产养殖、水质调控技术和环保装备，减少污染排放。积极开展低碳社区、低碳街道、低碳乡镇试点工作，将低碳理念贯穿于社区、乡镇建设全过程。支持有条件的企业实事求是，积极核查企业碳排放数据，处于碳排放上升期的重点企业积极编制碳达峰行动方案，明确达峰时间表、路线图；处于碳排放平台期的继续巩固节能降碳成效。（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区发改局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、区农业农村局、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区住建局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、区自然资源局按职责分工负责）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bookmarkStart w:id="19" w:name="_Toc149230395"/>
      <w:bookmarkStart w:id="20" w:name="_Toc7888"/>
      <w:bookmarkStart w:id="21" w:name="_Toc149230237"/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</w:rPr>
        <w:t>、保障</w:t>
      </w:r>
      <w:bookmarkEnd w:id="19"/>
      <w:bookmarkEnd w:id="20"/>
      <w:bookmarkEnd w:id="21"/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lang w:val="en-US" w:eastAsia="zh-CN"/>
        </w:rPr>
        <w:t>措施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22" w:name="_Toc7633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健全法规标准</w:t>
      </w:r>
      <w:bookmarkEnd w:id="2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贯彻落实节约能源法、电力法、煤炭法、可再生能源法、循环经济促进法、清洁生产促进法等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法律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法规，并修订相关配套实施办法，严格执行固定资产投资项目节能审查制度。提高节能降碳要求，完善一批重点行业能耗限额、产品设备能效和工程建设地方标准。按照国家要求，对接落实可再生能源标准体系、工业绿色低碳标准体系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落实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绿色低碳监督实施的法律法规，政府部门严格依据相关法律法规，严格监督管理企业实施绿色低碳生产。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23" w:name="_Toc16774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落实规范的碳排放统计核算体系</w:t>
      </w:r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加强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区碳排放统计核算能力建设，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对接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国家、省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市标准要求，建立统一规范的碳排放统计核算体系。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落实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赫山区重点行业、企业碳排放基础统计报表制度，进一步完善能源消费计量、统计、监测体系。支持行业、高校、科研院所依据自身特点开展碳排放核算、碳汇等方法学研究，建立健全碳排放计量体系。推进碳排放实测技术发展，积极推进遥感测量、大数据、云计算等新兴技术在碳排放实测技术领域的应用，提升核算水平。推动能源统计信息资源共享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做好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碳排放数据管理。充实能源统计核算力量，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完善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碳排放统计核算人员业务培训机制，加强能源统计队伍建设和信息化体系建设。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24" w:name="_Toc29611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完善财税价格支持政策</w:t>
      </w:r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积极争取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上级财政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对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碳达峰重大项目、重大行动、重大示范、重点企业的支持力度，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同时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引导社会资金加大对绿色低碳发展领域投资，落实节能节水、资源综合利用等税收优惠政策，更好发挥税收对市场主体绿色低碳发展的促进作用。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积极对接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风电、光伏发电价格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形成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新型储能价格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等相关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政策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，鼓励和推动新能源及相关储能产业发展。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严格执行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针对高耗能、高排放行业的差别电价、阶梯电价等绿色电价政策，加大实施力度，促进节能减碳。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25" w:name="_Toc18207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（四）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强化合作交流</w:t>
      </w:r>
      <w:bookmarkEnd w:id="2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主动对接学习益阳市其他区域的先进低碳产业、技术、管理机制，强化资源要素互惠共享。鼓励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龙岭产业开发区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学习绿色低碳建设的相关经验，开展先进环保设备、清洁生产技术、低碳零碳先进技术、绿色低碳管理模式等交流合作，拓展行业产业朋友圈，形成合作共赢发展新局面。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</w:rPr>
      </w:pPr>
      <w:bookmarkStart w:id="26" w:name="_Toc149230238"/>
      <w:bookmarkStart w:id="27" w:name="_Toc2573"/>
      <w:bookmarkStart w:id="28" w:name="_Toc149230396"/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</w:rPr>
        <w:t>、组织实施</w:t>
      </w:r>
      <w:bookmarkEnd w:id="26"/>
      <w:bookmarkEnd w:id="27"/>
      <w:bookmarkEnd w:id="28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29" w:name="_Toc22675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（一）加强统筹协调</w:t>
      </w:r>
      <w:bookmarkEnd w:id="2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赫山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碳达峰碳中和工作领导小组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统筹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协调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解决碳达峰行动中的重大问题，指导相关部门和行业开展碳达峰行动。成员单位要按照区政府决策部署和领导小组工作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制度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要求，扎实推进相关工作。领导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小组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要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定期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调度区内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重点行业工作进展，督促各项目标任务落实落细。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30" w:name="_Toc31099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突出企业特色</w:t>
      </w:r>
      <w:bookmarkEnd w:id="3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赫山区碳达峰碳中和工作领导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小组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要结合赫山区经济社会发展实际和各企业资源禀赋，坚持分类施策、因地制宜、上下联动，有力有序推进碳达峰工作。高能耗、污染大的重点企业要率先推动企业绿色转型。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鼓励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龙岭产业开发区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着力优化能源消费结构，构建多元化产业体系，培育绿色发展动能。加快绿色低碳转型，探索可复制可推广经验做法。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31" w:name="_Toc14852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严格监督考核</w:t>
      </w:r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以能耗双控制度为基础，逐步建立碳达峰碳中和综合评价考核制度，实行能耗指标和碳排放指标的协同管理、协同分解、协同考核。实行碳达峰行动目标责任评价考核制度，加强对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达峰完成情况的评估、考核，建立年度重点工作进展报告制度、中期跟踪评估机制。加强监督考核结果应用，对碳达峰工作突出的单位和个人按规定给予奖励，对未完成碳排放控制目标的部门实行通报批评和问责，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并将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落实情况纳入政府年度目标责任考核。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各乡镇（街道、园区）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领导小组成员单位要组织开展碳达峰目标任务年度评估，有关工作进展和重大问题及时向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碳达峰碳中和工作领导小组报告。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</w:pPr>
      <w:bookmarkStart w:id="32" w:name="_Toc29848"/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（四）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sz w:val="32"/>
          <w:szCs w:val="32"/>
        </w:rPr>
        <w:t>加强风险防控</w:t>
      </w:r>
      <w:bookmarkEnd w:id="3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增强风险防范意识，统筹处理好减污降碳与能源安全、产业链供应链安全、粮食安全、群众日常生活之间的关系，完善风险防控和处置机制，做好重大风险研判和应急预案设计。进一步提升能源系统应急响应能力，做好能源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换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档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期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保供工作。积极应对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绿色低碳转型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过程中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可能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面临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的经济、金融</w:t>
      </w:r>
      <w:r>
        <w:rPr>
          <w:rFonts w:hint="eastAsia" w:ascii="仿宋" w:hAnsi="仿宋" w:cs="仿宋"/>
          <w:b w:val="0"/>
          <w:bCs w:val="0"/>
          <w:color w:val="auto"/>
          <w:spacing w:val="0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2"/>
          <w:szCs w:val="32"/>
        </w:rPr>
        <w:t>社会风险，确保安全降碳。提前谋划未来气候变化可能引发的环境、产业变化，积极布局适应气候变化的科学技术研发、新型产业构建。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  <w:bookmarkStart w:id="33" w:name="_GoBack"/>
      <w:bookmarkEnd w:id="33"/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41"/>
        <w:textAlignment w:val="auto"/>
        <w:rPr>
          <w:rFonts w:ascii="仿宋" w:hAnsi="仿宋" w:eastAsia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91" w:firstLine="291" w:firstLineChars="139"/>
        <w:jc w:val="both"/>
        <w:textAlignment w:val="auto"/>
        <w:rPr>
          <w:rFonts w:hint="eastAsia" w:ascii="仿宋" w:hAnsi="仿宋" w:eastAsia="仿宋" w:cs="仿宋"/>
          <w:snapToGrid/>
          <w:kern w:val="2"/>
          <w:sz w:val="28"/>
          <w:szCs w:val="28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1270</wp:posOffset>
                </wp:positionV>
                <wp:extent cx="5557520" cy="777240"/>
                <wp:effectExtent l="0" t="7620" r="5080" b="1524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7520" cy="777240"/>
                          <a:chOff x="16600" y="167992"/>
                          <a:chExt cx="8752" cy="1224"/>
                        </a:xfrm>
                        <a:effectLst/>
                      </wpg:grpSpPr>
                      <wps:wsp>
                        <wps:cNvPr id="9" name="直接连接符 9"/>
                        <wps:cNvCnPr/>
                        <wps:spPr>
                          <a:xfrm>
                            <a:off x="16600" y="167992"/>
                            <a:ext cx="875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V="1">
                            <a:off x="16600" y="168592"/>
                            <a:ext cx="8753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 flipV="1">
                            <a:off x="16600" y="169216"/>
                            <a:ext cx="875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8pt;margin-top:0.1pt;height:61.2pt;width:437.6pt;z-index:251659264;mso-width-relative:page;mso-height-relative:page;" coordorigin="16600,167992" coordsize="8752,1224" o:gfxdata="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CF111E1gAAAAYBAAAPAAAAAAAA&#10;AAEAIAAAACIAAABkcnMvZG93bnJldi54bWxQSwECFAAUAAAACACHTuJAmvu3Ir8CAACJCQAADgAA&#10;AAAAAAABACAAAAAlAQAAZHJzL2Uyb0RvYy54bWxQSwUGAAAAAAYABgBZAQAAVgYAAAAA&#10;">
                <o:lock v:ext="edit" aspectratio="f"/>
                <v:line id="_x0000_s1026" o:spid="_x0000_s1026" o:spt="20" style="position:absolute;left:16600;top:167992;height:0;width:8753;" filled="f" stroked="t" coordsize="21600,21600" o:gfxdata="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uN3qi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16600;top:168592;flip:y;height:0;width:8753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600;top:169216;flip:y;height:0;width:8753;" filled="f" stroked="t" coordsize="21600,21600" o:gfxdata="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1H2pb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抄送：区委，区人大，区政协。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91" w:firstLine="280" w:firstLineChars="100"/>
        <w:jc w:val="both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益阳市赫山区人民政府办公室     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   20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>2</w:t>
      </w:r>
      <w:r>
        <w:rPr>
          <w:rFonts w:hint="eastAsia" w:ascii="仿宋" w:hAnsi="仿宋" w:cs="仿宋"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>年</w:t>
      </w:r>
      <w:r>
        <w:rPr>
          <w:rFonts w:hint="eastAsia" w:ascii="仿宋" w:hAnsi="仿宋" w:cs="仿宋"/>
          <w:snapToGrid/>
          <w:kern w:val="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>月</w:t>
      </w:r>
      <w:r>
        <w:rPr>
          <w:rFonts w:hint="eastAsia" w:ascii="仿宋" w:hAnsi="仿宋" w:cs="仿宋"/>
          <w:snapToGrid/>
          <w:kern w:val="2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>日印发</w:t>
      </w:r>
    </w:p>
    <w:sectPr>
      <w:headerReference r:id="rId5" w:type="default"/>
      <w:footerReference r:id="rId6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" w:linePitch="44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CC3E8A-B36C-4721-B74A-086587B002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9B58A14-AB46-40BC-A862-B14957F621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E066553-254D-4188-9BE5-67304D9D91D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034ED47-0A48-4B1F-81E6-E0D049BCC0B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240" w:lineRule="auto"/>
      <w:ind w:firstLine="0" w:firstLineChars="0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spacing w:line="240" w:lineRule="auto"/>
                            <w:ind w:left="0" w:leftChars="0" w:firstLine="0" w:firstLineChars="0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spacing w:line="240" w:lineRule="auto"/>
                      <w:ind w:left="0" w:leftChars="0" w:firstLine="0" w:firstLineChars="0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JOal7kp1TiBKArXsCLHHCf06L74=" w:salt="fQpkteykR+c5SocUcyCRow=="/>
  <w:defaultTabStop w:val="420"/>
  <w:drawingGridVerticalSpacing w:val="223"/>
  <w:displayHorizontalDrawingGridEvery w:val="1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mYTM2Njg0M2U1YzU2ZTljNTc5ZDFkMTk1M2I4ODMifQ=="/>
  </w:docVars>
  <w:rsids>
    <w:rsidRoot w:val="5E01392F"/>
    <w:rsid w:val="000257E4"/>
    <w:rsid w:val="00030B4F"/>
    <w:rsid w:val="00034F6B"/>
    <w:rsid w:val="00035465"/>
    <w:rsid w:val="00062F96"/>
    <w:rsid w:val="000A6F01"/>
    <w:rsid w:val="00113753"/>
    <w:rsid w:val="00116C13"/>
    <w:rsid w:val="001401AD"/>
    <w:rsid w:val="00141EE8"/>
    <w:rsid w:val="001512FC"/>
    <w:rsid w:val="00162A6D"/>
    <w:rsid w:val="001654C9"/>
    <w:rsid w:val="00194629"/>
    <w:rsid w:val="001A4169"/>
    <w:rsid w:val="00202CC8"/>
    <w:rsid w:val="00207E4C"/>
    <w:rsid w:val="00207E8B"/>
    <w:rsid w:val="00227BA1"/>
    <w:rsid w:val="00294105"/>
    <w:rsid w:val="002D2AA1"/>
    <w:rsid w:val="002D600E"/>
    <w:rsid w:val="00317FC4"/>
    <w:rsid w:val="003965D3"/>
    <w:rsid w:val="00396B1F"/>
    <w:rsid w:val="00397373"/>
    <w:rsid w:val="003B2F01"/>
    <w:rsid w:val="003E4451"/>
    <w:rsid w:val="00474132"/>
    <w:rsid w:val="004866E2"/>
    <w:rsid w:val="00496477"/>
    <w:rsid w:val="004A367D"/>
    <w:rsid w:val="004D5CD4"/>
    <w:rsid w:val="00504B67"/>
    <w:rsid w:val="005567A1"/>
    <w:rsid w:val="0056181F"/>
    <w:rsid w:val="005A0CEC"/>
    <w:rsid w:val="006344FD"/>
    <w:rsid w:val="00645853"/>
    <w:rsid w:val="00652C4E"/>
    <w:rsid w:val="006D428D"/>
    <w:rsid w:val="006E0284"/>
    <w:rsid w:val="00742BBA"/>
    <w:rsid w:val="0076761E"/>
    <w:rsid w:val="007A56DE"/>
    <w:rsid w:val="007B557D"/>
    <w:rsid w:val="00820DFE"/>
    <w:rsid w:val="00851258"/>
    <w:rsid w:val="008637A3"/>
    <w:rsid w:val="00866DAE"/>
    <w:rsid w:val="00872EE6"/>
    <w:rsid w:val="008A4CA0"/>
    <w:rsid w:val="008C6ADB"/>
    <w:rsid w:val="008E2256"/>
    <w:rsid w:val="008F3D9A"/>
    <w:rsid w:val="00904003"/>
    <w:rsid w:val="00905A56"/>
    <w:rsid w:val="00905D4C"/>
    <w:rsid w:val="00911E87"/>
    <w:rsid w:val="009438E1"/>
    <w:rsid w:val="00976732"/>
    <w:rsid w:val="0099094C"/>
    <w:rsid w:val="00991304"/>
    <w:rsid w:val="009A7014"/>
    <w:rsid w:val="009D191C"/>
    <w:rsid w:val="009E4535"/>
    <w:rsid w:val="009F7211"/>
    <w:rsid w:val="00A2258A"/>
    <w:rsid w:val="00A351DE"/>
    <w:rsid w:val="00A4515F"/>
    <w:rsid w:val="00A679D8"/>
    <w:rsid w:val="00A71E20"/>
    <w:rsid w:val="00AB3BD7"/>
    <w:rsid w:val="00AF7BAD"/>
    <w:rsid w:val="00B027A5"/>
    <w:rsid w:val="00B26309"/>
    <w:rsid w:val="00B34ED4"/>
    <w:rsid w:val="00B46738"/>
    <w:rsid w:val="00B61EF2"/>
    <w:rsid w:val="00B80C8F"/>
    <w:rsid w:val="00BB4545"/>
    <w:rsid w:val="00BC4DA6"/>
    <w:rsid w:val="00BD7E44"/>
    <w:rsid w:val="00C025B6"/>
    <w:rsid w:val="00C4356A"/>
    <w:rsid w:val="00C56DC2"/>
    <w:rsid w:val="00C7192D"/>
    <w:rsid w:val="00C82CD2"/>
    <w:rsid w:val="00C90CC2"/>
    <w:rsid w:val="00CD1078"/>
    <w:rsid w:val="00CD5C09"/>
    <w:rsid w:val="00CF038D"/>
    <w:rsid w:val="00D22438"/>
    <w:rsid w:val="00D507A2"/>
    <w:rsid w:val="00D83055"/>
    <w:rsid w:val="00DA3C47"/>
    <w:rsid w:val="00DD524C"/>
    <w:rsid w:val="00DE3AB1"/>
    <w:rsid w:val="00DE5425"/>
    <w:rsid w:val="00E4221E"/>
    <w:rsid w:val="00E74288"/>
    <w:rsid w:val="00EB7C51"/>
    <w:rsid w:val="00ED0937"/>
    <w:rsid w:val="00ED2BE0"/>
    <w:rsid w:val="00EE0F0A"/>
    <w:rsid w:val="00EE4CD9"/>
    <w:rsid w:val="00F13223"/>
    <w:rsid w:val="00F37902"/>
    <w:rsid w:val="00F71F31"/>
    <w:rsid w:val="00FF09ED"/>
    <w:rsid w:val="021A6C4F"/>
    <w:rsid w:val="02351642"/>
    <w:rsid w:val="02D0730E"/>
    <w:rsid w:val="048F65E8"/>
    <w:rsid w:val="04D8694E"/>
    <w:rsid w:val="050B6D23"/>
    <w:rsid w:val="05845F29"/>
    <w:rsid w:val="05932CAD"/>
    <w:rsid w:val="060A21A4"/>
    <w:rsid w:val="08236132"/>
    <w:rsid w:val="0B3339E7"/>
    <w:rsid w:val="0B48110C"/>
    <w:rsid w:val="0BF16A02"/>
    <w:rsid w:val="0D42194E"/>
    <w:rsid w:val="0E5071DE"/>
    <w:rsid w:val="0F8D444E"/>
    <w:rsid w:val="0FC63C35"/>
    <w:rsid w:val="104B4477"/>
    <w:rsid w:val="10683C25"/>
    <w:rsid w:val="10D56199"/>
    <w:rsid w:val="11327424"/>
    <w:rsid w:val="11CD20AA"/>
    <w:rsid w:val="11F254F3"/>
    <w:rsid w:val="130527E3"/>
    <w:rsid w:val="13B8364F"/>
    <w:rsid w:val="13EE5846"/>
    <w:rsid w:val="144F1BB9"/>
    <w:rsid w:val="14720225"/>
    <w:rsid w:val="16560306"/>
    <w:rsid w:val="16C030E6"/>
    <w:rsid w:val="1716136C"/>
    <w:rsid w:val="1752433D"/>
    <w:rsid w:val="17804549"/>
    <w:rsid w:val="190A6EC9"/>
    <w:rsid w:val="19D41982"/>
    <w:rsid w:val="1B691741"/>
    <w:rsid w:val="1BF35574"/>
    <w:rsid w:val="1C13159C"/>
    <w:rsid w:val="1D2B18B9"/>
    <w:rsid w:val="1D3161E0"/>
    <w:rsid w:val="1D363F04"/>
    <w:rsid w:val="1D532BBD"/>
    <w:rsid w:val="1DD27F86"/>
    <w:rsid w:val="1E13366B"/>
    <w:rsid w:val="1F0C520B"/>
    <w:rsid w:val="21BD5493"/>
    <w:rsid w:val="22E629E5"/>
    <w:rsid w:val="22F73151"/>
    <w:rsid w:val="245C24E2"/>
    <w:rsid w:val="24B3011D"/>
    <w:rsid w:val="24C0322E"/>
    <w:rsid w:val="25E715A5"/>
    <w:rsid w:val="262F241A"/>
    <w:rsid w:val="27017E12"/>
    <w:rsid w:val="27236D03"/>
    <w:rsid w:val="27F2472B"/>
    <w:rsid w:val="281B645A"/>
    <w:rsid w:val="289E72B4"/>
    <w:rsid w:val="29B0672A"/>
    <w:rsid w:val="2A1D6321"/>
    <w:rsid w:val="2A5B72AC"/>
    <w:rsid w:val="2A6C6007"/>
    <w:rsid w:val="2A973312"/>
    <w:rsid w:val="2B2C53BF"/>
    <w:rsid w:val="2B565B3D"/>
    <w:rsid w:val="2DBB5D01"/>
    <w:rsid w:val="2DBE3B91"/>
    <w:rsid w:val="2EEB70FA"/>
    <w:rsid w:val="2F311C52"/>
    <w:rsid w:val="30006B19"/>
    <w:rsid w:val="319B3DF1"/>
    <w:rsid w:val="31BF49DD"/>
    <w:rsid w:val="31D330E4"/>
    <w:rsid w:val="31DE6AA2"/>
    <w:rsid w:val="32283D27"/>
    <w:rsid w:val="32797674"/>
    <w:rsid w:val="33154745"/>
    <w:rsid w:val="337B013A"/>
    <w:rsid w:val="33985F93"/>
    <w:rsid w:val="33A663C1"/>
    <w:rsid w:val="34086058"/>
    <w:rsid w:val="3429354F"/>
    <w:rsid w:val="34DE074D"/>
    <w:rsid w:val="36431693"/>
    <w:rsid w:val="36721EAF"/>
    <w:rsid w:val="37B207B5"/>
    <w:rsid w:val="37B5DA23"/>
    <w:rsid w:val="389573F8"/>
    <w:rsid w:val="38F31085"/>
    <w:rsid w:val="391039C5"/>
    <w:rsid w:val="39557F91"/>
    <w:rsid w:val="3A313556"/>
    <w:rsid w:val="3B1F00AA"/>
    <w:rsid w:val="3B492C9B"/>
    <w:rsid w:val="3BB51B98"/>
    <w:rsid w:val="3C0637C5"/>
    <w:rsid w:val="3D5236A5"/>
    <w:rsid w:val="3D6A7D83"/>
    <w:rsid w:val="3E704F26"/>
    <w:rsid w:val="3E8911A8"/>
    <w:rsid w:val="3E9B57EA"/>
    <w:rsid w:val="3EAE391C"/>
    <w:rsid w:val="3EBC5E8D"/>
    <w:rsid w:val="3F807DCA"/>
    <w:rsid w:val="3FBC421E"/>
    <w:rsid w:val="3FFD2F3D"/>
    <w:rsid w:val="40763EA3"/>
    <w:rsid w:val="409B3F98"/>
    <w:rsid w:val="40DB1852"/>
    <w:rsid w:val="41091CFF"/>
    <w:rsid w:val="4134048C"/>
    <w:rsid w:val="417D4D96"/>
    <w:rsid w:val="41B24C4F"/>
    <w:rsid w:val="422E75D1"/>
    <w:rsid w:val="42A0406C"/>
    <w:rsid w:val="43B753A5"/>
    <w:rsid w:val="450B3BFA"/>
    <w:rsid w:val="45286880"/>
    <w:rsid w:val="4561381A"/>
    <w:rsid w:val="46194EB3"/>
    <w:rsid w:val="462E4A00"/>
    <w:rsid w:val="49311755"/>
    <w:rsid w:val="496176B6"/>
    <w:rsid w:val="4A3B0ADD"/>
    <w:rsid w:val="4A614C0A"/>
    <w:rsid w:val="4A9B332A"/>
    <w:rsid w:val="4B6D2A42"/>
    <w:rsid w:val="4C030AC1"/>
    <w:rsid w:val="4CC21042"/>
    <w:rsid w:val="4E2672A1"/>
    <w:rsid w:val="4EEC05F8"/>
    <w:rsid w:val="4EEE4370"/>
    <w:rsid w:val="4F426946"/>
    <w:rsid w:val="4F795E61"/>
    <w:rsid w:val="4FDB5DFD"/>
    <w:rsid w:val="50A45004"/>
    <w:rsid w:val="50BB00CA"/>
    <w:rsid w:val="50DD164E"/>
    <w:rsid w:val="517F1E0A"/>
    <w:rsid w:val="51E57DEC"/>
    <w:rsid w:val="5246001F"/>
    <w:rsid w:val="52494703"/>
    <w:rsid w:val="52B758FB"/>
    <w:rsid w:val="52CA29FF"/>
    <w:rsid w:val="52E37F64"/>
    <w:rsid w:val="52E77A54"/>
    <w:rsid w:val="53626413"/>
    <w:rsid w:val="545509EE"/>
    <w:rsid w:val="547D0EB1"/>
    <w:rsid w:val="55FD758F"/>
    <w:rsid w:val="5603419A"/>
    <w:rsid w:val="568A4B20"/>
    <w:rsid w:val="56B934B6"/>
    <w:rsid w:val="56CE33FA"/>
    <w:rsid w:val="57C87729"/>
    <w:rsid w:val="57EF3BD4"/>
    <w:rsid w:val="5A710A4A"/>
    <w:rsid w:val="5AE20B01"/>
    <w:rsid w:val="5B2A2BD4"/>
    <w:rsid w:val="5C42641C"/>
    <w:rsid w:val="5CD2031B"/>
    <w:rsid w:val="5DA30A1C"/>
    <w:rsid w:val="5DCB6C17"/>
    <w:rsid w:val="5E01392F"/>
    <w:rsid w:val="5F3D4BB8"/>
    <w:rsid w:val="60025813"/>
    <w:rsid w:val="61742B3C"/>
    <w:rsid w:val="61897F29"/>
    <w:rsid w:val="62743DDE"/>
    <w:rsid w:val="62A62F15"/>
    <w:rsid w:val="632215E8"/>
    <w:rsid w:val="640D4784"/>
    <w:rsid w:val="659125E1"/>
    <w:rsid w:val="664E522A"/>
    <w:rsid w:val="66546D17"/>
    <w:rsid w:val="66925AD1"/>
    <w:rsid w:val="672D139B"/>
    <w:rsid w:val="677B47B7"/>
    <w:rsid w:val="67BD3248"/>
    <w:rsid w:val="67DE63FD"/>
    <w:rsid w:val="6824282D"/>
    <w:rsid w:val="682C2920"/>
    <w:rsid w:val="688E622F"/>
    <w:rsid w:val="69A267ED"/>
    <w:rsid w:val="6A06776F"/>
    <w:rsid w:val="6A0C4B00"/>
    <w:rsid w:val="6A222CC8"/>
    <w:rsid w:val="6A4F6738"/>
    <w:rsid w:val="6A663F5D"/>
    <w:rsid w:val="6AC67AF8"/>
    <w:rsid w:val="6BE91CF0"/>
    <w:rsid w:val="6C8D2FC3"/>
    <w:rsid w:val="6D3665DD"/>
    <w:rsid w:val="6DEA1D4F"/>
    <w:rsid w:val="6E145A9C"/>
    <w:rsid w:val="6F7C42AB"/>
    <w:rsid w:val="702009BA"/>
    <w:rsid w:val="719F1934"/>
    <w:rsid w:val="71E03B95"/>
    <w:rsid w:val="72077373"/>
    <w:rsid w:val="736831B4"/>
    <w:rsid w:val="74AD2519"/>
    <w:rsid w:val="74F248EA"/>
    <w:rsid w:val="74FF4332"/>
    <w:rsid w:val="751951CF"/>
    <w:rsid w:val="757F7FD4"/>
    <w:rsid w:val="768E63CB"/>
    <w:rsid w:val="76C26935"/>
    <w:rsid w:val="76D11CFE"/>
    <w:rsid w:val="76EF1088"/>
    <w:rsid w:val="787C50D8"/>
    <w:rsid w:val="78966FC6"/>
    <w:rsid w:val="79E01217"/>
    <w:rsid w:val="7AFA47DC"/>
    <w:rsid w:val="7AFD0C45"/>
    <w:rsid w:val="7B1A7159"/>
    <w:rsid w:val="7CCA2698"/>
    <w:rsid w:val="7D304D71"/>
    <w:rsid w:val="7E205D88"/>
    <w:rsid w:val="7E27326C"/>
    <w:rsid w:val="7F9015DF"/>
    <w:rsid w:val="7F921128"/>
    <w:rsid w:val="7FA6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860" w:firstLineChars="20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outlineLvl w:val="0"/>
    </w:pPr>
    <w:rPr>
      <w:b/>
      <w:kern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outlineLvl w:val="1"/>
    </w:pPr>
    <w:rPr>
      <w:rFonts w:ascii="Arial" w:hAnsi="Arial"/>
      <w:b/>
    </w:rPr>
  </w:style>
  <w:style w:type="paragraph" w:styleId="5">
    <w:name w:val="heading 3"/>
    <w:basedOn w:val="1"/>
    <w:next w:val="1"/>
    <w:link w:val="27"/>
    <w:autoRedefine/>
    <w:unhideWhenUsed/>
    <w:qFormat/>
    <w:uiPriority w:val="0"/>
    <w:pPr>
      <w:keepNext/>
      <w:keepLines/>
      <w:outlineLvl w:val="2"/>
    </w:pPr>
    <w:rPr>
      <w:b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420" w:firstLineChars="200"/>
    </w:pPr>
  </w:style>
  <w:style w:type="paragraph" w:styleId="6">
    <w:name w:val="Normal Indent"/>
    <w:basedOn w:val="1"/>
    <w:autoRedefine/>
    <w:qFormat/>
    <w:uiPriority w:val="0"/>
    <w:pPr>
      <w:spacing w:line="240" w:lineRule="auto"/>
      <w:ind w:firstLine="534" w:firstLineChars="192"/>
    </w:pPr>
    <w:rPr>
      <w:rFonts w:ascii="仿宋_GB2312" w:hAnsi="仿宋"/>
      <w:kern w:val="0"/>
      <w:lang w:bidi="en-US"/>
    </w:rPr>
  </w:style>
  <w:style w:type="paragraph" w:styleId="7">
    <w:name w:val="caption"/>
    <w:basedOn w:val="1"/>
    <w:next w:val="1"/>
    <w:autoRedefine/>
    <w:semiHidden/>
    <w:unhideWhenUsed/>
    <w:qFormat/>
    <w:uiPriority w:val="0"/>
    <w:pPr>
      <w:spacing w:line="240" w:lineRule="auto"/>
      <w:ind w:firstLine="0" w:firstLineChars="0"/>
    </w:pPr>
    <w:rPr>
      <w:rFonts w:ascii="Arial" w:hAnsi="Arial" w:eastAsia="黑体"/>
      <w:sz w:val="20"/>
    </w:r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next w:val="10"/>
    <w:link w:val="30"/>
    <w:autoRedefine/>
    <w:qFormat/>
    <w:uiPriority w:val="1"/>
    <w:pPr>
      <w:ind w:firstLine="0" w:firstLineChars="0"/>
    </w:pPr>
    <w:rPr>
      <w:rFonts w:hAnsi="Times New Roman" w:eastAsia="宋体"/>
      <w:kern w:val="0"/>
      <w:sz w:val="28"/>
      <w:szCs w:val="28"/>
    </w:rPr>
  </w:style>
  <w:style w:type="paragraph" w:styleId="10">
    <w:name w:val="Title"/>
    <w:basedOn w:val="1"/>
    <w:next w:val="1"/>
    <w:link w:val="29"/>
    <w:autoRedefine/>
    <w:qFormat/>
    <w:uiPriority w:val="0"/>
    <w:pPr>
      <w:widowControl/>
      <w:spacing w:line="480" w:lineRule="auto"/>
      <w:ind w:firstLine="0" w:firstLineChars="0"/>
    </w:pPr>
    <w:rPr>
      <w:rFonts w:hAnsi="Times New Roman"/>
    </w:rPr>
  </w:style>
  <w:style w:type="paragraph" w:styleId="11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link w:val="26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3">
    <w:name w:val="toc 1"/>
    <w:basedOn w:val="1"/>
    <w:next w:val="1"/>
    <w:autoRedefine/>
    <w:unhideWhenUsed/>
    <w:qFormat/>
    <w:uiPriority w:val="39"/>
    <w:pPr>
      <w:ind w:firstLine="640"/>
    </w:pPr>
    <w:rPr>
      <w:rFonts w:ascii="黑体" w:hAnsi="黑体" w:eastAsia="黑体"/>
    </w:rPr>
  </w:style>
  <w:style w:type="paragraph" w:styleId="14">
    <w:name w:val="Subtitle"/>
    <w:basedOn w:val="1"/>
    <w:link w:val="28"/>
    <w:autoRedefine/>
    <w:qFormat/>
    <w:uiPriority w:val="99"/>
    <w:pPr>
      <w:kinsoku w:val="0"/>
      <w:autoSpaceDE w:val="0"/>
      <w:autoSpaceDN w:val="0"/>
      <w:adjustRightInd w:val="0"/>
      <w:snapToGrid w:val="0"/>
      <w:spacing w:line="700" w:lineRule="exact"/>
      <w:ind w:firstLine="723"/>
      <w:jc w:val="center"/>
      <w:textAlignment w:val="baseline"/>
    </w:pPr>
    <w:rPr>
      <w:rFonts w:ascii="微软雅黑" w:hAnsi="华文中宋" w:eastAsia="微软雅黑" w:cs="Times New Roman"/>
      <w:bCs/>
      <w:color w:val="000000"/>
      <w:kern w:val="0"/>
      <w:sz w:val="44"/>
      <w:szCs w:val="44"/>
    </w:rPr>
  </w:style>
  <w:style w:type="paragraph" w:styleId="15">
    <w:name w:val="footnote text"/>
    <w:basedOn w:val="1"/>
    <w:autoRedefine/>
    <w:qFormat/>
    <w:uiPriority w:val="0"/>
    <w:pPr>
      <w:snapToGrid w:val="0"/>
      <w:jc w:val="left"/>
    </w:pPr>
    <w:rPr>
      <w:sz w:val="18"/>
    </w:rPr>
  </w:style>
  <w:style w:type="paragraph" w:styleId="16">
    <w:name w:val="toc 2"/>
    <w:basedOn w:val="1"/>
    <w:next w:val="1"/>
    <w:autoRedefine/>
    <w:qFormat/>
    <w:uiPriority w:val="39"/>
    <w:pPr>
      <w:ind w:left="420" w:leftChars="200"/>
    </w:pPr>
  </w:style>
  <w:style w:type="table" w:styleId="18">
    <w:name w:val="Table Grid"/>
    <w:basedOn w:val="17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Emphasis"/>
    <w:basedOn w:val="19"/>
    <w:autoRedefine/>
    <w:qFormat/>
    <w:uiPriority w:val="0"/>
    <w:rPr>
      <w:i/>
    </w:rPr>
  </w:style>
  <w:style w:type="character" w:styleId="21">
    <w:name w:val="Hyperlink"/>
    <w:basedOn w:val="1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2">
    <w:name w:val="footnote reference"/>
    <w:basedOn w:val="19"/>
    <w:autoRedefine/>
    <w:qFormat/>
    <w:uiPriority w:val="0"/>
    <w:rPr>
      <w:vertAlign w:val="superscript"/>
    </w:rPr>
  </w:style>
  <w:style w:type="paragraph" w:customStyle="1" w:styleId="23">
    <w:name w:val="正文文本1"/>
    <w:basedOn w:val="1"/>
    <w:autoRedefine/>
    <w:qFormat/>
    <w:uiPriority w:val="0"/>
    <w:pPr>
      <w:spacing w:line="560" w:lineRule="exact"/>
    </w:pPr>
    <w:rPr>
      <w:rFonts w:ascii="Times New Roman" w:hAnsi="Times New Roman" w:eastAsia="宋体" w:cs="Times New Roman"/>
    </w:rPr>
  </w:style>
  <w:style w:type="paragraph" w:customStyle="1" w:styleId="24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5">
    <w:name w:val="WPSOffice手动目录 2"/>
    <w:autoRedefine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6">
    <w:name w:val="页眉 字符"/>
    <w:basedOn w:val="19"/>
    <w:link w:val="12"/>
    <w:autoRedefine/>
    <w:qFormat/>
    <w:uiPriority w:val="0"/>
    <w:rPr>
      <w:rFonts w:hint="default" w:ascii="Calibri" w:hAnsi="Calibri" w:eastAsia="宋体" w:cs="Times New Roman"/>
      <w:kern w:val="2"/>
      <w:sz w:val="18"/>
      <w:szCs w:val="18"/>
    </w:rPr>
  </w:style>
  <w:style w:type="character" w:customStyle="1" w:styleId="27">
    <w:name w:val="标题 3 字符"/>
    <w:basedOn w:val="19"/>
    <w:link w:val="5"/>
    <w:autoRedefine/>
    <w:qFormat/>
    <w:uiPriority w:val="0"/>
    <w:rPr>
      <w:rFonts w:hint="default" w:ascii="Calibri" w:hAnsi="Calibri" w:eastAsia="宋体" w:cs="Times New Roman"/>
      <w:b/>
      <w:bCs/>
      <w:kern w:val="2"/>
      <w:sz w:val="32"/>
      <w:szCs w:val="32"/>
    </w:rPr>
  </w:style>
  <w:style w:type="character" w:customStyle="1" w:styleId="28">
    <w:name w:val="副标题 字符"/>
    <w:basedOn w:val="19"/>
    <w:link w:val="14"/>
    <w:autoRedefine/>
    <w:qFormat/>
    <w:uiPriority w:val="99"/>
    <w:rPr>
      <w:rFonts w:ascii="微软雅黑" w:hAnsi="华文中宋" w:eastAsia="微软雅黑"/>
      <w:bCs/>
      <w:color w:val="000000"/>
      <w:sz w:val="44"/>
      <w:szCs w:val="44"/>
    </w:rPr>
  </w:style>
  <w:style w:type="character" w:customStyle="1" w:styleId="29">
    <w:name w:val="标题 字符"/>
    <w:basedOn w:val="19"/>
    <w:link w:val="10"/>
    <w:autoRedefine/>
    <w:qFormat/>
    <w:uiPriority w:val="0"/>
    <w:rPr>
      <w:rFonts w:ascii="微软雅黑" w:eastAsia="微软雅黑"/>
      <w:bCs/>
      <w:color w:val="000000"/>
      <w:sz w:val="44"/>
      <w:szCs w:val="44"/>
    </w:rPr>
  </w:style>
  <w:style w:type="character" w:customStyle="1" w:styleId="30">
    <w:name w:val="正文文本 字符"/>
    <w:basedOn w:val="19"/>
    <w:link w:val="9"/>
    <w:autoRedefine/>
    <w:qFormat/>
    <w:uiPriority w:val="1"/>
    <w:rPr>
      <w:rFonts w:asciiTheme="minorHAnsi" w:cstheme="minorBidi"/>
      <w:sz w:val="28"/>
      <w:szCs w:val="28"/>
    </w:rPr>
  </w:style>
  <w:style w:type="character" w:customStyle="1" w:styleId="31">
    <w:name w:val="font11"/>
    <w:basedOn w:val="19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2">
    <w:name w:val="font31"/>
    <w:basedOn w:val="19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72</Pages>
  <Words>28396</Words>
  <Characters>32430</Characters>
  <Lines>259</Lines>
  <Paragraphs>72</Paragraphs>
  <TotalTime>0</TotalTime>
  <ScaleCrop>false</ScaleCrop>
  <LinksUpToDate>false</LinksUpToDate>
  <CharactersWithSpaces>32571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2023-10-23T09:04:00Z</dcterms:created>
  <dc:creator>宁宁</dc:creator>
  <cp:lastModifiedBy>甘清</cp:lastModifiedBy>
  <cp:lastPrinted>2024-03-28T01:44:20Z</cp:lastPrinted>
  <dcterms:modified xsi:type="dcterms:W3CDTF">2024-03-28T01:44:37Z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FC5595A5A01F477184AA7597EF6BBD3A_13</vt:lpwstr>
  </property>
</Properties>
</file>