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35674">
      <w:pPr>
        <w:widowControl w:val="0"/>
        <w:wordWrap/>
        <w:adjustRightInd/>
        <w:snapToGrid/>
        <w:spacing w:line="68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HSDR-2024-00005</w:t>
      </w:r>
    </w:p>
    <w:p w14:paraId="27BAF540">
      <w:pPr>
        <w:widowControl w:val="0"/>
        <w:wordWrap/>
        <w:adjustRightInd/>
        <w:snapToGrid/>
        <w:spacing w:line="68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 w14:paraId="16136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  <w:t>益阳市赫山区人民政府</w:t>
      </w:r>
    </w:p>
    <w:p w14:paraId="0E83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  <w:lang w:val="en-US" w:eastAsia="zh-CN"/>
        </w:rPr>
        <w:t>全面</w:t>
      </w: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  <w:t>禁止露天焚烧农作物秸秆的通告</w:t>
      </w:r>
    </w:p>
    <w:p w14:paraId="504AEE25">
      <w:pPr>
        <w:spacing w:before="318" w:beforeLines="100" w:line="620" w:lineRule="exact"/>
        <w:jc w:val="center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益赫政通〔20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z w:val="32"/>
          <w:szCs w:val="32"/>
        </w:rPr>
        <w:t>〕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1</w:t>
      </w:r>
      <w:r>
        <w:rPr>
          <w:rFonts w:hint="eastAsia" w:ascii="楷体_GB2312" w:eastAsia="楷体_GB2312"/>
          <w:sz w:val="32"/>
          <w:szCs w:val="32"/>
        </w:rPr>
        <w:t>号</w:t>
      </w:r>
    </w:p>
    <w:p w14:paraId="7DA49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sz w:val="32"/>
          <w:szCs w:val="32"/>
        </w:rPr>
      </w:pPr>
    </w:p>
    <w:p w14:paraId="79771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为切实加强秸秆露天禁烧工作，减少大气污染，进一步改善城市环境空气质量，保障人民群众身体健康，根据《中华人民共和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国大气污染防治法》《湖南省大气污染防治条例》等规定，结合我区实际，现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就全面禁止露天焚烧农作物秸秆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有关事项通告如下：</w:t>
      </w:r>
    </w:p>
    <w:p w14:paraId="0AD30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一、禁止露天焚烧农作物秸秆种类</w:t>
      </w:r>
    </w:p>
    <w:p w14:paraId="2B2AA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禁止露天焚烧秸秆种类包括水稻、玉米、油菜、大豆、甘蔗及其他农作物收获籽实后的剩余物质。</w:t>
      </w:r>
    </w:p>
    <w:p w14:paraId="76A40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二、禁止露天焚烧农作物秸秆区域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和</w:t>
      </w:r>
      <w:r>
        <w:rPr>
          <w:rFonts w:hint="eastAsia" w:ascii="黑体" w:hAnsi="黑体" w:eastAsia="黑体" w:cs="黑体"/>
          <w:spacing w:val="0"/>
          <w:sz w:val="32"/>
          <w:szCs w:val="32"/>
        </w:rPr>
        <w:t>时段</w:t>
      </w:r>
    </w:p>
    <w:p w14:paraId="79E3B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禁止露天焚烧秸秆区域为赫山区本行政区域内，禁烧时段为全时段。病虫害农作物秸秆经区农业农村主管部门进行检疫后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认为</w:t>
      </w:r>
      <w:r>
        <w:rPr>
          <w:rFonts w:hint="eastAsia" w:ascii="仿宋" w:hAnsi="仿宋" w:eastAsia="仿宋" w:cs="仿宋"/>
          <w:spacing w:val="0"/>
          <w:sz w:val="32"/>
          <w:szCs w:val="32"/>
        </w:rPr>
        <w:t>确需露天焚烧的，由乡镇（街道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园区</w:t>
      </w:r>
      <w:r>
        <w:rPr>
          <w:rFonts w:hint="eastAsia" w:ascii="仿宋" w:hAnsi="仿宋" w:eastAsia="仿宋" w:cs="仿宋"/>
          <w:spacing w:val="0"/>
          <w:sz w:val="32"/>
          <w:szCs w:val="32"/>
        </w:rPr>
        <w:t>）提出申请，经市农业农村部门核对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32"/>
          <w:szCs w:val="32"/>
        </w:rPr>
        <w:t>市蓝天办审批，报省生态环境厅、省农业农村厅备案后，在区农业农村部门的指导监督下，由乡镇（街道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园区</w:t>
      </w:r>
      <w:r>
        <w:rPr>
          <w:rFonts w:hint="eastAsia" w:ascii="仿宋" w:hAnsi="仿宋" w:eastAsia="仿宋" w:cs="仿宋"/>
          <w:spacing w:val="0"/>
          <w:sz w:val="32"/>
          <w:szCs w:val="32"/>
        </w:rPr>
        <w:t>）组织就地焚烧。</w:t>
      </w:r>
    </w:p>
    <w:p w14:paraId="5059E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三、禁烧要求</w:t>
      </w:r>
    </w:p>
    <w:p w14:paraId="77C47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实行强制性禁烧政策和管理措施，任何时间、任何气象条件及空气质量状况下，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均</w:t>
      </w:r>
      <w:r>
        <w:rPr>
          <w:rFonts w:hint="eastAsia" w:ascii="仿宋" w:hAnsi="仿宋" w:eastAsia="仿宋" w:cs="仿宋"/>
          <w:spacing w:val="0"/>
          <w:sz w:val="32"/>
          <w:szCs w:val="32"/>
        </w:rPr>
        <w:t>不允许秸秆露天焚烧。</w:t>
      </w:r>
      <w:bookmarkStart w:id="0" w:name="_GoBack"/>
      <w:bookmarkEnd w:id="0"/>
      <w:r>
        <w:rPr>
          <w:rFonts w:hint="eastAsia" w:ascii="仿宋" w:hAnsi="仿宋" w:eastAsia="仿宋" w:cs="仿宋"/>
          <w:spacing w:val="0"/>
          <w:sz w:val="32"/>
          <w:szCs w:val="32"/>
        </w:rPr>
        <w:t>各乡镇（街道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园区</w:t>
      </w:r>
      <w:r>
        <w:rPr>
          <w:rFonts w:hint="eastAsia" w:ascii="仿宋" w:hAnsi="仿宋" w:eastAsia="仿宋" w:cs="仿宋"/>
          <w:spacing w:val="0"/>
          <w:sz w:val="32"/>
          <w:szCs w:val="32"/>
        </w:rPr>
        <w:t>）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要</w:t>
      </w:r>
      <w:r>
        <w:rPr>
          <w:rFonts w:hint="eastAsia" w:ascii="仿宋" w:hAnsi="仿宋" w:eastAsia="仿宋" w:cs="仿宋"/>
          <w:spacing w:val="0"/>
          <w:sz w:val="32"/>
          <w:szCs w:val="32"/>
        </w:rPr>
        <w:t>明确禁烧管控要求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实现宣传全覆盖、无死角</w:t>
      </w:r>
      <w:r>
        <w:rPr>
          <w:rFonts w:hint="eastAsia" w:ascii="仿宋" w:hAnsi="仿宋" w:eastAsia="仿宋" w:cs="仿宋"/>
          <w:spacing w:val="0"/>
          <w:sz w:val="32"/>
          <w:szCs w:val="32"/>
        </w:rPr>
        <w:t>。</w:t>
      </w:r>
    </w:p>
    <w:p w14:paraId="17DE4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pacing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四、处罚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措施</w:t>
      </w:r>
    </w:p>
    <w:p w14:paraId="11069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违反本通告规定，露天焚烧秸秆、落叶等产生烟尘污染物的，由监督管理部门依据《中华人民共和国大气污染防治法》第一百一十九条规定责令改正，并可以处五百元以上二千元以下的罚款。</w:t>
      </w:r>
    </w:p>
    <w:p w14:paraId="5BB5C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五、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通告</w:t>
      </w:r>
      <w:r>
        <w:rPr>
          <w:rFonts w:hint="eastAsia" w:ascii="黑体" w:hAnsi="黑体" w:eastAsia="黑体" w:cs="黑体"/>
          <w:spacing w:val="0"/>
          <w:sz w:val="32"/>
          <w:szCs w:val="32"/>
        </w:rPr>
        <w:t>实施</w:t>
      </w:r>
    </w:p>
    <w:p w14:paraId="59DD4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根据</w:t>
      </w:r>
      <w:r>
        <w:rPr>
          <w:rFonts w:hint="eastAsia" w:ascii="仿宋" w:hAnsi="仿宋" w:eastAsia="仿宋" w:cs="仿宋"/>
          <w:spacing w:val="0"/>
          <w:sz w:val="32"/>
          <w:szCs w:val="32"/>
        </w:rPr>
        <w:t>属地管理原则，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本通告</w:t>
      </w:r>
      <w:r>
        <w:rPr>
          <w:rFonts w:hint="eastAsia" w:ascii="仿宋" w:hAnsi="仿宋" w:eastAsia="仿宋" w:cs="仿宋"/>
          <w:spacing w:val="0"/>
          <w:sz w:val="32"/>
          <w:szCs w:val="32"/>
        </w:rPr>
        <w:t>由区人民政府组织辖区内各乡镇（街道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园区</w:t>
      </w:r>
      <w:r>
        <w:rPr>
          <w:rFonts w:hint="eastAsia" w:ascii="仿宋" w:hAnsi="仿宋" w:eastAsia="仿宋" w:cs="仿宋"/>
          <w:spacing w:val="0"/>
          <w:sz w:val="32"/>
          <w:szCs w:val="32"/>
        </w:rPr>
        <w:t>）、村（社区）具体实施。</w:t>
      </w:r>
    </w:p>
    <w:p w14:paraId="4F7D4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本通告自印发之日起施行。</w:t>
      </w:r>
    </w:p>
    <w:p w14:paraId="09916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</w:p>
    <w:p w14:paraId="23632FA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</w:p>
    <w:p w14:paraId="0B182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3840" w:firstLineChars="1200"/>
        <w:jc w:val="center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益阳市赫山区人民政府</w:t>
      </w:r>
    </w:p>
    <w:p w14:paraId="6EE3583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3840" w:firstLineChars="1200"/>
        <w:jc w:val="center"/>
        <w:textAlignment w:val="auto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2024年8月</w:t>
      </w:r>
      <w:r>
        <w:rPr>
          <w:rFonts w:hint="eastAsia" w:ascii="仿宋" w:hAnsi="仿宋" w:eastAsia="仿宋" w:cs="仿宋"/>
          <w:spacing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pacing w:val="0"/>
          <w:sz w:val="32"/>
          <w:szCs w:val="32"/>
        </w:rPr>
        <w:t>日</w:t>
      </w:r>
    </w:p>
    <w:p w14:paraId="3E5E568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jc w:val="both"/>
        <w:textAlignment w:val="auto"/>
        <w:rPr>
          <w:spacing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863A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AEA43A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AEA43A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dit="readOnly" w:enforcement="1" w:cryptProviderType="rsaFull" w:cryptAlgorithmClass="hash" w:cryptAlgorithmType="typeAny" w:cryptAlgorithmSid="4" w:cryptSpinCount="0" w:hash="vFk5hpnC0n05KCRIkmbkdTJQr0c=" w:salt="iCML9hobTfu0gFf24/qJTw==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YTM2Njg0M2U1YzU2ZTljNTc5ZDFkMTk1M2I4ODMifQ=="/>
    <w:docVar w:name="KSO_WPS_MARK_KEY" w:val="66f96b57-820b-46bd-a851-8165068e7988"/>
  </w:docVars>
  <w:rsids>
    <w:rsidRoot w:val="00E74AF8"/>
    <w:rsid w:val="008A2290"/>
    <w:rsid w:val="00E74AF8"/>
    <w:rsid w:val="00F26764"/>
    <w:rsid w:val="04365896"/>
    <w:rsid w:val="051772F7"/>
    <w:rsid w:val="051A6695"/>
    <w:rsid w:val="061B7550"/>
    <w:rsid w:val="0F07747A"/>
    <w:rsid w:val="10195015"/>
    <w:rsid w:val="12810624"/>
    <w:rsid w:val="13762214"/>
    <w:rsid w:val="1A7760C9"/>
    <w:rsid w:val="1AF731C9"/>
    <w:rsid w:val="1F586DE2"/>
    <w:rsid w:val="23865A57"/>
    <w:rsid w:val="2B991697"/>
    <w:rsid w:val="2E446067"/>
    <w:rsid w:val="332A1A87"/>
    <w:rsid w:val="3A4313C5"/>
    <w:rsid w:val="3AEC0C8B"/>
    <w:rsid w:val="3D9409D9"/>
    <w:rsid w:val="413D05B2"/>
    <w:rsid w:val="48846089"/>
    <w:rsid w:val="49123767"/>
    <w:rsid w:val="492E778A"/>
    <w:rsid w:val="4CBD32A9"/>
    <w:rsid w:val="4DBE31E3"/>
    <w:rsid w:val="52245918"/>
    <w:rsid w:val="54DA5129"/>
    <w:rsid w:val="557F74F4"/>
    <w:rsid w:val="59141771"/>
    <w:rsid w:val="5A3973E2"/>
    <w:rsid w:val="5CB01A16"/>
    <w:rsid w:val="5D6D4FFA"/>
    <w:rsid w:val="5ECD4733"/>
    <w:rsid w:val="5F3E69CE"/>
    <w:rsid w:val="60857233"/>
    <w:rsid w:val="622D57C0"/>
    <w:rsid w:val="63D710D9"/>
    <w:rsid w:val="64BF299F"/>
    <w:rsid w:val="66324943"/>
    <w:rsid w:val="6B682A1D"/>
    <w:rsid w:val="6C28343B"/>
    <w:rsid w:val="704700FE"/>
    <w:rsid w:val="72A34370"/>
    <w:rsid w:val="752B5EDE"/>
    <w:rsid w:val="76FA74A7"/>
    <w:rsid w:val="77D017E3"/>
    <w:rsid w:val="7C337884"/>
    <w:rsid w:val="DF779CDD"/>
    <w:rsid w:val="FFEFF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1"/>
    <w:qFormat/>
    <w:uiPriority w:val="0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oc 1"/>
    <w:next w:val="1"/>
    <w:qFormat/>
    <w:uiPriority w:val="0"/>
    <w:pPr>
      <w:spacing w:line="100" w:lineRule="atLeast"/>
    </w:pPr>
    <w:rPr>
      <w:rFonts w:ascii="宋体" w:hAnsi="宋体" w:eastAsia="宋体" w:cs="Times New Roman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列出段落1"/>
    <w:qFormat/>
    <w:uiPriority w:val="0"/>
    <w:pPr>
      <w:adjustRightInd w:val="0"/>
      <w:snapToGrid w:val="0"/>
      <w:spacing w:after="200" w:line="100" w:lineRule="atLeast"/>
      <w:ind w:firstLine="42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10">
    <w:name w:val="_Style 1"/>
    <w:qFormat/>
    <w:uiPriority w:val="0"/>
    <w:pPr>
      <w:widowControl w:val="0"/>
      <w:spacing w:line="481" w:lineRule="atLeast"/>
      <w:ind w:firstLine="623"/>
      <w:jc w:val="both"/>
      <w:textAlignment w:val="baseline"/>
    </w:pPr>
    <w:rPr>
      <w:rFonts w:ascii="Times New Roman" w:hAnsi="Times New Roman" w:eastAsia="仿宋_GB2312" w:cs="Times New Roman"/>
      <w:color w:val="000000"/>
      <w:kern w:val="2"/>
      <w:sz w:val="3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645</Characters>
  <Lines>5</Lines>
  <Paragraphs>1</Paragraphs>
  <TotalTime>2</TotalTime>
  <ScaleCrop>false</ScaleCrop>
  <LinksUpToDate>false</LinksUpToDate>
  <CharactersWithSpaces>645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2024-08-29T02:30:00Z</dcterms:created>
  <dc:creator>DTHlenovo</dc:creator>
  <cp:lastModifiedBy>甘清</cp:lastModifiedBy>
  <cp:lastPrinted>2024-09-11T09:14:55Z</cp:lastPrinted>
  <dcterms:modified xsi:type="dcterms:W3CDTF">2024-09-11T09:15:12Z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9CDF52FA14DB40D2B42C046DB1700642_13</vt:lpwstr>
  </property>
</Properties>
</file>