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p>
    <w:p>
      <w:pPr>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rPr>
        <w:t>益阳市赫山区民政局2021年</w:t>
      </w:r>
      <w:r>
        <w:rPr>
          <w:rFonts w:hint="eastAsia" w:ascii="黑体" w:hAnsi="黑体" w:eastAsia="黑体" w:cs="黑体"/>
          <w:sz w:val="44"/>
          <w:szCs w:val="44"/>
          <w:lang w:val="en-US" w:eastAsia="zh-CN"/>
        </w:rPr>
        <w:t>度</w:t>
      </w:r>
    </w:p>
    <w:p>
      <w:pPr>
        <w:jc w:val="center"/>
        <w:rPr>
          <w:rFonts w:ascii="黑体" w:hAnsi="黑体" w:eastAsia="黑体" w:cs="黑体"/>
          <w:sz w:val="44"/>
          <w:szCs w:val="44"/>
        </w:rPr>
      </w:pPr>
      <w:r>
        <w:rPr>
          <w:rFonts w:hint="eastAsia" w:ascii="黑体" w:hAnsi="黑体" w:eastAsia="黑体" w:cs="黑体"/>
          <w:sz w:val="44"/>
          <w:szCs w:val="44"/>
        </w:rPr>
        <w:t>整体支出绩效评价报告</w:t>
      </w:r>
    </w:p>
    <w:p>
      <w:pPr>
        <w:pStyle w:val="2"/>
        <w:rPr>
          <w:sz w:val="36"/>
          <w:szCs w:val="36"/>
        </w:rPr>
      </w:pPr>
    </w:p>
    <w:p>
      <w:pPr>
        <w:spacing w:line="600" w:lineRule="exact"/>
        <w:ind w:firstLine="600" w:firstLineChars="200"/>
        <w:rPr>
          <w:rFonts w:cs="仿宋" w:asciiTheme="minorEastAsia" w:hAnsiTheme="minorEastAsia"/>
          <w:color w:val="000000" w:themeColor="text1"/>
          <w:sz w:val="32"/>
          <w:szCs w:val="32"/>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为了全面实施财政资金预算绩效管理，切实提高财政资金使用效益，根据《赫山区财政局关于做好2021年度绩效自评工作的通知》（益赫财绩〔2022〕1）号文件精神，结合实际，现将益阳市赫山区民政局2021年度整体支出绩效评价报告如下：</w:t>
      </w:r>
    </w:p>
    <w:p>
      <w:pPr>
        <w:spacing w:line="600" w:lineRule="exact"/>
        <w:ind w:firstLine="60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一、单位基本情况</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（一）机构设置和人员编制</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赫山区民政局内设办公室(政策法规股)、纪检监察室、规划财务股、行政审批股、社会组织管理股、养老服务和儿童福利股、社会救助和社会事务股、基层政权和社区治理股（区划地名、老区办）、慈善事业促进和社会工作股等9个股室，下设区城乡低收入家庭认定中心(副科级事业单位)、区社会福利中心、区慈善募捐事务中心、区婚姻登记中心、区福利彩票发行中心、区救助管理站、区儿童福利院、区殡葬执法大队等8个局属事业单位。截至2021年年底，在编在岗人员51人，其中：行政编制人员13人，事业编制人员38人。</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（二）主要职能职责</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赫山区民政局是区人民政府负责社会行政事务的职能部门，其主要职能职责是：拟订全区民政事业发展规划、制度、标准并组织实施；依法对社会组织进行登记管理、年度检查和执法监督，指导社会组织党建工作；牵头拟订全区社会救助规划、制度、标准，统筹推进社会救助体系建设，负责城乡居民最低生活保障、特困人员救助供养、临时救助、生活无着流浪乞讨人员救助工作；拟订全区城乡基层群众自治建设和社区治理制度，指导城乡社区治理体系、服务体系和治理能力建设，提出加强和改进城乡基层政权建设的建议，推动基层民主政治建设；拟订全区行政区划管理和行政区域界线、地名管理制度，负责全区乡镇、村（社区）行政区划设立、命名、撤销、变更和政府驻地迁移审核申报工作，组织、实施全区行政区域界线的勘定和管理工作，调处行政区域边界争议，负责地名管理工作；承担全区婚姻登记管理工作，推进婚俗改革；拟订全区殡葬管理制度、服务规范并组织实施，承办公墓报批手续，负责殡葬管理工作，推进殡葬改革，查处违法丧葬行为，指导殡葬事业单位的建设发展；拟订全区社会福利事业发展规划、制度和标准，拟订社会福利机构管理制度并监督实施，协助福利彩票管理工作；统筹推进、督促指导、监督管理养老服务工作，拟订城乡养老服务体系建设规划、制度、标准并组织实施，承担特殊困难老年人救助工作，协调推进农村留守老年人关爱服务工作；拟订全区儿童福利、孤弃儿童保障、儿童收养、儿童救助保护制度、标准并组织实施，健全农村留守儿童关爱服务体系和困境儿童保障制度，承办区内儿童收养登记工作；负责全区慈善事业的规划发展、管理、指导工作，指导社会捐助工作；拟订社会工作、志愿服务制度和标准，负责推进社会工作人才队伍建设和志愿者队伍建设；依法依规负责养老服务、社会福利、救助管理、殡葬服务机构的安全生产监督管理工作；完成区委区政府交办的其他任务。</w:t>
      </w:r>
    </w:p>
    <w:p>
      <w:pPr>
        <w:spacing w:line="600" w:lineRule="exact"/>
        <w:ind w:firstLine="60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二、一般公共预算支出情况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2021年，一般公共预算收入为17215.22万元。一是区财政局批复我局部门预算收入3800.85万元；二是年中部门预算调增13414.37万元。</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（一）基本支出情况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2021年，基本支出1033.08万元，其中：人员经费支出704.28万元，公用经费支出328.80万元。主要包括基本工资、津贴补贴、医保金、养老金、住房公积金等人员经费以及办公费、印刷费、水电费、办公设备购置、维修（护）费等日常公用经费，是为保障单位机构正常运转、完成日常工作任务而发生的各项支出。</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（二）项目支出情况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1.专项资金使用情况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2021年，专项资金支出16182.15万元，主要是：</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（1）其他民政管理事务支出355.52万元，主要用于五化民政、社区运转开支；</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（2）社会福利支出1349.90万元，主要用于发放孤儿和事实无人抚养儿童基本生活费、百岁老人长寿津贴、养老机构运转支出、公墓维护维修开支；</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（3）残疾人生活与护理补贴资金支出1060.28万元，主要用于发放困难残疾人生活补助和重度残疾人护理补助支出；</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（4）最低生活保障支出6763.13万元，主要用于发放农村和城市低保户的最低生活保障金；</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（5）临时救助支出2250.96万元，主要是用于为临时救助对象和流浪乞讨人员发放救助金或救济物资；</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（6）特困救助供养支出4367.09万元，主要是用于为特困人员发放基本生活补贴、照料护理服务支出和基本医疗服务支出；</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（7）其他农村生活救助支出35.27万元，主要用于精简退职人员生活支出；</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2.专项资金管理情况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为加强专项项目管理，提高专项资金的使用效率，2021年我们修改完善了《赫山区民政局财务管理制度》、《赫山区分散供养特困人员照料服务考评办法》等管理制度，对专项资金的管理、经费收支审批等均作了明确规定，严格实行一支笔审批制度、会审联签制度，切实加强了内部控制和监督；同时，坚持预决算公开，绩效评价公示，主动接受社会监督。</w:t>
      </w:r>
    </w:p>
    <w:p>
      <w:pPr>
        <w:spacing w:line="600" w:lineRule="exact"/>
        <w:ind w:firstLine="60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三、政府性基金预算支出情况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2021年，政府性基金预算收入397.00万元，政府性基金预算支出397.00万元，其中：</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1.城乡社区支出200.00万元，主要是用于社区运转经费；</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2.彩票公益金安排的支出197万元，主要用于支持养老服务、五化民政建设、社工站建设、社会工作和志愿服务等支出；</w:t>
      </w:r>
    </w:p>
    <w:p>
      <w:pPr>
        <w:spacing w:line="600" w:lineRule="exact"/>
        <w:ind w:firstLine="60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四、国有资本经营预算支出情况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本部门无国有资本经营预算。</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五、社会保险基金预算支出情况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本部门无社会保险基金预算。</w:t>
      </w:r>
    </w:p>
    <w:p>
      <w:pPr>
        <w:spacing w:line="600" w:lineRule="exact"/>
        <w:ind w:firstLine="60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六、部门整体支出绩效情况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2021年，全区民政干部努力践行“民政为民，民政爱民”理念，以五化民政建设建设为抓手，救助保障、殡葬改革、养老服务、真抓实干等任务出色完成，经验做法被人民日报、中国网、《中国社会报》等媒体60多次推介报道，赫山区基层治理全市考核第一、赫山区被评为“益阳市平安创建示范单位”、被省民政厅表彰为“2020年度全省五化民政建设先进单位”、被市民政局表彰为“民政统计工作优秀单位”。</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（一）民生保障精准有力</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紧紧围绕“两不愁三保障”要求，不断巩固脱贫攻坚成果，助力乡村振兴，做到科学救助，精准保障。2021年，扎实开展救助资金“一卡通”问题专项整治、社会救助兜底脱贫质量大排查、农村低保专项治理巩固提升行动，组织进行“党建+社会救助”改革创新试点，改革完善分散供养特困人员照料服务工作，不断完善急难救助制度，加强数据核对，做到精准保障，使每一分钱都花在刀刃上。2021年，新纳入城市低保309人、农村低保1266人、城市特困8人、农村特困157人，其中新纳入低收入家庭中的重残人员、重病患者805人。城乡特困人员基本生活标准分别达到9120元/年和5640元/年；农村低保标准4320元/年，全年月人均救助水平277元；城市低保标准580元/月，全年月人均救助水平387元。各项标准达到或超过省定标准，全市领先，有力保障了困难群众的基本生活。</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（二）养老服务规范有序</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全力抓好省政府真抓实干养老服务项目的创建，成立了专门工作领导小组，建成了20个综合性养老服务中心、40个城市社区养老服务机构建设，提质改造了泉交河、笔架山、岳家桥、会龙山、衡龙桥等5家农村敬老院，区社会福利中心“公建民营”正常运转，创建工作得到了省厅和市局高度认可。为全区22家公办养老机构发放运转经费96.10万元，为全区养老机构购买责任险和发放责任险补助26.00万元，发放养老机构运营和服务补贴184.98万元，为养老服务机构安全高效运转提供了经费保障；全力抓好了民政服务机构安全生产，做到管理到位、责任到位，疫情防控实现“零感染”“零疑似”，养老机构非法集资风险严格可控。</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（三)基层治理富有活力</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持续抓好基层公共服务（一门式）全覆盖工作，全面开展“寻找最美村规民约”活动，会龙山街道龙山港社区居民公约被省“金鹰报”推介报道，桃花仑街道铁铺岭社区居民公约被评为“湖南省第二批优秀村规民约（居民公约）”，会龙山街道龙山港社区“四红五民”社区工作法被评为湖南省第三批优秀社区工作法。按“好”字当头、“稳”字为先的原则，依法圆满完成了183个村（社区）村（居）民委员会换届选举。推进村（社区）工作事项“三个清单”准入制度落实，切实提升基层自治组织依法自治水平。扎实开展清理整治不规范地名工作，巴黎馨苑、东方维也纳、奥地利春天3个小区已全部完成清理整治工作。</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（四）慈善福利充满温度</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扎实开展“益行益善益老益小”活动，“关爱困境儿童”“四点半学校”“关爱特殊困难老年人”等项目成效明显，社会反响良好。加大社工站建设力度，打造了金银山街道、沧水铺镇2个五星级乡镇（街道）社工站，社工为12000余名人民群众提供专业服务。加大儿童关爱保护力度，办理收养登记7宗，为316名孤儿和事实无人抚养儿童购买意外伤害保险，发放生活补贴和孤儿“福彩圆梦”助学资金，为儿童健康成长保驾护航。</w:t>
      </w:r>
    </w:p>
    <w:p>
      <w:p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（五）社会服务优质高效</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加大社会组织管理力度，全区现有社会组织363家，对203家社会组织进行了年检，合格率100%。打击整治非法社会组织，扎实开展“僵尸型”社会组织的专项整治。扎实做好社会组织党建工作，将51家社会组织全部纳入党建工作范畴，已建立了12个党支部，对暂不符合建立党支部的38家社会组织，选派党建工作指导员13人。完成了区新救助站搬迁建设工作，扎实开展“夏季送清凉”“寒冬送温暖”和全国救助机构开放日活动，救助了400多名生活无着的流浪乞讨人员。办理婚姻登记8571对，登记合格率100%，成功举办“同心向党，为爱同行”婚姻登记主题日活动。全力推进殡葬改革和农村公益性公墓建设，全区20处农村公益性公墓建设任务，现已建成10处（含兰溪、八字哨、笔架山3处示范性公墓），5处已动工，还有5处正在办理报建手续。</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此次自评分97.5分，自评结论为“优”。</w:t>
      </w:r>
    </w:p>
    <w:p>
      <w:pPr>
        <w:spacing w:line="600" w:lineRule="exact"/>
        <w:ind w:firstLine="60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七、存在的问题及原因分析</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预算编制不够明确和细化，预算编制的合理性需要提高。</w:t>
      </w:r>
    </w:p>
    <w:p>
      <w:pPr>
        <w:spacing w:line="600" w:lineRule="exact"/>
        <w:ind w:firstLine="60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八、下一步改进措施</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进一步加强单位内部机构各股室的预算管理意识，严格按照预算编制的相关制度和要求进行预算编制，进一步提高预算编制的科学性、严谨性和可控性。</w:t>
      </w: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rPr>
                <w:rFonts w:ascii="宋体" w:cs="宋体"/>
              </w:rPr>
            </w:pPr>
            <w:r>
              <w:rPr>
                <w:rFonts w:hint="eastAsia" w:ascii="宋体" w:cs="宋体"/>
              </w:rPr>
              <w:t>97.5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40" w:lineRule="exact"/>
      </w:pPr>
    </w:p>
    <w:p>
      <w:pPr>
        <w:spacing w:line="40" w:lineRule="exact"/>
      </w:pP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pPr>
        <w:pStyle w:val="2"/>
        <w:rPr>
          <w:rFonts w:cs="仿宋" w:asciiTheme="minorEastAsia" w:hAnsiTheme="minorEastAsia"/>
          <w:bCs/>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8E2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2023-06-24T14:05:16Z</dcterms:created>
  <dc:creator>admin-3</dc:creator>
  <cp:lastModifiedBy>admin-3</cp:lastModifiedBy>
  <dcterms:modified xsi:type="dcterms:W3CDTF">2023-06-24T14:07:20Z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C9D2A5179D9649E5BA8F04A19ACBB376_12</vt:lpwstr>
  </property>
</Properties>
</file>