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600" w:lineRule="exact"/>
        <w:ind w:firstLine="640" w:firstLineChars="200"/>
        <w:rPr>
          <w:rFonts w:hint="eastAsia" w:ascii="Times New Roman" w:hAnsi="Times New Roman" w:eastAsia="仿宋_GB2312"/>
          <w:b/>
          <w:bCs/>
          <w:sz w:val="32"/>
          <w:szCs w:val="32"/>
        </w:rPr>
      </w:pPr>
      <w:bookmarkStart w:id="0" w:name="_GoBack"/>
      <w:bookmarkEnd w:id="0"/>
    </w:p>
    <w:p>
      <w:pPr>
        <w:adjustRightInd w:val="0"/>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年度</w:t>
      </w:r>
      <w:r>
        <w:rPr>
          <w:rFonts w:hint="eastAsia" w:ascii="方正小标宋简体" w:eastAsia="方正小标宋简体"/>
          <w:sz w:val="44"/>
          <w:szCs w:val="44"/>
          <w:lang w:eastAsia="zh-CN"/>
        </w:rPr>
        <w:t>赫山区残疾人联合会</w:t>
      </w:r>
      <w:r>
        <w:rPr>
          <w:rFonts w:hint="eastAsia" w:ascii="方正小标宋简体" w:eastAsia="方正小标宋简体"/>
          <w:sz w:val="44"/>
          <w:szCs w:val="44"/>
        </w:rPr>
        <w:t>整体支出</w:t>
      </w:r>
    </w:p>
    <w:p>
      <w:pPr>
        <w:adjustRightInd w:val="0"/>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绩效自评报告</w:t>
      </w:r>
    </w:p>
    <w:p>
      <w:pPr>
        <w:pStyle w:val="15"/>
        <w:spacing w:line="600" w:lineRule="exact"/>
        <w:ind w:firstLine="640" w:firstLineChars="200"/>
        <w:rPr>
          <w:rFonts w:hint="eastAsia" w:ascii="Times New Roman" w:hAnsi="Times New Roman" w:eastAsia="仿宋_GB2312"/>
          <w:b/>
          <w:bCs/>
          <w:sz w:val="32"/>
          <w:szCs w:val="32"/>
        </w:rPr>
      </w:pPr>
    </w:p>
    <w:p>
      <w:pPr>
        <w:adjustRightInd w:val="0"/>
        <w:snapToGrid w:val="0"/>
        <w:spacing w:line="600" w:lineRule="exact"/>
        <w:ind w:firstLine="640" w:firstLineChars="200"/>
        <w:rPr>
          <w:rFonts w:eastAsia="黑体"/>
          <w:sz w:val="32"/>
          <w:szCs w:val="32"/>
        </w:rPr>
      </w:pPr>
      <w:r>
        <w:rPr>
          <w:rFonts w:ascii="黑体" w:hAnsi="黑体" w:eastAsia="黑体"/>
          <w:sz w:val="32"/>
          <w:szCs w:val="32"/>
        </w:rPr>
        <w:t>一、部门（单位）基本情况</w:t>
      </w:r>
    </w:p>
    <w:p>
      <w:pPr>
        <w:numPr>
          <w:ilvl w:val="0"/>
          <w:numId w:val="0"/>
        </w:numPr>
        <w:ind w:leftChars="200" w:firstLine="640" w:firstLineChars="200"/>
        <w:jc w:val="left"/>
        <w:rPr>
          <w:rFonts w:hint="eastAsia" w:ascii="Times New Roman" w:hAnsi="Times New Roman" w:eastAsia="仿宋_GB2312" w:cs="黑体"/>
          <w:b w:val="0"/>
          <w:bCs w:val="0"/>
          <w:color w:val="000000"/>
          <w:kern w:val="0"/>
          <w:sz w:val="32"/>
          <w:szCs w:val="32"/>
          <w:lang w:val="en-US" w:eastAsia="zh-CN" w:bidi="ar-SA"/>
        </w:rPr>
      </w:pPr>
      <w:r>
        <w:rPr>
          <w:rFonts w:hint="eastAsia" w:ascii="Times New Roman" w:hAnsi="Times New Roman" w:eastAsia="仿宋_GB2312" w:cs="黑体"/>
          <w:b w:val="0"/>
          <w:bCs w:val="0"/>
          <w:color w:val="000000"/>
          <w:kern w:val="0"/>
          <w:sz w:val="32"/>
          <w:szCs w:val="32"/>
          <w:lang w:val="en-US" w:eastAsia="zh-CN" w:bidi="ar-SA"/>
        </w:rPr>
        <w:t>（一）机构设置及人员编制情况</w:t>
      </w:r>
    </w:p>
    <w:p>
      <w:pPr>
        <w:numPr>
          <w:ilvl w:val="0"/>
          <w:numId w:val="0"/>
        </w:numPr>
        <w:ind w:leftChars="200"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2023年我单位内设机构2个，为办公室、综合业务部，下设区残疾人就业服务中心。</w:t>
      </w:r>
    </w:p>
    <w:p>
      <w:pPr>
        <w:numPr>
          <w:ilvl w:val="0"/>
          <w:numId w:val="0"/>
        </w:numPr>
        <w:ind w:leftChars="200"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区残联2023年年末在职人员 22人，其中行政编制 5人，事业编制16人，退休人员 2人。</w:t>
      </w:r>
    </w:p>
    <w:p>
      <w:pPr>
        <w:numPr>
          <w:ilvl w:val="0"/>
          <w:numId w:val="0"/>
        </w:numPr>
        <w:ind w:firstLine="960" w:firstLineChars="300"/>
        <w:jc w:val="left"/>
        <w:rPr>
          <w:rFonts w:hint="eastAsia" w:ascii="Times New Roman" w:hAnsi="Times New Roman" w:eastAsia="仿宋_GB2312" w:cs="黑体"/>
          <w:b w:val="0"/>
          <w:bCs w:val="0"/>
          <w:color w:val="000000"/>
          <w:kern w:val="0"/>
          <w:sz w:val="32"/>
          <w:szCs w:val="32"/>
          <w:lang w:val="en-US" w:eastAsia="zh-CN" w:bidi="ar-SA"/>
        </w:rPr>
      </w:pPr>
      <w:r>
        <w:rPr>
          <w:rFonts w:hint="eastAsia" w:ascii="Times New Roman" w:hAnsi="Times New Roman" w:eastAsia="仿宋_GB2312" w:cs="黑体"/>
          <w:b w:val="0"/>
          <w:bCs w:val="0"/>
          <w:color w:val="000000"/>
          <w:kern w:val="0"/>
          <w:sz w:val="32"/>
          <w:szCs w:val="32"/>
          <w:lang w:val="en-US" w:eastAsia="zh-CN" w:bidi="ar-SA"/>
        </w:rPr>
        <w:t>（二）部门职能职责</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1.宣传贯彻《中华人民共和国残疾人保障法》，维护残疾人在政治、经济、文化、社会和家庭生活等方面同其他公民平等的权利，密切联系残疾人，听取残疾人意见，反映残疾人需求，全心全意为残疾人服务。</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2.弘扬人道主义，宣传残疾人事业，沟通政府、社会与残疾人之间的联系，动员社会理解、尊重、关心、帮助残疾人。</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3.团结、教育残疾人遵守法律，履行应尽义务，发扬乐观进取精神，自尊、自信、自强、自立，为全面建成小康社会，推进现代化建设贡献力量。</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4.协助政府研究、制定和实施残疾人事业的法规、政策、规划和计划，对有关业务领域进行指导和管理。</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5.开展残疾人康复、教育、劳动就业、扶贫、文化、体育、科研、用品用具供应、福利、社会服务、无障碍设施和残疾预防工作，创造良好的环境和条件，扶助残疾人平等参与社会生活。</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6.接待、处理残疾人来信来访。</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7.管理和发放《中华人民共和国残疾人证》。</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8.承担区政府残疾人工作委员会的日常工作，做好综合、组织、协调和服务工作。</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9.管理和指导各类残疾人群众组织，培养残疾人工作者，使残疾人在残疾人组织中更加活跃，残疾人组织在基层更加活跃，残疾人和残疾人组织在社会上更加活跃。</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10.承办区人民政府交办的其他事项。</w:t>
      </w:r>
    </w:p>
    <w:p>
      <w:pPr>
        <w:numPr>
          <w:ilvl w:val="0"/>
          <w:numId w:val="0"/>
        </w:numPr>
        <w:ind w:firstLine="960" w:firstLineChars="300"/>
        <w:jc w:val="left"/>
        <w:rPr>
          <w:rFonts w:hint="eastAsia" w:ascii="Times New Roman" w:hAnsi="Times New Roman" w:eastAsia="仿宋_GB2312" w:cs="黑体"/>
          <w:b w:val="0"/>
          <w:bCs w:val="0"/>
          <w:color w:val="000000"/>
          <w:kern w:val="0"/>
          <w:sz w:val="32"/>
          <w:szCs w:val="32"/>
          <w:lang w:val="en-US" w:eastAsia="zh-CN" w:bidi="ar-SA"/>
        </w:rPr>
      </w:pPr>
      <w:r>
        <w:rPr>
          <w:rFonts w:hint="eastAsia" w:ascii="Times New Roman" w:hAnsi="Times New Roman" w:eastAsia="仿宋_GB2312" w:cs="黑体"/>
          <w:b w:val="0"/>
          <w:bCs w:val="0"/>
          <w:color w:val="000000"/>
          <w:kern w:val="0"/>
          <w:sz w:val="32"/>
          <w:szCs w:val="32"/>
          <w:lang w:val="en-US" w:eastAsia="zh-CN" w:bidi="ar-SA"/>
        </w:rPr>
        <w:t>（三）财务情况及绩效目标</w:t>
      </w:r>
    </w:p>
    <w:p>
      <w:pPr>
        <w:numPr>
          <w:ilvl w:val="0"/>
          <w:numId w:val="0"/>
        </w:numPr>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1、财务情况：2023年年初收入预算229.99万元，其中：一般公共预算拨款222.58万元，占96.78%，其他收入7.41万元，占0.32%；本年度年初基本支出预算220.99万元，其中按支出经济分类科目：工资福利支出206.75万元，商品和服务支出14.24万元；项目支出预算9万元。</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绩效目标：紧密围绕区委区政府确定的各项目标任务及本部门年度工作计划，紧紧抓住构建残疾人社会保障体系和服务体系这条主线，唠唠把握改善残疾人民生这一根本，团结带领全区残联干部职工和广大残疾人朋友与时俱进、开拓进取、凝心聚力、扎实工作。较好地完成区委、区政府和省市残联下达的各项工作任务。</w:t>
      </w:r>
    </w:p>
    <w:p>
      <w:pPr>
        <w:pStyle w:val="16"/>
        <w:adjustRightInd w:val="0"/>
        <w:snapToGrid w:val="0"/>
        <w:spacing w:line="600" w:lineRule="exact"/>
        <w:ind w:firstLine="640"/>
        <w:rPr>
          <w:rFonts w:ascii="黑体" w:hAnsi="黑体" w:eastAsia="黑体" w:cs="Times New Roman"/>
          <w:sz w:val="32"/>
          <w:szCs w:val="32"/>
        </w:rPr>
      </w:pPr>
      <w:r>
        <w:rPr>
          <w:rFonts w:ascii="黑体" w:hAnsi="黑体" w:eastAsia="黑体" w:cs="Times New Roman"/>
          <w:sz w:val="32"/>
          <w:szCs w:val="32"/>
        </w:rPr>
        <w:t>二、一般公共预算支出情况</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2023年本单位收入决算数2015.65万元，其中一般公共预算财政拨款收入1763.44万元，政府性基金预算拨款收入232.35万元，其他收入19.86万元。全年支出决算数2015.65万元，其中基本支出373.92万元，项目支出1641.73万元。</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基本支出情况</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全年基本支出决算373.92万元，其中工资福利支出305.78万元，一般商品和服务支出65.80万元，对个人和家庭补助支出0.3万元，资本性支出1.99万元。</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项目支出情况</w:t>
      </w:r>
    </w:p>
    <w:p>
      <w:pPr>
        <w:numPr>
          <w:ilvl w:val="0"/>
          <w:numId w:val="0"/>
        </w:numPr>
        <w:ind w:firstLine="960" w:firstLineChars="300"/>
        <w:jc w:val="left"/>
        <w:rPr>
          <w:rFonts w:hint="default" w:ascii="楷体_GB2312" w:hAnsi="Times New Roman" w:eastAsia="仿宋_GB2312"/>
          <w:color w:val="auto"/>
          <w:sz w:val="28"/>
          <w:szCs w:val="28"/>
          <w:lang w:val="en-US" w:eastAsia="zh-CN"/>
        </w:rPr>
      </w:pPr>
      <w:r>
        <w:rPr>
          <w:rFonts w:hint="eastAsia" w:ascii="Times New Roman" w:hAnsi="Times New Roman" w:eastAsia="仿宋_GB2312" w:cs="黑体"/>
          <w:color w:val="000000"/>
          <w:kern w:val="0"/>
          <w:sz w:val="32"/>
          <w:szCs w:val="32"/>
          <w:lang w:val="en-US" w:eastAsia="zh-CN" w:bidi="ar-SA"/>
        </w:rPr>
        <w:t>全年项目支出1641.73万元。其中残疾人康复支出132.01万元，残疾人就业与扶贫支出161.36万元，其他残疾人事业支出 1096.21万元，用于社会福利的彩票公益金支出105.1万元，用于残疾人事业的彩票公益金支出127.25万元，其他项目支出19.80万元。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color w:val="auto"/>
          <w:kern w:val="2"/>
          <w:sz w:val="28"/>
          <w:szCs w:val="28"/>
          <w:lang w:val="en-US" w:eastAsia="zh-CN" w:bidi="ar-SA"/>
        </w:rPr>
      </w:pPr>
      <w:r>
        <w:rPr>
          <w:rFonts w:ascii="黑体" w:hAnsi="黑体" w:eastAsia="黑体"/>
          <w:sz w:val="32"/>
          <w:szCs w:val="32"/>
        </w:rPr>
        <w:t>三、政府性基金预算支出情况</w:t>
      </w:r>
      <w:r>
        <w:rPr>
          <w:rFonts w:hint="eastAsia" w:ascii="黑体" w:hAnsi="黑体" w:eastAsia="黑体"/>
          <w:sz w:val="32"/>
          <w:szCs w:val="32"/>
        </w:rPr>
        <w:t>：</w:t>
      </w:r>
      <w:r>
        <w:rPr>
          <w:rFonts w:hint="eastAsia" w:ascii="Times New Roman" w:hAnsi="Times New Roman" w:eastAsia="仿宋_GB2312" w:cs="黑体"/>
          <w:color w:val="000000"/>
          <w:kern w:val="0"/>
          <w:sz w:val="32"/>
          <w:szCs w:val="32"/>
          <w:lang w:val="en-US" w:eastAsia="zh-CN" w:bidi="ar-SA"/>
        </w:rPr>
        <w:t>2023年度区残联政府性基金预算支出232.35万元。其中省级福利事业彩票公益金105.1万元，中央彩票公益金支出127.25万元。</w:t>
      </w:r>
    </w:p>
    <w:p>
      <w:pPr>
        <w:pStyle w:val="16"/>
        <w:adjustRightInd w:val="0"/>
        <w:snapToGrid w:val="0"/>
        <w:spacing w:line="600" w:lineRule="exact"/>
        <w:ind w:firstLine="640"/>
        <w:rPr>
          <w:rFonts w:hint="eastAsia" w:ascii="Times New Roman" w:hAnsi="Times New Roman" w:eastAsia="仿宋_GB2312"/>
          <w:sz w:val="28"/>
          <w:szCs w:val="28"/>
        </w:rPr>
      </w:pPr>
      <w:r>
        <w:rPr>
          <w:rFonts w:ascii="黑体" w:hAnsi="黑体" w:eastAsia="黑体"/>
          <w:sz w:val="32"/>
          <w:szCs w:val="32"/>
        </w:rPr>
        <w:t>四、国有资本经营预算支出情况</w:t>
      </w:r>
      <w:r>
        <w:rPr>
          <w:rFonts w:hint="eastAsia" w:ascii="黑体" w:hAnsi="黑体" w:eastAsia="黑体"/>
          <w:sz w:val="32"/>
          <w:szCs w:val="32"/>
        </w:rPr>
        <w:t>：</w:t>
      </w:r>
      <w:r>
        <w:rPr>
          <w:rFonts w:hint="eastAsia" w:ascii="Times New Roman" w:hAnsi="Times New Roman" w:eastAsia="仿宋_GB2312" w:cs="黑体"/>
          <w:color w:val="000000"/>
          <w:kern w:val="0"/>
          <w:sz w:val="32"/>
          <w:szCs w:val="32"/>
          <w:lang w:val="en-US" w:eastAsia="zh-CN" w:bidi="ar-SA"/>
        </w:rPr>
        <w:t>本年度无国有资本经营预算支出</w:t>
      </w:r>
      <w:r>
        <w:rPr>
          <w:rFonts w:hint="eastAsia" w:ascii="Times New Roman" w:hAnsi="Times New Roman" w:eastAsia="仿宋_GB2312"/>
          <w:sz w:val="28"/>
          <w:szCs w:val="28"/>
        </w:rPr>
        <w:t>。</w:t>
      </w:r>
    </w:p>
    <w:p>
      <w:pPr>
        <w:pStyle w:val="16"/>
        <w:adjustRightInd w:val="0"/>
        <w:snapToGrid w:val="0"/>
        <w:spacing w:line="600" w:lineRule="exact"/>
        <w:ind w:firstLine="640"/>
        <w:rPr>
          <w:rFonts w:hint="eastAsia" w:ascii="Times New Roman" w:hAnsi="Times New Roman" w:eastAsia="仿宋_GB2312"/>
          <w:sz w:val="28"/>
          <w:szCs w:val="28"/>
        </w:rPr>
      </w:pPr>
      <w:r>
        <w:rPr>
          <w:rFonts w:ascii="黑体" w:hAnsi="黑体" w:eastAsia="黑体"/>
          <w:sz w:val="32"/>
          <w:szCs w:val="32"/>
        </w:rPr>
        <w:t>五、社会保险基金预算支出情况</w:t>
      </w:r>
      <w:r>
        <w:rPr>
          <w:rFonts w:hint="eastAsia" w:ascii="黑体" w:hAnsi="黑体" w:eastAsia="黑体"/>
          <w:sz w:val="32"/>
          <w:szCs w:val="32"/>
        </w:rPr>
        <w:t>：</w:t>
      </w:r>
      <w:r>
        <w:rPr>
          <w:rFonts w:hint="eastAsia" w:ascii="Times New Roman" w:hAnsi="Times New Roman" w:eastAsia="仿宋_GB2312" w:cs="黑体"/>
          <w:color w:val="000000"/>
          <w:kern w:val="0"/>
          <w:sz w:val="32"/>
          <w:szCs w:val="32"/>
          <w:lang w:val="en-US" w:eastAsia="zh-CN" w:bidi="ar-SA"/>
        </w:rPr>
        <w:t>本年度无社会保险基金预算支出。</w:t>
      </w:r>
    </w:p>
    <w:p>
      <w:pPr>
        <w:adjustRightInd w:val="0"/>
        <w:snapToGrid w:val="0"/>
        <w:spacing w:line="600" w:lineRule="exact"/>
        <w:ind w:firstLine="640" w:firstLineChars="200"/>
        <w:jc w:val="left"/>
        <w:rPr>
          <w:rFonts w:hint="eastAsia" w:ascii="黑体" w:hAnsi="黑体" w:eastAsia="黑体"/>
          <w:sz w:val="32"/>
          <w:szCs w:val="32"/>
        </w:rPr>
      </w:pPr>
      <w:r>
        <w:rPr>
          <w:rFonts w:ascii="黑体" w:hAnsi="黑体" w:eastAsia="黑体"/>
          <w:sz w:val="32"/>
          <w:szCs w:val="32"/>
        </w:rPr>
        <w:t>六、部门整体支出绩效情况</w:t>
      </w:r>
      <w:r>
        <w:rPr>
          <w:rFonts w:hint="eastAsia" w:ascii="黑体" w:hAnsi="黑体" w:eastAsia="黑体"/>
          <w:sz w:val="32"/>
          <w:szCs w:val="32"/>
        </w:rPr>
        <w:t>：</w:t>
      </w:r>
    </w:p>
    <w:p>
      <w:pPr>
        <w:pStyle w:val="16"/>
        <w:adjustRightInd w:val="0"/>
        <w:snapToGrid w:val="0"/>
        <w:spacing w:line="600" w:lineRule="exact"/>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通过加强预算收支管理，不断建立健全内部资金管理制度，做到全年收支平衡的同时，紧密围绕区委区政府确定的各项目标任务及本部门年度工作计划，紧紧抓住构建残疾人社会保障和服务这条主线，牢牢把握改善残疾人民生这一根本，较好地完成了区委、区政府和省市残联下达的各项工作任务。</w:t>
      </w:r>
    </w:p>
    <w:p>
      <w:pPr>
        <w:pStyle w:val="16"/>
        <w:adjustRightInd w:val="0"/>
        <w:snapToGrid w:val="0"/>
        <w:spacing w:line="600" w:lineRule="exact"/>
        <w:ind w:firstLine="640"/>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数量指标。（1）残疾人创业扶持方面。2023年下达我区残疾人创业扶持指标任务为38人（其中省级补贴任务14人，自筹任务24人），我区在扶持残疾人创业就业工作中，始终坚持把“扶智、扶志、扶技、扶资”摆在首位，采取专家上门诊断、定期帮扶、实地评估相结合的模式开展相关服务，扶持范围涉及种植业、养殖业、食品加工、手工编织、电器维修、个体餐饮、日杂销售、公共服务等方面。全年实际扶持残疾人个体创业41人。（2）残疾人培训方面。2023年残疾人培训项目全部进入财政统一采购。对残疾人职业技能培训按照残疾人类别和市场用工需求，依托职业技能培训机构，举办了一期电商直播培训班和一期西式面点培训班，共培训70名残疾人。对农村残疾人阳光增收计划通过集中培训与个别上门指导相结合的形式，因地制宜做好果蔬、经济作物等种植业和牛、羊、猪、鸡等养殖业的实用技术培训，增强他们依托土地增产增收的能力，全年举办了三期实用技术培训班共培训140名困难残疾人，并配套发放了与培训内容相关的农资种苗。（3）残疾人教育资助方面。配合教育部门对全区在读残疾学生进行核对，努力为残疾学生提供优质服务，全区368名适龄残疾儿童全部安排入学，确保适龄残疾儿童少年义务教育入学率稳定保持在 98%以上。对高中及大学阶段符合条件的残疾学生，困难残疾人家庭子女学生实行教育资助，完成76名大学生和104名高中学生审核和系统录入工作。（4）残疾人托养方面。一是居家服务：居家服务140名对象，按照每人每年不低于2000元的标准给予补助，工作3月份开始，我们与益阳市龙门社会工作服务公司签定购买服务的委托协议，以社工及聘请家政人士为载体的服务方式为，为托养对象提供方便、快捷、价廉的上门服务，主要包括：生活照料、卫生整理、家庭维修、采购配送、家庭康复和心理疏导等服务类型，以满足不同残疾人的需求，项目开展同时委托第三方对项目进行全程绩效评估。二是机构托养：赫山区残疾人托养服务中心始终坚持“一切为了残疾人，全心全意为残疾人服务”的工作思路，通过文化课课程，益智游戏，康复训练，生活技能、手工技能培训等服务内容，让入托人员每天有事做，还可以赚取一定的工资，托养中心每天安排校车接送在托人员，托养中心始终保持30人名残疾人在托。（5）残疾人机动轮椅车燃油补贴方面。通过调查摸底，掌握残疾人机动轮椅车动态，摸清底数，明确发放条件和标准。为72名残疾人发放了燃油补贴。（6）贫困残疾人家庭无障碍改造。2023年赫山区困难重度残疾人家庭无障碍改造项目实施任务数185户，其中省、市项目任务165户，户均改造项目资金5000元以上，区县统筹推进项目任务20户，户均改造项目资金1000元以上。将改造的内容、方式、影响、结果与残疾人及家属充分沟通，征求意见，按照每户残疾人家庭无障碍改造的总体要求，根据每户不同残疾类别残疾人的状况、需求与居住环境，科学确定改造内容，制定个性化“一户一案”的改造方案，通过财政评审备案，政府采购和招投标程序，由两支施工队伍同时对全区185户改造项目对象全面展开施工。保证改造工程质量，满足残疾人家庭人性化、个性化、精准化的服务需求。增强约束力和工作透明度，为营造残疾人居家无障碍环境，提高自理能力、融入社会生活创造更多更好的条件。（7）残疾儿童康复救助方面。超额完成省、市重点民生实事0-6岁残疾儿童康复救助任务，任务数为155人（1240月/人），全年已完成201人（1697.3月/人），完成率137%。为1名听力残疾儿童实施了人工耳蜗手术，3名听力残疾儿童享受了助听器适配资助，28名残疾儿童适配矫形器。（8）残疾人评残补贴方面。全区350名残疾人享受贫困残疾人评残补贴。</w:t>
      </w:r>
    </w:p>
    <w:p>
      <w:pPr>
        <w:pStyle w:val="16"/>
        <w:adjustRightInd w:val="0"/>
        <w:snapToGrid w:val="0"/>
        <w:spacing w:line="600" w:lineRule="exact"/>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2、质量指标。残疾人创业扶持补贴资金通过阳光申报系统发放到位。举办了三期农村残疾人实用技术培术培训，接受农村实用技残疾人掌握的生产技能数量</w:t>
      </w:r>
      <w:r>
        <w:rPr>
          <w:rFonts w:hint="default" w:ascii="Times New Roman" w:hAnsi="Times New Roman" w:eastAsia="仿宋_GB2312" w:cs="黑体"/>
          <w:color w:val="000000"/>
          <w:kern w:val="0"/>
          <w:sz w:val="32"/>
          <w:szCs w:val="32"/>
          <w:lang w:val="en-US" w:eastAsia="zh-CN" w:bidi="ar-SA"/>
        </w:rPr>
        <w:t>3</w:t>
      </w:r>
      <w:r>
        <w:rPr>
          <w:rFonts w:hint="eastAsia" w:ascii="Times New Roman" w:hAnsi="Times New Roman" w:eastAsia="仿宋_GB2312" w:cs="黑体"/>
          <w:color w:val="000000"/>
          <w:kern w:val="0"/>
          <w:sz w:val="32"/>
          <w:szCs w:val="32"/>
          <w:lang w:val="en-US" w:eastAsia="zh-CN" w:bidi="ar-SA"/>
        </w:rPr>
        <w:t>门以上；举办了一期电商直播培训班和一期西式面点培训班。残疾人托养基本可以做到应托尽托。对高中及大学阶段符合条件的残疾学生，困难残疾人家庭子女学生教育资助做到了应报尽报。残疾人机动车燃油补贴应发尽发。儿童康复项目特邀第三方评估机构对实施情况跟踪监督服务，每周最少两次不定时的对机构进行检查，对家长现场或电话进行询问机构服务情况和康复效果，保障有康复需求的残疾儿童得到基本康复服务，做到应救尽救，全面覆盖。贫困重度残疾人家庭进行无障碍改造严把质量，验收合格率</w:t>
      </w:r>
      <w:r>
        <w:rPr>
          <w:rFonts w:hint="default" w:ascii="Times New Roman" w:hAnsi="Times New Roman" w:eastAsia="仿宋_GB2312" w:cs="黑体"/>
          <w:color w:val="000000"/>
          <w:kern w:val="0"/>
          <w:sz w:val="32"/>
          <w:szCs w:val="32"/>
          <w:lang w:val="en-US" w:eastAsia="zh-CN" w:bidi="ar-SA"/>
        </w:rPr>
        <w:t>100%</w:t>
      </w:r>
      <w:r>
        <w:rPr>
          <w:rFonts w:hint="eastAsia" w:ascii="Times New Roman" w:hAnsi="Times New Roman" w:eastAsia="仿宋_GB2312" w:cs="黑体"/>
          <w:color w:val="000000"/>
          <w:kern w:val="0"/>
          <w:sz w:val="32"/>
          <w:szCs w:val="32"/>
          <w:lang w:val="en-US" w:eastAsia="zh-CN" w:bidi="ar-SA"/>
        </w:rPr>
        <w:t>。贫困智力精神和重度残疾人评定补贴，按规定全部补贴到个人。</w:t>
      </w:r>
    </w:p>
    <w:p>
      <w:pPr>
        <w:pStyle w:val="16"/>
        <w:adjustRightInd w:val="0"/>
        <w:snapToGrid w:val="0"/>
        <w:spacing w:line="600" w:lineRule="exact"/>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w:t>
      </w:r>
      <w:r>
        <w:rPr>
          <w:rFonts w:hint="default" w:ascii="Times New Roman" w:hAnsi="Times New Roman" w:eastAsia="仿宋_GB2312" w:cs="黑体"/>
          <w:color w:val="000000"/>
          <w:kern w:val="0"/>
          <w:sz w:val="32"/>
          <w:szCs w:val="32"/>
          <w:lang w:val="en-US" w:eastAsia="zh-CN" w:bidi="ar-SA"/>
        </w:rPr>
        <w:t>3</w:t>
      </w:r>
      <w:r>
        <w:rPr>
          <w:rFonts w:hint="eastAsia" w:ascii="Times New Roman" w:hAnsi="Times New Roman" w:eastAsia="仿宋_GB2312" w:cs="黑体"/>
          <w:color w:val="000000"/>
          <w:kern w:val="0"/>
          <w:sz w:val="32"/>
          <w:szCs w:val="32"/>
          <w:lang w:val="en-US" w:eastAsia="zh-CN" w:bidi="ar-SA"/>
        </w:rPr>
        <w:t>、时效指标。根据资金下达进度，及时拨付各项资金，确保资金及时投入到各类项目当中</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截止</w:t>
      </w:r>
      <w:r>
        <w:rPr>
          <w:rFonts w:hint="default" w:ascii="Times New Roman" w:hAnsi="Times New Roman" w:eastAsia="仿宋_GB2312" w:cs="黑体"/>
          <w:color w:val="000000"/>
          <w:kern w:val="0"/>
          <w:sz w:val="32"/>
          <w:szCs w:val="32"/>
          <w:lang w:val="en-US" w:eastAsia="zh-CN" w:bidi="ar-SA"/>
        </w:rPr>
        <w:t>20</w:t>
      </w:r>
      <w:r>
        <w:rPr>
          <w:rFonts w:hint="eastAsia" w:ascii="Times New Roman" w:hAnsi="Times New Roman" w:eastAsia="仿宋_GB2312" w:cs="黑体"/>
          <w:color w:val="000000"/>
          <w:kern w:val="0"/>
          <w:sz w:val="32"/>
          <w:szCs w:val="32"/>
          <w:lang w:val="en-US" w:eastAsia="zh-CN" w:bidi="ar-SA"/>
        </w:rPr>
        <w:t>23年</w:t>
      </w:r>
      <w:r>
        <w:rPr>
          <w:rFonts w:hint="default" w:ascii="Times New Roman" w:hAnsi="Times New Roman" w:eastAsia="仿宋_GB2312" w:cs="黑体"/>
          <w:color w:val="000000"/>
          <w:kern w:val="0"/>
          <w:sz w:val="32"/>
          <w:szCs w:val="32"/>
          <w:lang w:val="en-US" w:eastAsia="zh-CN" w:bidi="ar-SA"/>
        </w:rPr>
        <w:t>12</w:t>
      </w:r>
      <w:r>
        <w:rPr>
          <w:rFonts w:hint="eastAsia" w:ascii="Times New Roman" w:hAnsi="Times New Roman" w:eastAsia="仿宋_GB2312" w:cs="黑体"/>
          <w:color w:val="000000"/>
          <w:kern w:val="0"/>
          <w:sz w:val="32"/>
          <w:szCs w:val="32"/>
          <w:lang w:val="en-US" w:eastAsia="zh-CN" w:bidi="ar-SA"/>
        </w:rPr>
        <w:t>月</w:t>
      </w:r>
      <w:r>
        <w:rPr>
          <w:rFonts w:hint="default" w:ascii="Times New Roman" w:hAnsi="Times New Roman" w:eastAsia="仿宋_GB2312" w:cs="黑体"/>
          <w:color w:val="000000"/>
          <w:kern w:val="0"/>
          <w:sz w:val="32"/>
          <w:szCs w:val="32"/>
          <w:lang w:val="en-US" w:eastAsia="zh-CN" w:bidi="ar-SA"/>
        </w:rPr>
        <w:t>31</w:t>
      </w:r>
      <w:r>
        <w:rPr>
          <w:rFonts w:hint="eastAsia" w:ascii="Times New Roman" w:hAnsi="Times New Roman" w:eastAsia="仿宋_GB2312" w:cs="黑体"/>
          <w:color w:val="000000"/>
          <w:kern w:val="0"/>
          <w:sz w:val="32"/>
          <w:szCs w:val="32"/>
          <w:lang w:val="en-US" w:eastAsia="zh-CN" w:bidi="ar-SA"/>
        </w:rPr>
        <w:t>日，全部项目均已完成。</w:t>
      </w:r>
    </w:p>
    <w:p>
      <w:pPr>
        <w:pStyle w:val="16"/>
        <w:adjustRightInd w:val="0"/>
        <w:snapToGrid w:val="0"/>
        <w:spacing w:line="600" w:lineRule="exact"/>
        <w:ind w:firstLine="640"/>
        <w:rPr>
          <w:rFonts w:hint="eastAsia" w:ascii="Times New Roman" w:hAnsi="Times New Roman" w:eastAsia="仿宋_GB2312" w:cs="黑体"/>
          <w:color w:val="000000"/>
          <w:kern w:val="0"/>
          <w:sz w:val="32"/>
          <w:szCs w:val="32"/>
          <w:lang w:val="en-US" w:eastAsia="zh-CN" w:bidi="ar-SA"/>
        </w:rPr>
      </w:pPr>
      <w:r>
        <w:rPr>
          <w:rFonts w:hint="default" w:ascii="Times New Roman" w:hAnsi="Times New Roman" w:eastAsia="仿宋_GB2312" w:cs="黑体"/>
          <w:color w:val="000000"/>
          <w:kern w:val="0"/>
          <w:sz w:val="32"/>
          <w:szCs w:val="32"/>
          <w:lang w:val="en-US" w:eastAsia="zh-CN" w:bidi="ar-SA"/>
        </w:rPr>
        <w:t>4</w:t>
      </w:r>
      <w:r>
        <w:rPr>
          <w:rFonts w:hint="eastAsia" w:ascii="Times New Roman" w:hAnsi="Times New Roman" w:eastAsia="仿宋_GB2312" w:cs="黑体"/>
          <w:color w:val="000000"/>
          <w:kern w:val="0"/>
          <w:sz w:val="32"/>
          <w:szCs w:val="32"/>
          <w:lang w:val="en-US" w:eastAsia="zh-CN" w:bidi="ar-SA"/>
        </w:rPr>
        <w:t>、成本指标。残疾人机动车燃油补贴按照每年260元</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人补贴，共发放18720元</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一次性创业补贴按照省任务</w:t>
      </w:r>
      <w:r>
        <w:rPr>
          <w:rFonts w:hint="default" w:ascii="Times New Roman" w:hAnsi="Times New Roman" w:eastAsia="仿宋_GB2312" w:cs="黑体"/>
          <w:color w:val="000000"/>
          <w:kern w:val="0"/>
          <w:sz w:val="32"/>
          <w:szCs w:val="32"/>
          <w:lang w:val="en-US" w:eastAsia="zh-CN" w:bidi="ar-SA"/>
        </w:rPr>
        <w:t>1</w:t>
      </w:r>
      <w:r>
        <w:rPr>
          <w:rFonts w:hint="eastAsia" w:ascii="Times New Roman" w:hAnsi="Times New Roman" w:eastAsia="仿宋_GB2312" w:cs="黑体"/>
          <w:color w:val="000000"/>
          <w:kern w:val="0"/>
          <w:sz w:val="32"/>
          <w:szCs w:val="32"/>
          <w:lang w:val="en-US" w:eastAsia="zh-CN" w:bidi="ar-SA"/>
        </w:rPr>
        <w:t>万元</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人、补贴自筹任务6000元</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人标准补贴，发放补贴34.2万元</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农村实用技术培训按照不低于1000元补贴</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贫困残疾人家庭无障碍改造按照省、市项目任务165户，户均改造项目资金5000元，区县统筹推进项目任务20户，户均改造项目资金1000元标准执行，共投入资金85.65万元；残疾儿童康复救助按照1.6万元</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人补贴</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贫困智力、精神和重度残疾人评定按照</w:t>
      </w:r>
      <w:r>
        <w:rPr>
          <w:rFonts w:hint="default" w:ascii="Times New Roman" w:hAnsi="Times New Roman" w:eastAsia="仿宋_GB2312" w:cs="黑体"/>
          <w:color w:val="000000"/>
          <w:kern w:val="0"/>
          <w:sz w:val="32"/>
          <w:szCs w:val="32"/>
          <w:lang w:val="en-US" w:eastAsia="zh-CN" w:bidi="ar-SA"/>
        </w:rPr>
        <w:t>150</w:t>
      </w:r>
      <w:r>
        <w:rPr>
          <w:rFonts w:hint="eastAsia" w:ascii="Times New Roman" w:hAnsi="Times New Roman" w:eastAsia="仿宋_GB2312" w:cs="黑体"/>
          <w:color w:val="000000"/>
          <w:kern w:val="0"/>
          <w:sz w:val="32"/>
          <w:szCs w:val="32"/>
          <w:lang w:val="en-US" w:eastAsia="zh-CN" w:bidi="ar-SA"/>
        </w:rPr>
        <w:t>元</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人补贴。</w:t>
      </w:r>
    </w:p>
    <w:p>
      <w:pPr>
        <w:pStyle w:val="16"/>
        <w:adjustRightInd w:val="0"/>
        <w:snapToGrid w:val="0"/>
        <w:spacing w:line="600" w:lineRule="exact"/>
        <w:ind w:firstLine="640"/>
        <w:rPr>
          <w:rFonts w:hint="eastAsia" w:ascii="Times New Roman" w:hAnsi="Times New Roman" w:eastAsia="仿宋_GB2312" w:cs="黑体"/>
          <w:color w:val="000000"/>
          <w:kern w:val="0"/>
          <w:sz w:val="32"/>
          <w:szCs w:val="32"/>
          <w:lang w:val="en-US" w:eastAsia="zh-CN" w:bidi="ar-SA"/>
        </w:rPr>
      </w:pPr>
      <w:r>
        <w:rPr>
          <w:rFonts w:hint="default" w:ascii="Times New Roman" w:hAnsi="Times New Roman" w:eastAsia="仿宋_GB2312" w:cs="黑体"/>
          <w:color w:val="000000"/>
          <w:kern w:val="0"/>
          <w:sz w:val="32"/>
          <w:szCs w:val="32"/>
          <w:lang w:val="en-US" w:eastAsia="zh-CN" w:bidi="ar-SA"/>
        </w:rPr>
        <w:t>5</w:t>
      </w:r>
      <w:r>
        <w:rPr>
          <w:rFonts w:hint="eastAsia" w:ascii="Times New Roman" w:hAnsi="Times New Roman" w:eastAsia="仿宋_GB2312" w:cs="黑体"/>
          <w:color w:val="000000"/>
          <w:kern w:val="0"/>
          <w:sz w:val="32"/>
          <w:szCs w:val="32"/>
          <w:lang w:val="en-US" w:eastAsia="zh-CN" w:bidi="ar-SA"/>
        </w:rPr>
        <w:t>、效益指标。通过发放残疾人机动轮椅车燃油补贴，残疾人出行便利程度大幅度提高</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通过农村实用技术和残疾人职业技能培训，让残疾人掌握基本技能，受教育水平和生产生活和能力得到了提升，有利于残疾人的生产生活。通过康复服务，改善残疾人身体状况</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提高残疾人生活质量和融入社会的能力。通过各类项目的实施，全社会关心、理解、支持残疾人的社会氛围明显提高。</w:t>
      </w:r>
    </w:p>
    <w:p>
      <w:pPr>
        <w:pStyle w:val="16"/>
        <w:adjustRightInd w:val="0"/>
        <w:snapToGrid w:val="0"/>
        <w:spacing w:line="600" w:lineRule="exact"/>
        <w:ind w:firstLine="640"/>
        <w:rPr>
          <w:rFonts w:hint="eastAsia" w:ascii="Times New Roman" w:hAnsi="Times New Roman" w:eastAsia="仿宋_GB2312" w:cs="黑体"/>
          <w:color w:val="000000"/>
          <w:kern w:val="0"/>
          <w:sz w:val="32"/>
          <w:szCs w:val="32"/>
          <w:lang w:val="en-US" w:eastAsia="zh-CN" w:bidi="ar-SA"/>
        </w:rPr>
      </w:pPr>
      <w:r>
        <w:rPr>
          <w:rFonts w:hint="default" w:ascii="Times New Roman" w:hAnsi="Times New Roman" w:eastAsia="仿宋_GB2312" w:cs="黑体"/>
          <w:color w:val="000000"/>
          <w:kern w:val="0"/>
          <w:sz w:val="32"/>
          <w:szCs w:val="32"/>
          <w:lang w:val="en-US" w:eastAsia="zh-CN" w:bidi="ar-SA"/>
        </w:rPr>
        <w:t>6</w:t>
      </w:r>
      <w:r>
        <w:rPr>
          <w:rFonts w:hint="eastAsia" w:ascii="Times New Roman" w:hAnsi="Times New Roman" w:eastAsia="仿宋_GB2312" w:cs="黑体"/>
          <w:color w:val="000000"/>
          <w:kern w:val="0"/>
          <w:sz w:val="32"/>
          <w:szCs w:val="32"/>
          <w:lang w:val="en-US" w:eastAsia="zh-CN" w:bidi="ar-SA"/>
        </w:rPr>
        <w:t>、满意度指标。通过电话回访等形式了解到我们的各项工作均受到群众一致好评，群众满意度均达90%以上。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黑体" w:hAnsi="黑体" w:eastAsia="黑体" w:cs="黑体"/>
          <w:sz w:val="32"/>
          <w:szCs w:val="32"/>
          <w:lang w:val="en-US"/>
        </w:rPr>
      </w:pPr>
      <w:r>
        <w:rPr>
          <w:rFonts w:hint="eastAsia" w:eastAsia="仿宋" w:cs="仿宋"/>
          <w:sz w:val="28"/>
          <w:szCs w:val="28"/>
        </w:rPr>
        <w:t xml:space="preserve"> </w:t>
      </w:r>
      <w:r>
        <w:rPr>
          <w:rFonts w:hint="eastAsia" w:ascii="黑体" w:hAnsi="黑体" w:eastAsia="黑体" w:cs="黑体"/>
          <w:sz w:val="32"/>
          <w:szCs w:val="32"/>
          <w:lang w:val="en-US" w:eastAsia="zh-CN"/>
        </w:rPr>
        <w:t>七、存在的问题及原因分析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黑体"/>
          <w:color w:val="000000"/>
          <w:kern w:val="0"/>
          <w:sz w:val="32"/>
          <w:szCs w:val="32"/>
          <w:lang w:val="en-US" w:eastAsia="zh-CN" w:bidi="ar-SA"/>
        </w:rPr>
        <w:t>（一）绩效自评质量有待提高。部门整体支出绩效自评报告存在绩效目标不明确，反映问题不够全面细化、对于个别存在的问题未提出切实有效的建议和措施、部分个性化指标不明确、不具体、不可衡量。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（二）绩效目标编制不够规范。该部门在编制资金绩效目标时，目标设立指向不够明确、内容不够完整，选用的绩效指标关联性不强，指标值不够科学、合理，使用定性指标较多，定量指标较少。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黑体"/>
          <w:color w:val="000000"/>
          <w:kern w:val="0"/>
          <w:sz w:val="32"/>
          <w:szCs w:val="32"/>
          <w:lang w:val="en-US" w:eastAsia="zh-CN" w:bidi="ar-SA"/>
        </w:rPr>
        <w:t>（三）预算编制不够精准。2023年年初预算222.58 万元，年中调整追加基本支出预算160.34万元，追加项目支出预算1632.73万元，预算调整率为805.58%。目前未发现特别的问题，各种预算支出执行基本未偏离绩效目标的情况。</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八、下一步改进措施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2、在日常预算管理过程中，进一步加强预算支出的审核、跟踪及预算执行情况分析。 </w:t>
      </w:r>
    </w:p>
    <w:p>
      <w:pPr>
        <w:pStyle w:val="3"/>
        <w:ind w:firstLine="640" w:firstLineChars="200"/>
        <w:rPr>
          <w:rFonts w:ascii="黑体" w:hAnsi="黑体" w:eastAsia="黑体"/>
          <w:sz w:val="32"/>
          <w:szCs w:val="32"/>
        </w:rPr>
      </w:pPr>
      <w:r>
        <w:rPr>
          <w:rFonts w:ascii="黑体" w:hAnsi="黑体" w:eastAsia="黑体"/>
          <w:sz w:val="32"/>
          <w:szCs w:val="32"/>
        </w:rPr>
        <w:t>九、部门整体支出绩效自评结果拟应用和公开情况</w:t>
      </w:r>
    </w:p>
    <w:p>
      <w:pPr>
        <w:adjustRightInd w:val="0"/>
        <w:snapToGrid w:val="0"/>
        <w:spacing w:line="600" w:lineRule="exact"/>
        <w:ind w:firstLine="640" w:firstLineChars="200"/>
        <w:rPr>
          <w:rFonts w:hint="eastAsia" w:ascii="仿宋_GB2312" w:hAnsi="仿宋"/>
          <w:sz w:val="28"/>
          <w:szCs w:val="28"/>
        </w:rPr>
      </w:pPr>
      <w:r>
        <w:rPr>
          <w:rFonts w:hint="eastAsia" w:ascii="Times New Roman" w:hAnsi="Times New Roman" w:eastAsia="仿宋_GB2312" w:cs="黑体"/>
          <w:color w:val="000000"/>
          <w:kern w:val="0"/>
          <w:sz w:val="32"/>
          <w:szCs w:val="32"/>
          <w:lang w:val="en-US" w:eastAsia="zh-CN" w:bidi="ar-SA"/>
        </w:rPr>
        <w:t xml:space="preserve"> 总体看，我单位支出管理较为规范，财务管理制度较完善，部门整体绩效较好。部门整体支出绩效评价结果将作为今后本单位进行资金安排的重要依据，会按照相关要求及时将整体支出绩效自评报告和项目支出绩效自评表在财政预决算公开专栏公开，接受社会监督。</w:t>
      </w:r>
    </w:p>
    <w:p>
      <w:pPr>
        <w:adjustRightInd w:val="0"/>
        <w:snapToGrid w:val="0"/>
        <w:spacing w:line="600" w:lineRule="exact"/>
        <w:ind w:firstLine="640" w:firstLineChars="200"/>
        <w:jc w:val="left"/>
        <w:rPr>
          <w:rFonts w:hint="eastAsia" w:ascii="Times New Roman" w:hAnsi="Times New Roman" w:eastAsia="仿宋" w:cs="仿宋"/>
          <w:sz w:val="28"/>
          <w:szCs w:val="28"/>
        </w:rPr>
      </w:pPr>
      <w:r>
        <w:rPr>
          <w:rFonts w:hint="eastAsia" w:ascii="黑体" w:hAnsi="黑体" w:eastAsia="黑体"/>
          <w:sz w:val="32"/>
          <w:szCs w:val="32"/>
        </w:rPr>
        <w:t>十、</w:t>
      </w:r>
      <w:r>
        <w:rPr>
          <w:rFonts w:ascii="黑体" w:hAnsi="黑体" w:eastAsia="黑体"/>
          <w:sz w:val="32"/>
          <w:szCs w:val="32"/>
        </w:rPr>
        <w:t>其他需要说明的情况</w:t>
      </w:r>
      <w:r>
        <w:rPr>
          <w:rFonts w:hint="eastAsia" w:ascii="黑体" w:hAnsi="黑体" w:eastAsia="黑体"/>
          <w:sz w:val="32"/>
          <w:szCs w:val="32"/>
        </w:rPr>
        <w:t>：</w:t>
      </w:r>
      <w:r>
        <w:rPr>
          <w:rFonts w:hint="eastAsia" w:ascii="Times New Roman" w:hAnsi="Times New Roman" w:eastAsia="仿宋_GB2312" w:cs="黑体"/>
          <w:color w:val="000000"/>
          <w:kern w:val="0"/>
          <w:sz w:val="32"/>
          <w:szCs w:val="32"/>
          <w:lang w:val="en-US" w:eastAsia="zh-CN" w:bidi="ar-SA"/>
        </w:rPr>
        <w:t>无</w:t>
      </w:r>
    </w:p>
    <w:p>
      <w:pPr>
        <w:pStyle w:val="15"/>
        <w:spacing w:line="600" w:lineRule="exact"/>
        <w:ind w:firstLine="640" w:firstLineChars="200"/>
        <w:rPr>
          <w:rFonts w:hint="eastAsia" w:ascii="Times New Roman" w:hAnsi="Times New Roman" w:eastAsia="仿宋_GB2312"/>
          <w:sz w:val="32"/>
          <w:szCs w:val="32"/>
        </w:rPr>
      </w:pPr>
    </w:p>
    <w:p>
      <w:pPr>
        <w:pStyle w:val="15"/>
        <w:jc w:val="both"/>
        <w:rPr>
          <w:sz w:val="72"/>
          <w:szCs w:val="7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780" w:firstLineChars="1800"/>
        <w:textAlignment w:val="auto"/>
        <w:rPr>
          <w:rFonts w:hint="eastAsia" w:ascii="仿宋" w:hAnsi="仿宋" w:eastAsia="仿宋" w:cs="仿宋"/>
          <w:color w:val="auto"/>
          <w:sz w:val="32"/>
          <w:szCs w:val="32"/>
          <w:shd w:val="clear" w:color="auto" w:fill="auto"/>
          <w:lang w:eastAsia="zh-CN"/>
        </w:rPr>
      </w:pPr>
      <w:r>
        <w:rPr>
          <w:rFonts w:hint="eastAsia"/>
        </w:rPr>
        <w:t xml:space="preserve"> </w:t>
      </w:r>
      <w:r>
        <w:rPr>
          <w:rFonts w:hint="eastAsia"/>
          <w:lang w:val="en-US" w:eastAsia="zh-CN"/>
        </w:rPr>
        <w:t xml:space="preserve">              </w:t>
      </w:r>
      <w:r>
        <w:rPr>
          <w:rFonts w:hint="eastAsia" w:ascii="仿宋" w:hAnsi="仿宋" w:eastAsia="仿宋" w:cs="仿宋"/>
          <w:color w:val="auto"/>
          <w:sz w:val="32"/>
          <w:szCs w:val="32"/>
          <w:shd w:val="clear" w:color="auto" w:fill="auto"/>
          <w:lang w:eastAsia="zh-CN"/>
        </w:rPr>
        <w:t>益阳市赫山区残疾人联合会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0" w:firstLineChars="1900"/>
        <w:textAlignment w:val="auto"/>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2024年8月26日</w:t>
      </w: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F0F364-8FF1-492D-BBA1-20C38B4965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F71A9F5-5E78-45DE-9AF8-9CF8627BC8C7}"/>
  </w:font>
  <w:font w:name="方正小标宋简体">
    <w:panose1 w:val="02000000000000000000"/>
    <w:charset w:val="86"/>
    <w:family w:val="auto"/>
    <w:pitch w:val="default"/>
    <w:sig w:usb0="00000001" w:usb1="080E0000" w:usb2="00000000" w:usb3="00000000" w:csb0="00040000" w:csb1="00000000"/>
    <w:embedRegular r:id="rId3" w:fontKey="{0B60810F-A52D-408C-86BA-6A4D86CED110}"/>
  </w:font>
  <w:font w:name="楷体_GB2312">
    <w:panose1 w:val="02010609030101010101"/>
    <w:charset w:val="86"/>
    <w:family w:val="modern"/>
    <w:pitch w:val="default"/>
    <w:sig w:usb0="00000001" w:usb1="080E0000" w:usb2="00000000" w:usb3="00000000" w:csb0="00040000" w:csb1="00000000"/>
    <w:embedRegular r:id="rId4" w:fontKey="{72B51DD0-376C-4630-9144-DF1AB48B4EDD}"/>
  </w:font>
  <w:font w:name="仿宋">
    <w:panose1 w:val="02010609060101010101"/>
    <w:charset w:val="86"/>
    <w:family w:val="modern"/>
    <w:pitch w:val="default"/>
    <w:sig w:usb0="800002BF" w:usb1="38CF7CFA" w:usb2="00000016" w:usb3="00000000" w:csb0="00040001" w:csb1="00000000"/>
    <w:embedRegular r:id="rId5" w:fontKey="{BA6494FF-E6A2-41A1-AD75-01BC17E960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ZTQ3YWYwOGI4ODI1YWM2NmZjMzUzNDQ5ZWM4MT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3F682E"/>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56FBD"/>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A71FD9"/>
    <w:rsid w:val="0CA75583"/>
    <w:rsid w:val="125C471A"/>
    <w:rsid w:val="1CC7132A"/>
    <w:rsid w:val="1D97DEFF"/>
    <w:rsid w:val="1DFF72E5"/>
    <w:rsid w:val="1EFC6F07"/>
    <w:rsid w:val="20845CD1"/>
    <w:rsid w:val="26D94133"/>
    <w:rsid w:val="282711B4"/>
    <w:rsid w:val="2FDF85B8"/>
    <w:rsid w:val="2FFFEE04"/>
    <w:rsid w:val="34180991"/>
    <w:rsid w:val="34DF85B0"/>
    <w:rsid w:val="36893449"/>
    <w:rsid w:val="372A4537"/>
    <w:rsid w:val="3B8F36BC"/>
    <w:rsid w:val="48046EE2"/>
    <w:rsid w:val="491FF225"/>
    <w:rsid w:val="4FFD214C"/>
    <w:rsid w:val="553E7A7D"/>
    <w:rsid w:val="56612B20"/>
    <w:rsid w:val="5777D4F5"/>
    <w:rsid w:val="59DD8326"/>
    <w:rsid w:val="5DEF592A"/>
    <w:rsid w:val="5ECF23F5"/>
    <w:rsid w:val="5F0C25F1"/>
    <w:rsid w:val="5FC6BB1E"/>
    <w:rsid w:val="5FF720F1"/>
    <w:rsid w:val="64D470DA"/>
    <w:rsid w:val="67FF5C0B"/>
    <w:rsid w:val="687A05CB"/>
    <w:rsid w:val="68825ADF"/>
    <w:rsid w:val="6EFC0924"/>
    <w:rsid w:val="6FB74722"/>
    <w:rsid w:val="6FEF8B7E"/>
    <w:rsid w:val="70C15A5C"/>
    <w:rsid w:val="71A6591B"/>
    <w:rsid w:val="737D59BA"/>
    <w:rsid w:val="77C37683"/>
    <w:rsid w:val="79975481"/>
    <w:rsid w:val="79FF515B"/>
    <w:rsid w:val="7A2111EE"/>
    <w:rsid w:val="7A741960"/>
    <w:rsid w:val="7DEF055E"/>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w:basedOn w:val="3"/>
    <w:qFormat/>
    <w:uiPriority w:val="0"/>
    <w:pPr>
      <w:ind w:firstLine="664"/>
    </w:pPr>
  </w:style>
  <w:style w:type="paragraph" w:styleId="3">
    <w:name w:val="Body Text"/>
    <w:basedOn w:val="1"/>
    <w:qFormat/>
    <w:uiPriority w:val="0"/>
    <w:rPr>
      <w:sz w:val="31"/>
      <w:szCs w:val="2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endnote text"/>
    <w:basedOn w:val="1"/>
    <w:next w:val="3"/>
    <w:qFormat/>
    <w:uiPriority w:val="0"/>
    <w:rPr>
      <w:rFonts w:ascii="Times New Roman" w:hAnsi="Times New Roman" w:eastAsia="宋体" w:cs="Times New Roman"/>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5"/>
    <w:semiHidden/>
    <w:qFormat/>
    <w:uiPriority w:val="0"/>
    <w:pPr>
      <w:snapToGrid w:val="0"/>
      <w:jc w:val="left"/>
    </w:pPr>
    <w:rPr>
      <w:sz w:val="18"/>
      <w:szCs w:val="18"/>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9738</Words>
  <Characters>12527</Characters>
  <Lines>62</Lines>
  <Paragraphs>17</Paragraphs>
  <TotalTime>2</TotalTime>
  <ScaleCrop>false</ScaleCrop>
  <LinksUpToDate>false</LinksUpToDate>
  <CharactersWithSpaces>12861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丫丫</cp:lastModifiedBy>
  <cp:lastPrinted>2024-09-03T01:02:00Z</cp:lastPrinted>
  <dcterms:modified xsi:type="dcterms:W3CDTF">2024-11-11T02:35:30Z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D0AF8407D5E24E99BD2C61A445B5A939</vt:lpwstr>
  </property>
</Properties>
</file>