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hanging="1800" w:hangingChars="500"/>
        <w:jc w:val="both"/>
        <w:rPr>
          <w:rFonts w:hint="eastAsia" w:ascii="黑体" w:hAnsi="黑体" w:eastAsia="黑体" w:cs="黑体"/>
          <w:sz w:val="36"/>
          <w:szCs w:val="36"/>
        </w:rPr>
      </w:pPr>
      <w:bookmarkStart w:id="0" w:name="_GoBack"/>
      <w:r>
        <w:rPr>
          <w:rFonts w:hint="eastAsia" w:ascii="黑体" w:hAnsi="黑体" w:eastAsia="黑体" w:cs="黑体"/>
          <w:sz w:val="36"/>
          <w:szCs w:val="36"/>
          <w:lang w:val="en-US" w:eastAsia="zh-CN"/>
        </w:rPr>
        <w:t>区</w:t>
      </w:r>
      <w:r>
        <w:rPr>
          <w:rFonts w:hint="eastAsia" w:ascii="黑体" w:hAnsi="黑体" w:eastAsia="黑体" w:cs="黑体"/>
          <w:sz w:val="36"/>
          <w:szCs w:val="36"/>
        </w:rPr>
        <w:t>直与财政有经常性经费领拨关系的用人单位按比例安排残疾人就业人数明细表</w:t>
      </w:r>
    </w:p>
    <w:bookmarkEnd w:id="0"/>
    <w:p>
      <w:pPr>
        <w:jc w:val="center"/>
        <w:rPr>
          <w:rFonts w:hint="eastAsia" w:ascii="黑体" w:hAnsi="黑体" w:eastAsia="黑体" w:cs="黑体"/>
          <w:sz w:val="36"/>
          <w:szCs w:val="36"/>
        </w:rPr>
      </w:pP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27"/>
        <w:gridCol w:w="4504"/>
        <w:gridCol w:w="1560"/>
        <w:gridCol w:w="141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单位名称</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核定已安排残疾人数</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安置月份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益阳市赫山区财政局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益阳市赫山区市场监督管理局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益阳市赫山区泥江口镇中心卫生院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益阳市赫山区会龙山街道社区卫生服务中心益阳市老年病医院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益阳市赫山区文化旅游广电体育局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益阳市赫山区妇幼保健院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益阳市公安局赫山分局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益阳市赫山区沧水铺中心卫生院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益阳市赫山区鱼形山水库管理所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益阳市赫山区欧江岔镇中心卫生院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益阳市第十三中学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益阳市赫山区谢林港镇学校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益阳市赫山区新市渡镇中心学校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益阳市赫山区交通运输局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益阳市赫山区会龙山街道办事处</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益阳市赫山区民政局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益阳市笔架山乡人民政府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益阳市赫山区龙光桥学校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72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益阳市赫山区中医医院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益阳市赫山区泉交河镇中心学校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76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益阳市赫山区疾病预防控制中心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益阳市赫山区城市管理和综合执法局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益阳市赫山区人力资源和社会保障局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益阳市赫山区精神病医院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益阳市沧水铺镇花亭子学校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益阳市沧水铺镇人民政府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益阳市赫山区衡龙桥镇人民政府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益阳市赫山区住房保障服务中心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益阳市赫山区残疾人联合会</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益阳市第十七中学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益阳医学高等专科学校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益阳市赫山区龙光桥街道社区卫生服务中心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益阳市赫山区笔架山乡中心学校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益阳市赫山区八字哨镇中心学校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益阳市赫山区兰溪镇中心学校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益阳市泥江口镇人民政府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益阳市赫山区会龙山街道黄泥湖卫生院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益阳市赫山区司法局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益阳市赫山区鱼形山国有林场</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益阳市赫山区环境卫生服务中心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益阳市第三人民医院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6</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84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益阳师范附属小学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益阳市赫山区衡龙桥镇卫生院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益阳市赫山区畜牧水产事务中心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益阳市赫山区龙岭学校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益阳市赫山区应急管理局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益阳市赫山区赫山街道社区卫生服务中心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益阳市赫山区退役军人事务局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益阳市第十六中学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益阳市市场服务中心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赫山区农村经济经营服务站</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益阳市赫山区衡龙桥镇中心学校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益阳市新市渡镇人民政府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益阳市赫山区金银山学校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益阳市赫山区新市渡镇卫生院</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益阳市赫山区岳家桥镇中心学校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益阳市赫山区龙洲小学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益阳市赫山区国库集中支付核算中心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中国人民政治协商会议湖南省益阳市赫山区委员会</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60</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益阳市空间规划编制研究咨询中心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赫山区公路建设养护中心</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益阳市泉交河镇人民政府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63</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益阳市赫山区赫山中学</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益阳市赫山区海棠学校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65</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益阳市兰溪镇人民政府</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益阳市赫山区龙光桥街道办事处</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67</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益阳市赫山区住房和城乡建设局</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68</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益阳市赫山区赫山街道</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27"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69</w:t>
            </w:r>
          </w:p>
        </w:tc>
        <w:tc>
          <w:tcPr>
            <w:tcW w:w="45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益阳市卫生职业技术学校</w:t>
            </w:r>
          </w:p>
        </w:tc>
        <w:tc>
          <w:tcPr>
            <w:tcW w:w="156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r>
    </w:tbl>
    <w:p>
      <w:pPr>
        <w:ind w:firstLine="640" w:firstLineChars="200"/>
        <w:rPr>
          <w:rFonts w:hint="eastAsia" w:ascii="仿宋" w:hAnsi="仿宋" w:eastAsia="仿宋" w:cs="仿宋"/>
          <w:sz w:val="32"/>
          <w:szCs w:val="32"/>
        </w:rPr>
      </w:pPr>
      <w:r>
        <w:rPr>
          <w:rFonts w:hint="eastAsia" w:ascii="仿宋" w:hAnsi="仿宋" w:eastAsia="仿宋" w:cs="仿宋"/>
          <w:sz w:val="32"/>
          <w:szCs w:val="32"/>
        </w:rPr>
        <w:t>说明：根据《财政部、国家税务总局、中国残疾人联合会关于印发&lt;残疾人就业保障金征收使用管理办法&gt;的通知》规定：（1）用人单位安排1名持有《中华人民共和国残疾人证》(壹至贰级)或《中华人民共和国残疾军人证》(壹至叁级)的人员就业的，按照安排2名残疾人就业计算。（2）用人单位安排残疾人就业未达到规定比例的差额人数，以公式计算结果为准，可以不是整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jlmMDE1M2YyMTg2ZDE4YjE3N2E2YWEwYWU3ODgifQ=="/>
  </w:docVars>
  <w:rsids>
    <w:rsidRoot w:val="00000000"/>
    <w:rsid w:val="04455EA1"/>
    <w:rsid w:val="25CB44CF"/>
    <w:rsid w:val="2A4B71E3"/>
    <w:rsid w:val="55A27C63"/>
    <w:rsid w:val="646854AF"/>
    <w:rsid w:val="699624AA"/>
    <w:rsid w:val="6F89644B"/>
    <w:rsid w:val="722E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2549</Words>
  <Characters>2793</Characters>
  <Lines>0</Lines>
  <Paragraphs>0</Paragraphs>
  <TotalTime>19</TotalTime>
  <ScaleCrop>false</ScaleCrop>
  <LinksUpToDate>false</LinksUpToDate>
  <CharactersWithSpaces>2801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2023-11-23T03:33:00Z</dcterms:created>
  <dc:creator>Administrator</dc:creator>
  <cp:lastModifiedBy>丫丫</cp:lastModifiedBy>
  <cp:lastPrinted>2023-11-23T06:35:00Z</cp:lastPrinted>
  <dcterms:modified xsi:type="dcterms:W3CDTF">2024-11-27T07:55:09Z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A8158F8184DC4C0BA2AA8824A9047915</vt:lpwstr>
  </property>
</Properties>
</file>