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收入支出决算总表</w:t>
      </w:r>
    </w:p>
    <w:p>
      <w:pPr>
        <w:widowControl/>
        <w:tabs>
          <w:tab w:val="left" w:pos="4442"/>
          <w:tab w:val="left" w:pos="5045"/>
          <w:tab w:val="left" w:pos="6444"/>
          <w:tab w:val="left" w:pos="11477"/>
          <w:tab w:val="left" w:pos="13102"/>
        </w:tabs>
        <w:jc w:val="right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公开01表</w:t>
      </w:r>
    </w:p>
    <w:p>
      <w:pPr>
        <w:widowControl/>
        <w:tabs>
          <w:tab w:val="left" w:pos="4442"/>
          <w:tab w:val="left" w:pos="5045"/>
          <w:tab w:val="left" w:pos="6444"/>
          <w:tab w:val="left" w:pos="11477"/>
          <w:tab w:val="left" w:pos="13102"/>
        </w:tabs>
        <w:jc w:val="right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部门：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0"/>
          <w:szCs w:val="20"/>
          <w:lang w:val="en-US" w:eastAsia="zh-CN"/>
        </w:rPr>
        <w:t>赫山区种子技术推广与储备中心</w:t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2"/>
        <w:tblW w:w="1489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0"/>
        <w:gridCol w:w="946"/>
        <w:gridCol w:w="1438"/>
        <w:gridCol w:w="4388"/>
        <w:gridCol w:w="946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8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收入</w:t>
            </w:r>
          </w:p>
        </w:tc>
        <w:tc>
          <w:tcPr>
            <w:tcW w:w="6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行次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决算数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行次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一、一般公共预算财政拨款收入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523.08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一、一般公共服务支出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二、政府性基金预算财政拨款收入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二、外交支出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三、国有资本经营预算财政拨款收入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三、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住房保障支出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13.86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四、上级补助收入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四、公共安全支出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五、事业收入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五、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农林水支出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444.85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六、经营收入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六、科学技术支出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七、附属单位上缴收入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七、社会保障和就业支出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45.70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八、其他收入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八、卫生健康支出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13.67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本年收入合计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523.08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本年支出合计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523.08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使用非财政拨款结余（含专用结余）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结余分配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年初结转和结余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年末结转和结余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523.08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lang w:val="en-US" w:eastAsia="zh-CN"/>
              </w:rPr>
              <w:t>523.08</w:t>
            </w:r>
          </w:p>
        </w:tc>
      </w:tr>
    </w:tbl>
    <w:p>
      <w:pPr>
        <w:widowControl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textAlignment w:val="center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注：1.本表反映部门本年度的总收支和年末结转结余情况。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br w:type="textWrapping"/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   2.本套报表金额单位转换时可能存在尾数误差。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83947"/>
    <w:rsid w:val="046D4E74"/>
    <w:rsid w:val="528F1CD8"/>
    <w:rsid w:val="54583947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2025-09-02T01:48:00Z</dcterms:created>
  <dc:creator>、</dc:creator>
  <cp:lastModifiedBy>、</cp:lastModifiedBy>
  <dcterms:modified xsi:type="dcterms:W3CDTF">2025-09-02T01:49:06Z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