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50"/>
        <w:jc w:val="center"/>
        <w:textAlignment w:val="center"/>
        <w:rPr>
          <w:rFonts w:ascii="Times New Roman" w:hAnsi="Times New Roman" w:eastAsia="黑体" w:cs="Times New Roman"/>
          <w:color w:val="000000"/>
          <w:kern w:val="0"/>
          <w:sz w:val="36"/>
          <w:szCs w:val="36"/>
        </w:rPr>
      </w:pPr>
      <w:r>
        <w:rPr>
          <w:rFonts w:ascii="Times New Roman" w:hAnsi="Times New Roman" w:eastAsia="黑体" w:cs="Times New Roman"/>
          <w:color w:val="000000"/>
          <w:kern w:val="0"/>
          <w:sz w:val="36"/>
          <w:szCs w:val="36"/>
        </w:rPr>
        <w:t>支出决算表</w:t>
      </w:r>
    </w:p>
    <w:p>
      <w:pPr>
        <w:widowControl/>
        <w:tabs>
          <w:tab w:val="left" w:pos="1236"/>
          <w:tab w:val="left" w:pos="1499"/>
          <w:tab w:val="left" w:pos="2980"/>
          <w:tab w:val="left" w:pos="4932"/>
          <w:tab w:val="left" w:pos="6923"/>
          <w:tab w:val="left" w:pos="8914"/>
          <w:tab w:val="left" w:pos="10905"/>
          <w:tab w:val="left" w:pos="12896"/>
        </w:tabs>
        <w:jc w:val="right"/>
        <w:rPr>
          <w:rFonts w:ascii="Times New Roman" w:hAnsi="Times New Roman" w:eastAsia="仿宋_GB2312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仿宋_GB2312" w:cs="Times New Roman"/>
          <w:kern w:val="0"/>
          <w:sz w:val="24"/>
          <w:szCs w:val="24"/>
        </w:rPr>
        <w:t>　</w:t>
      </w:r>
      <w:r>
        <w:rPr>
          <w:rFonts w:ascii="Times New Roman" w:hAnsi="Times New Roman" w:eastAsia="仿宋_GB2312" w:cs="Times New Roman"/>
          <w:kern w:val="0"/>
          <w:sz w:val="24"/>
          <w:szCs w:val="24"/>
        </w:rPr>
        <w:tab/>
      </w:r>
      <w:r>
        <w:rPr>
          <w:rFonts w:ascii="Times New Roman" w:hAnsi="Times New Roman" w:eastAsia="仿宋_GB2312" w:cs="Times New Roman"/>
          <w:kern w:val="0"/>
          <w:sz w:val="24"/>
          <w:szCs w:val="24"/>
        </w:rPr>
        <w:t>　</w:t>
      </w:r>
      <w:r>
        <w:rPr>
          <w:rFonts w:ascii="Times New Roman" w:hAnsi="Times New Roman" w:eastAsia="仿宋_GB2312" w:cs="Times New Roman"/>
          <w:kern w:val="0"/>
          <w:sz w:val="24"/>
          <w:szCs w:val="24"/>
        </w:rPr>
        <w:tab/>
      </w:r>
      <w:r>
        <w:rPr>
          <w:rFonts w:ascii="Times New Roman" w:hAnsi="Times New Roman" w:eastAsia="仿宋_GB2312" w:cs="Times New Roman"/>
          <w:kern w:val="0"/>
          <w:sz w:val="24"/>
          <w:szCs w:val="24"/>
        </w:rPr>
        <w:t>　</w:t>
      </w:r>
      <w:r>
        <w:rPr>
          <w:rFonts w:ascii="Times New Roman" w:hAnsi="Times New Roman" w:eastAsia="仿宋_GB2312" w:cs="Times New Roman"/>
          <w:kern w:val="0"/>
          <w:sz w:val="24"/>
          <w:szCs w:val="24"/>
        </w:rPr>
        <w:tab/>
      </w:r>
      <w:r>
        <w:rPr>
          <w:rFonts w:ascii="Times New Roman" w:hAnsi="Times New Roman" w:eastAsia="仿宋_GB2312" w:cs="Times New Roman"/>
          <w:kern w:val="0"/>
          <w:sz w:val="24"/>
          <w:szCs w:val="24"/>
        </w:rPr>
        <w:t>　</w:t>
      </w:r>
      <w:r>
        <w:rPr>
          <w:rFonts w:ascii="Times New Roman" w:hAnsi="Times New Roman" w:eastAsia="仿宋_GB2312" w:cs="Times New Roman"/>
          <w:kern w:val="0"/>
          <w:sz w:val="24"/>
          <w:szCs w:val="24"/>
        </w:rPr>
        <w:tab/>
      </w:r>
      <w:r>
        <w:rPr>
          <w:rFonts w:ascii="Times New Roman" w:hAnsi="Times New Roman" w:eastAsia="仿宋_GB2312" w:cs="Times New Roman"/>
          <w:kern w:val="0"/>
          <w:sz w:val="24"/>
          <w:szCs w:val="24"/>
        </w:rPr>
        <w:t>　</w:t>
      </w:r>
      <w:r>
        <w:rPr>
          <w:rFonts w:ascii="Times New Roman" w:hAnsi="Times New Roman" w:eastAsia="仿宋_GB2312" w:cs="Times New Roman"/>
          <w:color w:val="000000"/>
          <w:kern w:val="0"/>
          <w:sz w:val="20"/>
          <w:szCs w:val="20"/>
        </w:rPr>
        <w:t>公开03表</w:t>
      </w:r>
    </w:p>
    <w:p>
      <w:pPr>
        <w:widowControl/>
        <w:tabs>
          <w:tab w:val="left" w:pos="1236"/>
          <w:tab w:val="left" w:pos="1499"/>
          <w:tab w:val="left" w:pos="2980"/>
          <w:tab w:val="left" w:pos="4932"/>
          <w:tab w:val="left" w:pos="6923"/>
          <w:tab w:val="left" w:pos="8914"/>
          <w:tab w:val="left" w:pos="10905"/>
          <w:tab w:val="left" w:pos="12896"/>
        </w:tabs>
        <w:jc w:val="left"/>
        <w:rPr>
          <w:rFonts w:ascii="Times New Roman" w:hAnsi="Times New Roman" w:eastAsia="仿宋_GB2312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仿宋_GB2312" w:cs="Times New Roman"/>
          <w:color w:val="000000"/>
          <w:kern w:val="0"/>
          <w:sz w:val="20"/>
          <w:szCs w:val="20"/>
        </w:rPr>
        <w:t>部门：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0"/>
          <w:szCs w:val="20"/>
          <w:lang w:val="en-US" w:eastAsia="zh-CN"/>
        </w:rPr>
        <w:t xml:space="preserve">赫山区种子技术推广与储备中心                                                                                    </w:t>
      </w:r>
      <w:r>
        <w:rPr>
          <w:rFonts w:ascii="Times New Roman" w:hAnsi="Times New Roman" w:eastAsia="仿宋_GB2312" w:cs="Times New Roman"/>
          <w:color w:val="000000"/>
          <w:kern w:val="0"/>
          <w:sz w:val="20"/>
          <w:szCs w:val="20"/>
        </w:rPr>
        <w:t>单位：万元</w:t>
      </w:r>
    </w:p>
    <w:tbl>
      <w:tblPr>
        <w:tblStyle w:val="2"/>
        <w:tblW w:w="14209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3578"/>
        <w:gridCol w:w="1069"/>
        <w:gridCol w:w="1112"/>
        <w:gridCol w:w="1068"/>
        <w:gridCol w:w="1049"/>
        <w:gridCol w:w="997"/>
        <w:gridCol w:w="1667"/>
        <w:gridCol w:w="1227"/>
        <w:gridCol w:w="9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5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项目</w:t>
            </w:r>
          </w:p>
        </w:tc>
        <w:tc>
          <w:tcPr>
            <w:tcW w:w="10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本年支出合计</w:t>
            </w:r>
          </w:p>
        </w:tc>
        <w:tc>
          <w:tcPr>
            <w:tcW w:w="11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基本支出</w:t>
            </w:r>
          </w:p>
        </w:tc>
        <w:tc>
          <w:tcPr>
            <w:tcW w:w="10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项目支出</w:t>
            </w:r>
          </w:p>
        </w:tc>
        <w:tc>
          <w:tcPr>
            <w:tcW w:w="10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上缴上级支出</w:t>
            </w:r>
          </w:p>
        </w:tc>
        <w:tc>
          <w:tcPr>
            <w:tcW w:w="9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经营支出</w:t>
            </w:r>
          </w:p>
        </w:tc>
        <w:tc>
          <w:tcPr>
            <w:tcW w:w="1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对附属单位补助支出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功能分类科目编码</w:t>
            </w:r>
          </w:p>
        </w:tc>
        <w:tc>
          <w:tcPr>
            <w:tcW w:w="35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科目名称</w:t>
            </w:r>
          </w:p>
        </w:tc>
        <w:tc>
          <w:tcPr>
            <w:tcW w:w="10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5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0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0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栏次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5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合计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523.08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512.08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2060799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其他科学技术普及支出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2080502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事业单位离退休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2.04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2.04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2080505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机关事业单位基本养老保险缴费支出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43.67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43.67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2101101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行政单位医疗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5.03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5.03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2101102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事业单位医疗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8.64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8.64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2130101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行政运行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438.85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438.85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2130199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其他农业农村支出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2210201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住房公积金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13.86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13.86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before="120"/>
        <w:jc w:val="left"/>
      </w:pPr>
      <w:r>
        <w:rPr>
          <w:rFonts w:ascii="Times New Roman" w:hAnsi="Times New Roman" w:eastAsia="仿宋_GB2312" w:cs="Times New Roman"/>
          <w:kern w:val="0"/>
          <w:sz w:val="24"/>
          <w:szCs w:val="24"/>
        </w:rPr>
        <w:t>注：本表反映部门本年度各项支出情况。</w:t>
      </w:r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8E23A6"/>
    <w:rsid w:val="046D4E74"/>
    <w:rsid w:val="2A8E23A6"/>
    <w:rsid w:val="528F1CD8"/>
    <w:rsid w:val="5CDE5519"/>
    <w:rsid w:val="6506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2025-09-02T01:49:00Z</dcterms:created>
  <dc:creator>、</dc:creator>
  <cp:lastModifiedBy>、</cp:lastModifiedBy>
  <dcterms:modified xsi:type="dcterms:W3CDTF">2025-09-02T01:53:04Z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